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  <Override PartName="/word/media/rId73.png" ContentType="image/png"/>
  <Override PartName="/word/media/rId79.png" ContentType="image/png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3" w:name="X1d48020cf379c1ca281ddda94b15b6472abc1a7"/>
    <w:p>
      <w:pPr>
        <w:pStyle w:val="Heading1"/>
      </w:pPr>
      <w:r>
        <w:t xml:space="preserve">Size-matched benchmarking reveals genuine but modest ranking skill in end-point MM/PBSA for macrocyclic peptides</w:t>
      </w:r>
    </w:p>
    <w:p>
      <w:pPr>
        <w:pStyle w:val="FirstParagraph"/>
      </w:pPr>
      <w:r>
        <w:rPr>
          <w:b/>
          <w:bCs/>
        </w:rPr>
        <w:t xml:space="preserve">Carlos Liu¹, Joseph S. Brown¹</w:t>
      </w:r>
    </w:p>
    <w:p>
      <w:pPr>
        <w:pStyle w:val="BodyText"/>
      </w:pPr>
      <w:r>
        <w:t xml:space="preserve">¹ Leslie Dan Faculty of Pharmacy, University of Toronto, Toronto, Ontario, Canada</w:t>
      </w:r>
    </w:p>
    <w:p>
      <w:pPr>
        <w:pStyle w:val="BodyText"/>
      </w:pPr>
      <w:r>
        <w:rPr>
          <w:i/>
          <w:iCs/>
        </w:rPr>
        <w:t xml:space="preserve">Draft manuscript — prospective validation section is a registered plan, not yet executed.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Macrocyclic peptides engage targets that small molecules cannot, but each analogue is</w:t>
      </w:r>
      <w:r>
        <w:t xml:space="preserve"> </w:t>
      </w:r>
      <w:r>
        <w:t xml:space="preserve">expensive to make, so computational ranking has unusual leverage: a method that merely sorts</w:t>
      </w:r>
      <w:r>
        <w:t xml:space="preserve"> </w:t>
      </w:r>
      <w:r>
        <w:t xml:space="preserve">candidates correctly saves real synthetic effort. Rigorous alchemical free-energy methods</w:t>
      </w:r>
      <w:r>
        <w:t xml:space="preserve"> </w:t>
      </w:r>
      <w:r>
        <w:t xml:space="preserve">achieve this but cost GPU-days per compound. End-point methods such as MM/PBSA cost seconds,</w:t>
      </w:r>
      <w:r>
        <w:t xml:space="preserve"> </w:t>
      </w:r>
      <w:r>
        <w:t xml:space="preserve">and a recent protocol reports strong performance on protein–cyclic-peptide complexes. Whether</w:t>
      </w:r>
      <w:r>
        <w:t xml:space="preserve"> </w:t>
      </w:r>
      <w:r>
        <w:t xml:space="preserve">that performance reflects physics or molecular size has not been established.</w:t>
      </w:r>
    </w:p>
    <w:p>
      <w:pPr>
        <w:pStyle w:val="BodyText"/>
      </w:pPr>
      <w:r>
        <w:t xml:space="preserve">Size is not a nuisance variable for peptide binding: larger peptides bury more interface and</w:t>
      </w:r>
      <w:r>
        <w:t xml:space="preserve"> </w:t>
      </w:r>
      <w:r>
        <w:t xml:space="preserve">genuinely bind more tightly. On a five-target benchmark of 234 compounds with measured</w:t>
      </w:r>
      <w:r>
        <w:t xml:space="preserve"> </w:t>
      </w:r>
      <w:r>
        <w:t xml:space="preserve">affinities, experimental ΔG tracks ligand heavy-atom count with a mean within-target Spearman</w:t>
      </w:r>
      <w:r>
        <w:t xml:space="preserve"> </w:t>
      </w:r>
      <w:r>
        <w:t xml:space="preserve">ρ of −0.43, and the MM/PBSA score tracks it more strongly still (ρ = −0.55). Conventional</w:t>
      </w:r>
      <w:r>
        <w:t xml:space="preserve"> </w:t>
      </w:r>
      <w:r>
        <w:t xml:space="preserve">benchmarking therefore cannot separate a scoring function from a ruler.</w:t>
      </w:r>
    </w:p>
    <w:p>
      <w:pPr>
        <w:pStyle w:val="BodyText"/>
      </w:pPr>
      <w:r>
        <w:t xml:space="preserve">We resolve this by evaluating only within sets of peptides of</w:t>
      </w:r>
      <w:r>
        <w:t xml:space="preserve"> </w:t>
      </w:r>
      <w:r>
        <w:rPr>
          <w:b/>
          <w:bCs/>
        </w:rPr>
        <w:t xml:space="preserve">identical heavy-atom count</w:t>
      </w:r>
      <w:r>
        <w:t xml:space="preserve">,</w:t>
      </w:r>
      <w:r>
        <w:t xml:space="preserve"> </w:t>
      </w:r>
      <w:r>
        <w:t xml:space="preserve">where a size descriptor carries no information by construction. On decisive pairs, MM/PBSA</w:t>
      </w:r>
      <w:r>
        <w:t xml:space="preserve"> </w:t>
      </w:r>
      <w:r>
        <w:t xml:space="preserve">selects the tighter binder in</w:t>
      </w:r>
      <w:r>
        <w:t xml:space="preserve"> </w:t>
      </w:r>
      <w:r>
        <w:rPr>
          <w:b/>
          <w:bCs/>
        </w:rPr>
        <w:t xml:space="preserve">60.1% of cases (95% CI 53.0–69.3)</w:t>
      </w:r>
      <w:r>
        <w:t xml:space="preserve">, against</w:t>
      </w:r>
      <w:r>
        <w:t xml:space="preserve"> </w:t>
      </w:r>
      <w:r>
        <w:rPr>
          <w:b/>
          <w:bCs/>
        </w:rPr>
        <w:t xml:space="preserve">84.1%</w:t>
      </w:r>
      <w:r>
        <w:rPr>
          <w:b/>
          <w:bCs/>
        </w:rPr>
        <w:t xml:space="preserve"> </w:t>
      </w:r>
      <w:r>
        <w:rPr>
          <w:b/>
          <w:bCs/>
        </w:rPr>
        <w:t xml:space="preserve">(75.6–91.2)</w:t>
      </w:r>
      <w:r>
        <w:t xml:space="preserve"> </w:t>
      </w:r>
      <w:r>
        <w:t xml:space="preserve">for published FEP+ predictions on the same compounds and 50% for chance. The</w:t>
      </w:r>
      <w:r>
        <w:t xml:space="preserve"> </w:t>
      </w:r>
      <w:r>
        <w:t xml:space="preserve">skill is real but modest and unevenly distributed: clearly above chance for PCSK9 (76.5%) and</w:t>
      </w:r>
      <w:r>
        <w:t xml:space="preserve"> </w:t>
      </w:r>
      <w:r>
        <w:t xml:space="preserve">JAK2 (63.7%), indistinguishable from chance for Cyclin A/B, KRAS and MCL-1.</w:t>
      </w:r>
    </w:p>
    <w:p>
      <w:pPr>
        <w:pStyle w:val="BodyText"/>
      </w:pPr>
      <w:r>
        <w:t xml:space="preserve">Three further results bear on how such benchmarks should be read. The apparent accuracy depends</w:t>
      </w:r>
      <w:r>
        <w:t xml:space="preserve"> </w:t>
      </w:r>
      <w:r>
        <w:t xml:space="preserve">on the estimator: for KRAS, whose compounds span two receptor crystal forms, pooling gives</w:t>
      </w:r>
      <w:r>
        <w:t xml:space="preserve"> </w:t>
      </w:r>
      <w:r>
        <w:t xml:space="preserve">ρ = +0.225 while averaging within forms gives −0.130, the pooled value being credit for</w:t>
      </w:r>
      <w:r>
        <w:t xml:space="preserve"> </w:t>
      </w:r>
      <w:r>
        <w:t xml:space="preserve">separating two groups offset by 1.15 kcal/mol. The score is a ranking device rather than a free</w:t>
      </w:r>
      <w:r>
        <w:t xml:space="preserve"> </w:t>
      </w:r>
      <w:r>
        <w:t xml:space="preserve">energy, sitting 45–75 kcal/mol from experiment with per-target regression slopes of 0.10–0.21.</w:t>
      </w:r>
      <w:r>
        <w:t xml:space="preserve"> </w:t>
      </w:r>
      <w:r>
        <w:t xml:space="preserve">And on a sixth target held entirely outside development — 17 peptidomimetics against an</w:t>
      </w:r>
      <w:r>
        <w:t xml:space="preserve"> </w:t>
      </w:r>
      <w:r>
        <w:t xml:space="preserve">antibody, affinities sealed before prediction — every method fell below chance and the</w:t>
      </w:r>
      <w:r>
        <w:t xml:space="preserve"> </w:t>
      </w:r>
      <w:r>
        <w:t xml:space="preserve">size–affinity relationship reversed sign, showing that performance on five related targets is</w:t>
      </w:r>
      <w:r>
        <w:t xml:space="preserve"> </w:t>
      </w:r>
      <w:r>
        <w:t xml:space="preserve">not sufficient evidence of transfer.</w:t>
      </w:r>
    </w:p>
    <w:p>
      <w:pPr>
        <w:pStyle w:val="BodyText"/>
      </w:pPr>
      <w:r>
        <w:t xml:space="preserve">We apply the protocol to 212 designed macrocycles against the lipopolysaccharide transport</w:t>
      </w:r>
      <w:r>
        <w:t xml:space="preserve"> </w:t>
      </w:r>
      <w:r>
        <w:t xml:space="preserve">protein LptA and register a prospective test with its power analysis stated in advance.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macrocyclic peptides, MM/PBSA, binding affinity, benchmarking, ligand size bias,</w:t>
      </w:r>
      <w:r>
        <w:t xml:space="preserve"> </w:t>
      </w:r>
      <w:r>
        <w:t xml:space="preserve">free energy perturbation</w:t>
      </w:r>
    </w:p>
    <w:p>
      <w:r>
        <w:pict>
          <v:rect style="width:0;height:1.5pt" o:hralign="center" o:hrstd="t" o:hr="t"/>
        </w:pict>
      </w:r>
    </w:p>
    <w:bookmarkEnd w:id="9"/>
    <w:bookmarkStart w:id="22" w:name="introduction"/>
    <w:p>
      <w:pPr>
        <w:pStyle w:val="Heading2"/>
      </w:pPr>
      <w:r>
        <w:t xml:space="preserve">1. Introduction</w:t>
      </w:r>
    </w:p>
    <w:bookmarkStart w:id="11" w:name="Xaea58355c6019cf829ed9283f9ca9447baf1b4a"/>
    <w:p>
      <w:pPr>
        <w:pStyle w:val="Heading3"/>
      </w:pPr>
      <w:r>
        <w:t xml:space="preserve">1.1 Why ranking matters more than prediction here</w:t>
      </w:r>
    </w:p>
    <w:p>
      <w:pPr>
        <w:pStyle w:val="FirstParagraph"/>
      </w:pPr>
      <w:r>
        <w:t xml:space="preserve">Macrocyclic and cyclic peptides occupy a chemical space between small molecules and biologics,</w:t>
      </w:r>
      <w:r>
        <w:t xml:space="preserve"> </w:t>
      </w:r>
      <w:r>
        <w:t xml:space="preserve">and they can engage shallow protein–protein interfaces that conventional drugs cannot.</w:t>
      </w:r>
      <w:r>
        <w:rPr>
          <w:rStyle w:val="FootnoteReference"/>
        </w:rPr>
        <w:footnoteReference w:id="10"/>
      </w:r>
      <w:r>
        <w:t xml:space="preserve"> </w:t>
      </w:r>
      <w:r>
        <w:t xml:space="preserve">They</w:t>
      </w:r>
      <w:r>
        <w:t xml:space="preserve"> </w:t>
      </w:r>
      <w:r>
        <w:t xml:space="preserve">are also expensive. A single non-canonical building block can cost on the order of a thousand</w:t>
      </w:r>
      <w:r>
        <w:t xml:space="preserve"> </w:t>
      </w:r>
      <w:r>
        <w:t xml:space="preserve">dollars, synthesis is laborious, and a design campaign can propose hundreds of candidates</w:t>
      </w:r>
      <w:r>
        <w:t xml:space="preserve"> </w:t>
      </w:r>
      <w:r>
        <w:t xml:space="preserve">against a budget of ten. The practical question is therefore not</w:t>
      </w:r>
      <w:r>
        <w:t xml:space="preserve"> </w:t>
      </w:r>
      <w:r>
        <w:t xml:space="preserve">“what is the binding</w:t>
      </w:r>
      <w:r>
        <w:t xml:space="preserve"> </w:t>
      </w:r>
      <w:r>
        <w:t xml:space="preserve">constant?”</w:t>
      </w:r>
      <w:r>
        <w:t xml:space="preserve"> </w:t>
      </w:r>
      <w:r>
        <w:t xml:space="preserve">but</w:t>
      </w:r>
      <w:r>
        <w:t xml:space="preserve"> </w:t>
      </w:r>
      <w:r>
        <w:t xml:space="preserve">“of these candidates, which should we make?”</w:t>
      </w:r>
    </w:p>
    <w:p>
      <w:pPr>
        <w:pStyle w:val="BodyText"/>
      </w:pPr>
      <w:r>
        <w:t xml:space="preserve">That is a ranking problem, and ranking is a weaker requirement than prediction. A method that</w:t>
      </w:r>
      <w:r>
        <w:t xml:space="preserve"> </w:t>
      </w:r>
      <w:r>
        <w:t xml:space="preserve">cannot produce a binding constant may still order candidates usefully. Conversely, a method</w:t>
      </w:r>
      <w:r>
        <w:t xml:space="preserve"> </w:t>
      </w:r>
      <w:r>
        <w:t xml:space="preserve">with an impressive correlation coefficient may be useless if that correlation comes from</w:t>
      </w:r>
      <w:r>
        <w:t xml:space="preserve"> </w:t>
      </w:r>
      <w:r>
        <w:t xml:space="preserve">something the chemist already knows.</w:t>
      </w:r>
    </w:p>
    <w:bookmarkEnd w:id="11"/>
    <w:bookmarkStart w:id="15" w:name="the-computational-options"/>
    <w:p>
      <w:pPr>
        <w:pStyle w:val="Heading3"/>
      </w:pPr>
      <w:r>
        <w:t xml:space="preserve">1.2 The computational options</w:t>
      </w:r>
    </w:p>
    <w:p>
      <w:pPr>
        <w:pStyle w:val="FirstParagraph"/>
      </w:pPr>
      <w:r>
        <w:t xml:space="preserve">Free energy perturbation (FEP) is the rigorous approach: it simulates one ligand transforming</w:t>
      </w:r>
      <w:r>
        <w:t xml:space="preserve"> </w:t>
      </w:r>
      <w:r>
        <w:t xml:space="preserve">into another and tracks the free-energy change. Applied to macrocycles with appropriate</w:t>
      </w:r>
      <w:r>
        <w:t xml:space="preserve"> </w:t>
      </w:r>
      <w:r>
        <w:t xml:space="preserve">enhanced sampling, FEP+ achieves a global pairwise RMSE of 1.06 kcal/mol across more than 230</w:t>
      </w:r>
      <w:r>
        <w:t xml:space="preserve"> </w:t>
      </w:r>
      <w:r>
        <w:t xml:space="preserve">analogues spanning over 10 kcal/mol of experimental range.</w:t>
      </w:r>
      <w:r>
        <w:rPr>
          <w:rStyle w:val="FootnoteReference"/>
        </w:rPr>
        <w:footnoteReference w:id="12"/>
      </w:r>
      <w:r>
        <w:t xml:space="preserve"> </w:t>
      </w:r>
      <w:r>
        <w:t xml:space="preserve">The cost is GPU-days per</w:t>
      </w:r>
      <w:r>
        <w:t xml:space="preserve"> </w:t>
      </w:r>
      <w:r>
        <w:t xml:space="preserve">compound and a commercial licence.</w:t>
      </w:r>
    </w:p>
    <w:p>
      <w:pPr>
        <w:pStyle w:val="BodyText"/>
      </w:pPr>
      <w:r>
        <w:t xml:space="preserve">End-point methods take the opposite trade. MM/PBSA evaluates the interaction energy of a</w:t>
      </w:r>
      <w:r>
        <w:t xml:space="preserve"> </w:t>
      </w:r>
      <w:r>
        <w:t xml:space="preserve">single structure and subtracts an estimate of the desolvation cost, in seconds rather than</w:t>
      </w:r>
      <w:r>
        <w:t xml:space="preserve"> </w:t>
      </w:r>
      <w:r>
        <w:t xml:space="preserve">days.</w:t>
      </w:r>
      <w:r>
        <w:rPr>
          <w:rStyle w:val="FootnoteReference"/>
        </w:rPr>
        <w:footnoteReference w:id="13"/>
      </w:r>
      <w:r>
        <w:t xml:space="preserve"> </w:t>
      </w:r>
      <w:r>
        <w:t xml:space="preserve">Zhao and colleagues recently reported a fine-tuned MM/PBSA(GBSA) workflow for</w:t>
      </w:r>
      <w:r>
        <w:t xml:space="preserve"> </w:t>
      </w:r>
      <w:r>
        <w:t xml:space="preserve">protein–cyclic-peptide complexes achieving a Pearson correlation of −0.732 against experimental</w:t>
      </w:r>
      <w:r>
        <w:t xml:space="preserve"> </w:t>
      </w:r>
      <w:r>
        <w:t xml:space="preserve">affinity on a 50-complex dataset, roughly twice that of a conventional docking score, at about</w:t>
      </w:r>
      <w:r>
        <w:t xml:space="preserve"> </w:t>
      </w:r>
      <w:r>
        <w:t xml:space="preserve">three seconds per prediction.</w:t>
      </w:r>
      <w:r>
        <w:rPr>
          <w:rStyle w:val="FootnoteReference"/>
        </w:rPr>
        <w:footnoteReference w:id="14"/>
      </w:r>
    </w:p>
    <w:p>
      <w:pPr>
        <w:pStyle w:val="BodyText"/>
      </w:pPr>
      <w:r>
        <w:t xml:space="preserve">The gap between these is roughly three orders of magnitude in cost. What is given up is not</w:t>
      </w:r>
      <w:r>
        <w:t xml:space="preserve"> </w:t>
      </w:r>
      <w:r>
        <w:t xml:space="preserve">well characterised for peptides.</w:t>
      </w:r>
    </w:p>
    <w:bookmarkEnd w:id="15"/>
    <w:bookmarkStart w:id="19" w:name="the-problem-with-the-obvious-benchmark"/>
    <w:p>
      <w:pPr>
        <w:pStyle w:val="Heading3"/>
      </w:pPr>
      <w:r>
        <w:t xml:space="preserve">1.3 The problem with the obvious benchmark</w:t>
      </w:r>
    </w:p>
    <w:p>
      <w:pPr>
        <w:pStyle w:val="FirstParagraph"/>
      </w:pPr>
      <w:r>
        <w:t xml:space="preserve">Scoring functions have a long-documented tendency to track molecular size. Jacobsson and Karlén</w:t>
      </w:r>
      <w:r>
        <w:t xml:space="preserve"> </w:t>
      </w:r>
      <w:r>
        <w:t xml:space="preserve">found</w:t>
      </w:r>
      <w:r>
        <w:t xml:space="preserve"> </w:t>
      </w:r>
      <w:r>
        <w:t xml:space="preserve">“a high to intermediate linear correlation between the score and the number of heavy</w:t>
      </w:r>
      <w:r>
        <w:t xml:space="preserve"> </w:t>
      </w:r>
      <w:r>
        <w:t xml:space="preserve">atoms”</w:t>
      </w:r>
      <w:r>
        <w:t xml:space="preserve"> </w:t>
      </w:r>
      <w:r>
        <w:t xml:space="preserve">for nine of ten scoring functions tested, and identified this ligand bias as a source of</w:t>
      </w:r>
      <w:r>
        <w:t xml:space="preserve"> </w:t>
      </w:r>
      <w:r>
        <w:t xml:space="preserve">false positives in virtual screening.</w:t>
      </w:r>
      <w:r>
        <w:rPr>
          <w:rStyle w:val="FootnoteReference"/>
        </w:rPr>
        <w:footnoteReference w:id="16"/>
      </w:r>
      <w:r>
        <w:t xml:space="preserve"> </w:t>
      </w:r>
      <w:r>
        <w:t xml:space="preserve">The standard responses are normalisation by molecular</w:t>
      </w:r>
      <w:r>
        <w:t xml:space="preserve"> </w:t>
      </w:r>
      <w:r>
        <w:t xml:space="preserve">weight or heavy-atom count, ligand efficiency metrics, or matched-pair benchmark design.</w:t>
      </w:r>
      <w:r>
        <w:rPr>
          <w:rStyle w:val="FootnoteReference"/>
        </w:rPr>
        <w:footnoteReference w:id="17"/>
      </w:r>
      <w:r>
        <w:t xml:space="preserve">,</w:t>
      </w:r>
      <w:r>
        <w:rPr>
          <w:rStyle w:val="FootnoteReference"/>
        </w:rPr>
        <w:footnoteReference w:id="18"/>
      </w:r>
    </w:p>
    <w:p>
      <w:pPr>
        <w:pStyle w:val="BodyText"/>
      </w:pPr>
      <w:r>
        <w:t xml:space="preserve">For peptides the problem is sharper, for a reason that is easy to miss. Size is not an artefact</w:t>
      </w:r>
      <w:r>
        <w:t xml:space="preserve"> </w:t>
      </w:r>
      <w:r>
        <w:t xml:space="preserve">here. More residues bury more interface area, and buried area is a genuine driver of binding</w:t>
      </w:r>
      <w:r>
        <w:t xml:space="preserve"> </w:t>
      </w:r>
      <w:r>
        <w:t xml:space="preserve">affinity. A size descriptor is therefore a</w:t>
      </w:r>
      <w:r>
        <w:t xml:space="preserve"> </w:t>
      </w:r>
      <w:r>
        <w:rPr>
          <w:i/>
          <w:iCs/>
        </w:rPr>
        <w:t xml:space="preserve">mediator</w:t>
      </w:r>
      <w:r>
        <w:t xml:space="preserve"> </w:t>
      </w:r>
      <w:r>
        <w:t xml:space="preserve">of the physics, not a confounder to be</w:t>
      </w:r>
      <w:r>
        <w:t xml:space="preserve"> </w:t>
      </w:r>
      <w:r>
        <w:t xml:space="preserve">regressed away — and partialling it out over-corrects, removing exactly the signal a physics</w:t>
      </w:r>
      <w:r>
        <w:t xml:space="preserve"> </w:t>
      </w:r>
      <w:r>
        <w:t xml:space="preserve">method is supposed to capture.</w:t>
      </w:r>
    </w:p>
    <w:p>
      <w:pPr>
        <w:pStyle w:val="BodyText"/>
      </w:pPr>
      <w:r>
        <w:t xml:space="preserve">This creates a genuine methodological difficulty. Comparing a scoring function against a</w:t>
      </w:r>
      <w:r>
        <w:t xml:space="preserve"> </w:t>
      </w:r>
      <w:r>
        <w:t xml:space="preserve">heavy-atom count across compounds of different sizes is unfair in both directions: the scoring</w:t>
      </w:r>
      <w:r>
        <w:t xml:space="preserve"> </w:t>
      </w:r>
      <w:r>
        <w:t xml:space="preserve">function gets credit for re-reading size, and the control gets credit for real physics.</w:t>
      </w:r>
    </w:p>
    <w:bookmarkEnd w:id="19"/>
    <w:bookmarkStart w:id="21" w:name="what-we-do"/>
    <w:p>
      <w:pPr>
        <w:pStyle w:val="Heading3"/>
      </w:pPr>
      <w:r>
        <w:t xml:space="preserve">1.4 What we do</w:t>
      </w:r>
    </w:p>
    <w:p>
      <w:pPr>
        <w:pStyle w:val="FirstParagraph"/>
      </w:pPr>
      <w:r>
        <w:t xml:space="preserve">We hold size fixed. Within each target we compare only peptides of</w:t>
      </w:r>
      <w:r>
        <w:t xml:space="preserve"> </w:t>
      </w:r>
      <w:r>
        <w:rPr>
          <w:b/>
          <w:bCs/>
        </w:rPr>
        <w:t xml:space="preserve">identical heavy-atom</w:t>
      </w:r>
      <w:r>
        <w:rPr>
          <w:b/>
          <w:bCs/>
        </w:rPr>
        <w:t xml:space="preserve"> </w:t>
      </w:r>
      <w:r>
        <w:rPr>
          <w:b/>
          <w:bCs/>
        </w:rPr>
        <w:t xml:space="preserve">count</w:t>
      </w:r>
      <w:r>
        <w:t xml:space="preserve">, where a size descriptor has no information at all because there is no size difference</w:t>
      </w:r>
      <w:r>
        <w:t xml:space="preserve"> </w:t>
      </w:r>
      <w:r>
        <w:t xml:space="preserve">to read, and ask the question a chemist actually asks: given two candidates, which binds</w:t>
      </w:r>
      <w:r>
        <w:t xml:space="preserve"> </w:t>
      </w:r>
      <w:r>
        <w:t xml:space="preserve">tighter? This extends matched-pair benchmarking</w:t>
      </w:r>
      <w:r>
        <w:rPr>
          <w:rStyle w:val="FootnoteReference"/>
        </w:rPr>
        <w:footnoteReference w:id="20"/>
      </w:r>
      <w:r>
        <w:t xml:space="preserve"> </w:t>
      </w:r>
      <w:r>
        <w:t xml:space="preserve">to macrocyclic peptides, where the size</w:t>
      </w:r>
      <w:r>
        <w:t xml:space="preserve"> </w:t>
      </w:r>
      <w:r>
        <w:t xml:space="preserve">range is far wider than in small-molecule series and the synthesis stakes are higher.</w:t>
      </w:r>
    </w:p>
    <w:p>
      <w:pPr>
        <w:pStyle w:val="BodyText"/>
      </w:pPr>
      <w:r>
        <w:t xml:space="preserve">We report: a replication of the Zhao protocol on an independent five-target cohort; the</w:t>
      </w:r>
      <w:r>
        <w:t xml:space="preserve"> </w:t>
      </w:r>
      <w:r>
        <w:t xml:space="preserve">magnitude of the size confound; size-matched performance against a published FEP+ ceiling on</w:t>
      </w:r>
      <w:r>
        <w:t xml:space="preserve"> </w:t>
      </w:r>
      <w:r>
        <w:t xml:space="preserve">identical compounds; the sensitivity of all of this to the choice of statistical estimator; and</w:t>
      </w:r>
      <w:r>
        <w:t xml:space="preserve"> </w:t>
      </w:r>
      <w:r>
        <w:t xml:space="preserve">an application to a de novo design campaign against LptA, with a registered prospective test.</w:t>
      </w:r>
    </w:p>
    <w:p>
      <w:pPr>
        <w:pStyle w:val="BlockText"/>
      </w:pPr>
      <w:r>
        <w:rPr>
          <w:b/>
          <w:bCs/>
        </w:rPr>
        <w:t xml:space="preserve">Box 1 — What a force field is, for readers new to this</w:t>
      </w:r>
    </w:p>
    <w:p>
      <w:pPr>
        <w:pStyle w:val="BlockText"/>
      </w:pPr>
      <w:r>
        <w:t xml:space="preserve">A force field is a set of rules for computing the energy of an arrangement of atoms. It</w:t>
      </w:r>
      <w:r>
        <w:t xml:space="preserve"> </w:t>
      </w:r>
      <w:r>
        <w:t xml:space="preserve">assigns each atom a partial electric charge and a size, and each bond a stiffness and a</w:t>
      </w:r>
      <w:r>
        <w:t xml:space="preserve"> </w:t>
      </w:r>
      <w:r>
        <w:t xml:space="preserve">preferred length. Given the 3-D coordinates of a protein and a peptide, it returns a number:</w:t>
      </w:r>
      <w:r>
        <w:t xml:space="preserve"> </w:t>
      </w:r>
      <w:r>
        <w:t xml:space="preserve">how favourable that arrangement is. It is classical physics — balls and springs — with</w:t>
      </w:r>
      <w:r>
        <w:t xml:space="preserve"> </w:t>
      </w:r>
      <w:r>
        <w:t xml:space="preserve">parameters fitted to quantum calculations and experiment. It knows nothing about biology.</w:t>
      </w:r>
    </w:p>
    <w:p>
      <w:pPr>
        <w:pStyle w:val="BlockText"/>
      </w:pPr>
      <w:r>
        <w:t xml:space="preserve">Standard amino acids have well-tested parameters. Non-canonical residues do not, and must be</w:t>
      </w:r>
      <w:r>
        <w:t xml:space="preserve"> </w:t>
      </w:r>
      <w:r>
        <w:t xml:space="preserve">parameterised individually before anything can be computed (Section 2.3).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42" w:name="methods"/>
    <w:p>
      <w:pPr>
        <w:pStyle w:val="Heading2"/>
      </w:pPr>
      <w:r>
        <w:t xml:space="preserve">2. Methods</w:t>
      </w:r>
    </w:p>
    <w:bookmarkStart w:id="24" w:name="benchmark-cohort"/>
    <w:p>
      <w:pPr>
        <w:pStyle w:val="Heading3"/>
      </w:pPr>
      <w:r>
        <w:t xml:space="preserve">2.1 Benchmark cohort</w:t>
      </w:r>
    </w:p>
    <w:p>
      <w:pPr>
        <w:pStyle w:val="FirstParagraph"/>
      </w:pPr>
      <w:r>
        <w:t xml:space="preserve">Method development and all reported statistics use a published external benchmark: the</w:t>
      </w:r>
      <w:r>
        <w:t xml:space="preserve"> </w:t>
      </w:r>
      <w:r>
        <w:t xml:space="preserve">five-target macrocycle and cyclic-peptide series of Awoonor-Williams and colleagues — KRAS,</w:t>
      </w:r>
      <w:r>
        <w:t xml:space="preserve"> </w:t>
      </w:r>
      <w:r>
        <w:t xml:space="preserve">PCSK9, MCL-1, JAK2 and Cyclin A/B — comprising over 230 peptidic and non-peptidic</w:t>
      </w:r>
      <w:r>
        <w:t xml:space="preserve"> </w:t>
      </w:r>
      <w:r>
        <w:t xml:space="preserve">analogues.</w:t>
      </w:r>
      <w:r>
        <w:rPr>
          <w:rStyle w:val="FootnoteReference"/>
        </w:rPr>
        <w:footnoteReference w:id="23"/>
      </w:r>
      <w:r>
        <w:t xml:space="preserve"> </w:t>
      </w:r>
      <w:r>
        <w:t xml:space="preserve">We use the 241 compounds for which structures and labels could be assembled; 235</w:t>
      </w:r>
      <w:r>
        <w:t xml:space="preserve"> </w:t>
      </w:r>
      <w:r>
        <w:t xml:space="preserve">carry an experimental binding free energy and 234 survive quality control (Section 2.4).</w:t>
      </w:r>
      <w:r>
        <w:t xml:space="preserve"> </w:t>
      </w:r>
      <w:r>
        <w:t xml:space="preserve">Analyses requiring unambiguous labels additionally exclude censored measurements, leaving 220.</w:t>
      </w:r>
    </w:p>
    <w:p>
      <w:pPr>
        <w:pStyle w:val="BodyText"/>
      </w:pPr>
      <w:r>
        <w:t xml:space="preserve">Two properties make this the right cohort. The affinities were measured by a third party, so</w:t>
      </w:r>
      <w:r>
        <w:t xml:space="preserve"> </w:t>
      </w:r>
      <w:r>
        <w:t xml:space="preserve">the evaluation cannot be tuned to them. And because FEP+ predictions were published alongside,</w:t>
      </w:r>
      <w:r>
        <w:t xml:space="preserve"> </w:t>
      </w:r>
      <w:r>
        <w:t xml:space="preserve">a rigorous-method ceiling is available on exactly the same compounds, which is otherwise</w:t>
      </w:r>
      <w:r>
        <w:t xml:space="preserve"> </w:t>
      </w:r>
      <w:r>
        <w:t xml:space="preserve">difficult to obtain.</w:t>
      </w:r>
    </w:p>
    <w:p>
      <w:pPr>
        <w:pStyle w:val="BodyText"/>
      </w:pPr>
      <w:r>
        <w:t xml:space="preserve">Compounds are not independent within a target: two targets span more than one receptor crystal</w:t>
      </w:r>
      <w:r>
        <w:t xml:space="preserve"> </w:t>
      </w:r>
      <w:r>
        <w:t xml:space="preserve">form (KRAS, two; PCSK9, three), giving eight receptor groups. All primary statistics are</w:t>
      </w:r>
      <w:r>
        <w:t xml:space="preserve"> </w:t>
      </w:r>
      <w:r>
        <w:t xml:space="preserve">computed</w:t>
      </w:r>
      <w:r>
        <w:t xml:space="preserve"> </w:t>
      </w:r>
      <w:r>
        <w:rPr>
          <w:b/>
          <w:bCs/>
        </w:rPr>
        <w:t xml:space="preserve">within receptor group</w:t>
      </w:r>
      <w:r>
        <w:t xml:space="preserve"> </w:t>
      </w:r>
      <w:r>
        <w:t xml:space="preserve">and averaged with equal weight per target (Section 2.6).</w:t>
      </w:r>
    </w:p>
    <w:bookmarkEnd w:id="24"/>
    <w:bookmarkStart w:id="25" w:name="structure-preparation"/>
    <w:p>
      <w:pPr>
        <w:pStyle w:val="Heading3"/>
      </w:pPr>
      <w:r>
        <w:t xml:space="preserve">2.2 Structure preparation</w:t>
      </w:r>
    </w:p>
    <w:p>
      <w:pPr>
        <w:pStyle w:val="FirstParagraph"/>
      </w:pPr>
      <w:r>
        <w:t xml:space="preserve">Receptor and peptide are cleaned with</w:t>
      </w:r>
      <w:r>
        <w:t xml:space="preserve"> </w:t>
      </w:r>
      <w:r>
        <w:rPr>
          <w:rStyle w:val="VerbatimChar"/>
        </w:rPr>
        <w:t xml:space="preserve">pdb4amber</w:t>
      </w:r>
      <w:r>
        <w:t xml:space="preserve"> </w:t>
      </w:r>
      <w:r>
        <w:t xml:space="preserve">in two passes. The first retains prepared</w:t>
      </w:r>
      <w:r>
        <w:t xml:space="preserve"> </w:t>
      </w:r>
      <w:r>
        <w:t xml:space="preserve">hydrogens so that histidine tautomer and cystine assignments carry into residue names; the</w:t>
      </w:r>
      <w:r>
        <w:t xml:space="preserve"> </w:t>
      </w:r>
      <w:r>
        <w:t xml:space="preserve">second strips hydrogens so that</w:t>
      </w:r>
      <w:r>
        <w:t xml:space="preserve"> </w:t>
      </w:r>
      <w:r>
        <w:rPr>
          <w:rStyle w:val="VerbatimChar"/>
        </w:rPr>
        <w:t xml:space="preserve">tleap</w:t>
      </w:r>
      <w:r>
        <w:t xml:space="preserve"> </w:t>
      </w:r>
      <w:r>
        <w:t xml:space="preserve">rebuilds them against its own templates. A single pass</w:t>
      </w:r>
      <w:r>
        <w:t xml:space="preserve"> </w:t>
      </w:r>
      <w:r>
        <w:t xml:space="preserve">is insufficient because prepared files carry atoms (e.g. </w:t>
      </w:r>
      <w:r>
        <w:rPr>
          <w:rStyle w:val="VerbatimChar"/>
        </w:rPr>
        <w:t xml:space="preserve">HXT</w:t>
      </w:r>
      <w:r>
        <w:t xml:space="preserve">) for which the older force</w:t>
      </w:r>
      <w:r>
        <w:t xml:space="preserve"> </w:t>
      </w:r>
      <w:r>
        <w:t xml:space="preserve">fields have no type.</w:t>
      </w:r>
    </w:p>
    <w:p>
      <w:pPr>
        <w:pStyle w:val="BodyText"/>
      </w:pPr>
      <w:r>
        <w:t xml:space="preserve">Cyclisation is imposed explicitly. Head-to-tail macrocycles receive an explicit bond in</w:t>
      </w:r>
      <w:r>
        <w:t xml:space="preserve"> </w:t>
      </w:r>
      <w:r>
        <w:rPr>
          <w:rStyle w:val="VerbatimChar"/>
        </w:rPr>
        <w:t xml:space="preserve">tleap</w:t>
      </w:r>
      <w:r>
        <w:t xml:space="preserve">; disulfide-cyclised peptides are detected geometrically (S–S &lt; 2.5 Å) and left to the</w:t>
      </w:r>
      <w:r>
        <w:t xml:space="preserve"> </w:t>
      </w:r>
      <w:r>
        <w:t xml:space="preserve">CONECT records written by</w:t>
      </w:r>
      <w:r>
        <w:t xml:space="preserve"> </w:t>
      </w:r>
      <w:r>
        <w:rPr>
          <w:rStyle w:val="VerbatimChar"/>
        </w:rPr>
        <w:t xml:space="preserve">pdb4amber</w:t>
      </w:r>
      <w:r>
        <w:t xml:space="preserve">, because re-issuing those bonds manually produces</w:t>
      </w:r>
      <w:r>
        <w:t xml:space="preserve"> </w:t>
      </w:r>
      <w:r>
        <w:rPr>
          <w:rStyle w:val="VerbatimChar"/>
        </w:rPr>
        <w:t xml:space="preserve">1-4: cannot add bond</w:t>
      </w:r>
      <w:r>
        <w:t xml:space="preserve"> </w:t>
      </w:r>
      <w:r>
        <w:t xml:space="preserve">errors. For macrocycles with uncharged termini,</w:t>
      </w:r>
      <w:r>
        <w:t xml:space="preserve"> </w:t>
      </w:r>
      <w:r>
        <w:rPr>
          <w:rStyle w:val="VerbatimChar"/>
        </w:rPr>
        <w:t xml:space="preserve">clearPdbResMap</w:t>
      </w:r>
      <w:r>
        <w:t xml:space="preserve"> </w:t>
      </w:r>
      <w:r>
        <w:t xml:space="preserve">prevents</w:t>
      </w:r>
      <w:r>
        <w:t xml:space="preserve"> </w:t>
      </w:r>
      <w:r>
        <w:rPr>
          <w:rStyle w:val="VerbatimChar"/>
        </w:rPr>
        <w:t xml:space="preserve">tleap</w:t>
      </w:r>
      <w:r>
        <w:t xml:space="preserve"> </w:t>
      </w:r>
      <w:r>
        <w:t xml:space="preserve">applying terminal templates to a molecule that has no termini.</w:t>
      </w:r>
    </w:p>
    <w:p>
      <w:pPr>
        <w:pStyle w:val="BodyText"/>
      </w:pPr>
      <w:r>
        <w:t xml:space="preserve">Two preparation defects were found during validation, both of which produced plausible but</w:t>
      </w:r>
      <w:r>
        <w:t xml:space="preserve"> </w:t>
      </w:r>
      <w:r>
        <w:t xml:space="preserve">wrong energies, and both of which are corrected here:</w:t>
      </w:r>
    </w:p>
    <w:p>
      <w:pPr>
        <w:pStyle w:val="BodyText"/>
      </w:pPr>
      <w:r>
        <w:rPr>
          <w:b/>
          <w:bCs/>
        </w:rPr>
        <w:t xml:space="preserve">Spurious chain breaks.</w:t>
      </w:r>
      <w:r>
        <w:t xml:space="preserve"> </w:t>
      </w:r>
      <w:r>
        <w:rPr>
          <w:rStyle w:val="VerbatimChar"/>
        </w:rPr>
        <w:t xml:space="preserve">pdb4amber</w:t>
      </w:r>
      <w:r>
        <w:t xml:space="preserve"> </w:t>
      </w:r>
      <w:r>
        <w:t xml:space="preserve">inserted</w:t>
      </w:r>
      <w:r>
        <w:t xml:space="preserve"> </w:t>
      </w:r>
      <w:r>
        <w:rPr>
          <w:rStyle w:val="VerbatimChar"/>
        </w:rPr>
        <w:t xml:space="preserve">TER</w:t>
      </w:r>
      <w:r>
        <w:t xml:space="preserve"> </w:t>
      </w:r>
      <w:r>
        <w:t xml:space="preserve">records into continuous chains, each of</w:t>
      </w:r>
      <w:r>
        <w:t xml:space="preserve"> </w:t>
      </w:r>
      <w:r>
        <w:t xml:space="preserve">which</w:t>
      </w:r>
      <w:r>
        <w:t xml:space="preserve"> </w:t>
      </w:r>
      <w:r>
        <w:rPr>
          <w:rStyle w:val="VerbatimChar"/>
        </w:rPr>
        <w:t xml:space="preserve">tleap</w:t>
      </w:r>
      <w:r>
        <w:t xml:space="preserve"> </w:t>
      </w:r>
      <w:r>
        <w:t xml:space="preserve">capped, producing complexes with initial energies above 10¹⁷ kcal/mol. The problem</w:t>
      </w:r>
      <w:r>
        <w:t xml:space="preserve"> </w:t>
      </w:r>
      <w:r>
        <w:t xml:space="preserve">affects</w:t>
      </w:r>
      <w:r>
        <w:t xml:space="preserve"> </w:t>
      </w:r>
      <w:r>
        <w:rPr>
          <w:b/>
          <w:bCs/>
        </w:rPr>
        <w:t xml:space="preserve">14 of 50 reference complexes, with 9 to 25 spurious records each</w:t>
      </w:r>
      <w:r>
        <w:t xml:space="preserve"> </w:t>
      </w:r>
      <w:r>
        <w:t xml:space="preserve">(the remaining 36</w:t>
      </w:r>
      <w:r>
        <w:t xml:space="preserve"> </w:t>
      </w:r>
      <w:r>
        <w:t xml:space="preserve">are unaffected).</w:t>
      </w:r>
      <w:r>
        <w:t xml:space="preserve"> </w:t>
      </w:r>
      <w:r>
        <w:rPr>
          <w:rStyle w:val="VerbatimChar"/>
        </w:rPr>
        <w:t xml:space="preserve">TER</w:t>
      </w:r>
      <w:r>
        <w:t xml:space="preserve"> </w:t>
      </w:r>
      <w:r>
        <w:t xml:space="preserve">records whose flanking C–N distance is below 2.0 Å are deleted. After the</w:t>
      </w:r>
      <w:r>
        <w:t xml:space="preserve"> </w:t>
      </w:r>
      <w:r>
        <w:t xml:space="preserve">fix, atom counts of a reference complex match published values exactly.</w:t>
      </w:r>
    </w:p>
    <w:p>
      <w:pPr>
        <w:pStyle w:val="BodyText"/>
      </w:pPr>
      <w:r>
        <w:rPr>
          <w:b/>
          <w:bCs/>
        </w:rPr>
        <w:t xml:space="preserve">Unrelieved steric clash.</w:t>
      </w:r>
      <w:r>
        <w:t xml:space="preserve"> </w:t>
      </w:r>
      <w:r>
        <w:t xml:space="preserve">One compound (</w:t>
      </w:r>
      <w:r>
        <w:rPr>
          <w:rStyle w:val="VerbatimChar"/>
        </w:rPr>
        <w:t xml:space="preserve">MCL_1__cpd_55</w:t>
      </w:r>
      <w:r>
        <w:t xml:space="preserve">) passed the pipeline’s own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status while carrying a van der Waals term of</w:t>
      </w:r>
      <w:r>
        <w:t xml:space="preserve"> </w:t>
      </w:r>
      <w:r>
        <w:rPr>
          <w:b/>
          <w:bCs/>
        </w:rPr>
        <w:t xml:space="preserve">+277,293 kcal/mol</w:t>
      </w:r>
      <w:r>
        <w:t xml:space="preserve">, against ≤ −50 kcal/mol for</w:t>
      </w:r>
      <w:r>
        <w:t xml:space="preserve"> </w:t>
      </w:r>
      <w:r>
        <w:t xml:space="preserve">every other compound. A status check does not test for unrelieved overlap. Screening on</w:t>
      </w:r>
      <w:r>
        <w:t xml:space="preserve"> </w:t>
      </w:r>
      <w:r>
        <w:rPr>
          <w:rStyle w:val="VerbatimChar"/>
        </w:rPr>
        <w:t xml:space="preserve">VDWAALS &gt; 0</w:t>
      </w:r>
      <w:r>
        <w:t xml:space="preserve"> </w:t>
      </w:r>
      <w:r>
        <w:t xml:space="preserve">is mandatory before any analysis and is applied throughout. Rank statistics are</w:t>
      </w:r>
      <w:r>
        <w:t xml:space="preserve"> </w:t>
      </w:r>
      <w:r>
        <w:t xml:space="preserve">largely insensitive to this compound (macro Spearman 0.532 → 0.545), but the pooled Pearson</w:t>
      </w:r>
      <w:r>
        <w:t xml:space="preserve"> </w:t>
      </w:r>
      <w:r>
        <w:t xml:space="preserve">correlation moves from −0.048 to</w:t>
      </w:r>
      <w:r>
        <w:t xml:space="preserve"> </w:t>
      </w:r>
      <w:r>
        <w:rPr>
          <w:b/>
          <w:bCs/>
        </w:rPr>
        <w:t xml:space="preserve">+0.265</w:t>
      </w:r>
      <w:r>
        <w:t xml:space="preserve"> </w:t>
      </w:r>
      <w:r>
        <w:t xml:space="preserve">on removing it, and MCL-1’s Pearson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from −0.124</w:t>
      </w:r>
      <w:r>
        <w:t xml:space="preserve"> </w:t>
      </w:r>
      <w:r>
        <w:t xml:space="preserve">to +0.693. A single unrelieved clash was therefore enough to make the method look uncorrelated</w:t>
      </w:r>
      <w:r>
        <w:t xml:space="preserve"> </w:t>
      </w:r>
      <w:r>
        <w:t xml:space="preserve">with experiment.</w:t>
      </w:r>
    </w:p>
    <w:bookmarkEnd w:id="25"/>
    <w:bookmarkStart w:id="33" w:name="force-fields-and-non-canonical-residues"/>
    <w:p>
      <w:pPr>
        <w:pStyle w:val="Heading3"/>
      </w:pPr>
      <w:r>
        <w:t xml:space="preserve">2.3 Force fields and non-canonical residues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assignment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oldff/leaprc.ff03</w:t>
            </w:r>
          </w:p>
        </w:tc>
        <w:tc>
          <w:tcPr/>
          <w:p>
            <w:pPr>
              <w:pStyle w:val="Compact"/>
            </w:pPr>
            <w:r>
              <w:t xml:space="preserve">the leaprc named by the source protocol; it takes terminal residues from</w:t>
            </w:r>
            <w:r>
              <w:t xml:space="preserve"> </w:t>
            </w:r>
            <w:r>
              <w:rPr>
                <w:rStyle w:val="VerbatimChar"/>
              </w:rPr>
              <w:t xml:space="preserve">all_amino{n,c}t94.lib</w:t>
            </w:r>
            <w:r>
              <w:t xml:space="preserve"> </w:t>
            </w:r>
            <w:r>
              <w:t xml:space="preserve">and therefore carries NCYX/CCYX.</w:t>
            </w:r>
            <w:r>
              <w:t xml:space="preserve"> </w:t>
            </w:r>
            <w:r>
              <w:rPr>
                <w:rStyle w:val="VerbatimChar"/>
              </w:rPr>
              <w:t xml:space="preserve">leaprc.protein.ff03.r1</w:t>
            </w:r>
            <w:r>
              <w:t xml:space="preserve"> </w:t>
            </w:r>
            <w:r>
              <w:t xml:space="preserve">has neither and fails on 20 of 50 reference complexes whose terminal residue is a cystine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protein (comparison)</w:t>
            </w:r>
          </w:p>
        </w:tc>
        <w:tc>
          <w:tcPr/>
          <w:p>
            <w:pPr>
              <w:pStyle w:val="Compact"/>
            </w:pPr>
            <w:r>
              <w:t xml:space="preserve">ff14SB,</w:t>
            </w:r>
            <w:r>
              <w:rPr>
                <w:rStyle w:val="FootnoteReference"/>
              </w:rPr>
              <w:footnoteReference w:id="26"/>
            </w:r>
            <w:r>
              <w:t xml:space="preserve"> </w:t>
            </w:r>
            <w:r>
              <w:t xml:space="preserve">ff19SB</w:t>
            </w:r>
            <w:r>
              <w:rPr>
                <w:rStyle w:val="FootnoteReference"/>
              </w:rPr>
              <w:footnoteReference w:id="27"/>
            </w:r>
          </w:p>
        </w:tc>
        <w:tc>
          <w:tcPr/>
          <w:p>
            <w:pPr>
              <w:pStyle w:val="Compact"/>
            </w:pPr>
            <w:r>
              <w:t xml:space="preserve">tested rather than assumed (Section 3.6)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phosphotyrosine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leaprc.phosaa10</w:t>
            </w:r>
            <w:r>
              <w:rPr>
                <w:rStyle w:val="FootnoteReference"/>
              </w:rPr>
              <w:footnoteReference w:id="28"/>
            </w:r>
          </w:p>
        </w:tc>
        <w:tc>
          <w:tcPr/>
          <w:p>
            <w:pPr>
              <w:pStyle w:val="Compact"/>
            </w:pPr>
            <w:r>
              <w:t xml:space="preserve">JAK2’s receptor carries a phosphotyrosine; without it</w:t>
            </w:r>
            <w:r>
              <w:t xml:space="preserve"> </w:t>
            </w:r>
            <w:r>
              <w:rPr>
                <w:rStyle w:val="VerbatimChar"/>
              </w:rPr>
              <w:t xml:space="preserve">tleap</w:t>
            </w:r>
            <w:r>
              <w:t xml:space="preserve"> </w:t>
            </w:r>
            <w:r>
              <w:t xml:space="preserve">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ligands, ncAA side chains</w:t>
            </w:r>
          </w:p>
        </w:tc>
        <w:tc>
          <w:tcPr/>
          <w:p>
            <w:pPr>
              <w:pStyle w:val="Compact"/>
            </w:pPr>
            <w:r>
              <w:t xml:space="preserve">GAFF2</w:t>
            </w:r>
            <w:r>
              <w:rPr>
                <w:rStyle w:val="FootnoteReference"/>
              </w:rPr>
              <w:footnoteReference w:id="29"/>
            </w:r>
            <w:r>
              <w:t xml:space="preserve"> </w:t>
            </w:r>
            <w:r>
              <w:t xml:space="preserve">with AM1-BCC charges</w:t>
            </w:r>
            <w:r>
              <w:rPr>
                <w:rStyle w:val="FootnoteReference"/>
              </w:rPr>
              <w:footnoteReference w:id="30"/>
            </w:r>
          </w:p>
        </w:tc>
        <w:tc>
          <w:tcPr/>
          <w:p>
            <w:pPr>
              <w:pStyle w:val="Compact"/>
            </w:pPr>
            <w:r>
              <w:t xml:space="preserve">standard for non-protein chemistry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 (alchemical legs)</w:t>
            </w:r>
          </w:p>
        </w:tc>
        <w:tc>
          <w:tcPr/>
          <w:p>
            <w:pPr>
              <w:pStyle w:val="Compact"/>
            </w:pPr>
            <w:r>
              <w:t xml:space="preserve">TIP3P</w:t>
            </w:r>
            <w:r>
              <w:rPr>
                <w:rStyle w:val="FootnoteReference"/>
              </w:rPr>
              <w:footnoteReference w:id="31"/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ff19SB is used off-label under implicit solvent: its CMAP correction was parameterised for OPC</w:t>
      </w:r>
      <w:r>
        <w:t xml:space="preserve"> </w:t>
      </w:r>
      <w:r>
        <w:t xml:space="preserve">water and applies only to the 20 standard residues, so a GAFF2-hybrid non-canonical residue</w:t>
      </w:r>
      <w:r>
        <w:t xml:space="preserve"> </w:t>
      </w:r>
      <w:r>
        <w:t xml:space="preserve">never receives it. This is reported rather than hidden.</w:t>
      </w:r>
    </w:p>
    <w:p>
      <w:pPr>
        <w:pStyle w:val="BodyText"/>
      </w:pPr>
      <w:r>
        <w:rPr>
          <w:b/>
          <w:bCs/>
        </w:rPr>
        <w:t xml:space="preserve">Non-canonical residues.</w:t>
      </w:r>
      <w:r>
        <w:t xml:space="preserve"> </w:t>
      </w:r>
      <w:r>
        <w:t xml:space="preserve">The LptA application required parameters for 170 non-standard</w:t>
      </w:r>
      <w:r>
        <w:t xml:space="preserve"> </w:t>
      </w:r>
      <w:r>
        <w:t xml:space="preserve">residues. For each: the polymer-form rotamer is capped with ACE and NME, charges are derived</w:t>
      </w:r>
      <w:r>
        <w:t xml:space="preserve"> </w:t>
      </w:r>
      <w:r>
        <w:t xml:space="preserve">with AM1-BCC on the neutral capped dipeptide,</w:t>
      </w:r>
      <w:r>
        <w:t xml:space="preserve"> </w:t>
      </w:r>
      <w:r>
        <w:rPr>
          <w:rStyle w:val="VerbatimChar"/>
        </w:rPr>
        <w:t xml:space="preserve">prepgen</w:t>
      </w:r>
      <w:r>
        <w:t xml:space="preserve"> </w:t>
      </w:r>
      <w:r>
        <w:t xml:space="preserve">removes the caps and redistributes</w:t>
      </w:r>
      <w:r>
        <w:t xml:space="preserve"> </w:t>
      </w:r>
      <w:r>
        <w:t xml:space="preserve">their charge to give a residue netting zero, and</w:t>
      </w:r>
      <w:r>
        <w:t xml:space="preserve"> </w:t>
      </w:r>
      <w:r>
        <w:rPr>
          <w:rStyle w:val="VerbatimChar"/>
        </w:rPr>
        <w:t xml:space="preserve">parmchk2</w:t>
      </w:r>
      <w:r>
        <w:t xml:space="preserve"> </w:t>
      </w:r>
      <w:r>
        <w:t xml:space="preserve">supplies missing GAFF2 terms.</w:t>
      </w:r>
      <w:r>
        <w:t xml:space="preserve"> </w:t>
      </w:r>
      <w:r>
        <w:t xml:space="preserve">Capping matters because AM1-BCC on a free amino acid fits backbone charges in an environment</w:t>
      </w:r>
      <w:r>
        <w:t xml:space="preserve"> </w:t>
      </w:r>
      <w:r>
        <w:t xml:space="preserve">(–NH₂ / –COOH) the residue never occupies; capping places the fit in a peptide-like context, the</w:t>
      </w:r>
      <w:r>
        <w:t xml:space="preserve"> </w:t>
      </w:r>
      <w:r>
        <w:t xml:space="preserve">standard Amber construction.</w:t>
      </w:r>
      <w:r>
        <w:rPr>
          <w:rStyle w:val="FootnoteReference"/>
        </w:rPr>
        <w:footnoteReference w:id="32"/>
      </w:r>
    </w:p>
    <w:p>
      <w:pPr>
        <w:pStyle w:val="BodyText"/>
      </w:pPr>
      <w:r>
        <w:t xml:space="preserve">The backbone is reassigned to protein atom types while the side chain remains GAFF2, because</w:t>
      </w:r>
      <w:r>
        <w:t xml:space="preserve"> </w:t>
      </w:r>
      <w:r>
        <w:rPr>
          <w:rStyle w:val="VerbatimChar"/>
        </w:rPr>
        <w:t xml:space="preserve">antechamber</w:t>
      </w:r>
      <w:r>
        <w:t xml:space="preserve"> </w:t>
      </w:r>
      <w:r>
        <w:t xml:space="preserve">otherwise types the backbone as GAFF2 and</w:t>
      </w:r>
      <w:r>
        <w:t xml:space="preserve"> </w:t>
      </w:r>
      <w:r>
        <w:rPr>
          <w:rStyle w:val="VerbatimChar"/>
        </w:rPr>
        <w:t xml:space="preserve">tleap</w:t>
      </w:r>
      <w:r>
        <w:t xml:space="preserve"> </w:t>
      </w:r>
      <w:r>
        <w:t xml:space="preserve">has no parameters across the</w:t>
      </w:r>
      <w:r>
        <w:t xml:space="preserve"> </w:t>
      </w:r>
      <w:r>
        <w:t xml:space="preserve">peptide bond to a neighbouring standard residue. The alpha carbon is typed CT for ff03 and CX</w:t>
      </w:r>
      <w:r>
        <w:t xml:space="preserve"> </w:t>
      </w:r>
      <w:r>
        <w:t xml:space="preserve">for ff14SB/ff19SB, so two parameter sets are maintained.</w:t>
      </w:r>
    </w:p>
    <w:p>
      <w:pPr>
        <w:pStyle w:val="BodyText"/>
      </w:pPr>
      <w:r>
        <w:t xml:space="preserve">Every residue is validated by constructing ALA–X–ALA and requiring zero missing parameters;</w:t>
      </w:r>
      <w:r>
        <w:t xml:space="preserve"> </w:t>
      </w:r>
      <w:r>
        <w:t xml:space="preserve">all 170 pass under both typings. This test is necessary because</w:t>
      </w:r>
      <w:r>
        <w:t xml:space="preserve"> </w:t>
      </w:r>
      <w:r>
        <w:rPr>
          <w:rStyle w:val="VerbatimChar"/>
        </w:rPr>
        <w:t xml:space="preserve">tleap</w:t>
      </w:r>
      <w:r>
        <w:t xml:space="preserve"> </w:t>
      </w:r>
      <w:r>
        <w:t xml:space="preserve">writes a topology even</w:t>
      </w:r>
      <w:r>
        <w:t xml:space="preserve"> </w:t>
      </w:r>
      <w:r>
        <w:t xml:space="preserve">when parameters are missing, substituting defaults.</w:t>
      </w:r>
    </w:p>
    <w:p>
      <w:pPr>
        <w:pStyle w:val="BodyText"/>
      </w:pPr>
      <w:r>
        <w:t xml:space="preserve">Six defects were found during parameterisation, four of which produced silently wrong output.</w:t>
      </w:r>
      <w:r>
        <w:t xml:space="preserve"> </w:t>
      </w:r>
      <w:r>
        <w:t xml:space="preserve">Most consequential:</w:t>
      </w:r>
      <w:r>
        <w:t xml:space="preserve"> </w:t>
      </w:r>
      <w:r>
        <w:rPr>
          <w:rStyle w:val="VerbatimChar"/>
        </w:rPr>
        <w:t xml:space="preserve">antechamber</w:t>
      </w:r>
      <w:r>
        <w:t xml:space="preserve"> </w:t>
      </w:r>
      <w:r>
        <w:t xml:space="preserve">infers element from atom name, so every alpha carbon (</w:t>
      </w:r>
      <w:r>
        <w:rPr>
          <w:rStyle w:val="VerbatimChar"/>
        </w:rPr>
        <w:t xml:space="preserve">CA</w:t>
      </w:r>
      <w:r>
        <w:t xml:space="preserve">)</w:t>
      </w:r>
      <w:r>
        <w:t xml:space="preserve"> </w:t>
      </w:r>
      <w:r>
        <w:t xml:space="preserve">was read as calcium and 61 aromatic carbons named</w:t>
      </w:r>
      <w:r>
        <w:t xml:space="preserve"> </w:t>
      </w:r>
      <w:r>
        <w:rPr>
          <w:rStyle w:val="VerbatimChar"/>
        </w:rPr>
        <w:t xml:space="preserve">CL*</w:t>
      </w:r>
      <w:r>
        <w:t xml:space="preserve"> </w:t>
      </w:r>
      <w:r>
        <w:t xml:space="preserve">as chlorine; and GAFF2 has no selenium,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antechamber</w:t>
      </w:r>
      <w:r>
        <w:t xml:space="preserve"> </w:t>
      </w:r>
      <w:r>
        <w:t xml:space="preserve">silently retyped Se as sulfur while</w:t>
      </w:r>
      <w:r>
        <w:t xml:space="preserve"> </w:t>
      </w:r>
      <w:r>
        <w:rPr>
          <w:rStyle w:val="VerbatimChar"/>
        </w:rPr>
        <w:t xml:space="preserve">parmchk2</w:t>
      </w:r>
      <w:r>
        <w:t xml:space="preserve"> </w:t>
      </w:r>
      <w:r>
        <w:t xml:space="preserve">reported nothing missing. Two</w:t>
      </w:r>
      <w:r>
        <w:t xml:space="preserve"> </w:t>
      </w:r>
      <w:r>
        <w:t xml:space="preserve">selenium-containing residues remain approximations and are flagged as such.</w:t>
      </w:r>
    </w:p>
    <w:bookmarkEnd w:id="33"/>
    <w:bookmarkStart w:id="36" w:name="energy-minimisation"/>
    <w:p>
      <w:pPr>
        <w:pStyle w:val="Heading3"/>
      </w:pPr>
      <w:r>
        <w:t xml:space="preserve">2.4 Energy minimisation</w:t>
      </w:r>
    </w:p>
    <w:p>
      <w:pPr>
        <w:pStyle w:val="FirstParagraph"/>
      </w:pPr>
      <w:r>
        <w:t xml:space="preserve">Minimisation follows the published settings —</w:t>
      </w:r>
      <w:r>
        <w:t xml:space="preserve"> </w:t>
      </w:r>
      <w:r>
        <w:rPr>
          <w:rStyle w:val="VerbatimChar"/>
        </w:rPr>
        <w:t xml:space="preserve">imin=1, maxcyc=5000, ncyc=2000, cut=1000.0, igb=2</w:t>
      </w:r>
      <w:r>
        <w:t xml:space="preserve"> </w:t>
      </w:r>
      <w:r>
        <w:t xml:space="preserve">— corresponding to 2000 steps of steepest descent then conjugate gradient in the</w:t>
      </w:r>
      <w:r>
        <w:t xml:space="preserve"> </w:t>
      </w:r>
      <w:r>
        <w:t xml:space="preserve">Onufriev–Bashford–Case generalised Born model</w:t>
      </w:r>
      <w:r>
        <w:rPr>
          <w:rStyle w:val="FootnoteReference"/>
        </w:rPr>
        <w:footnoteReference w:id="34"/>
      </w:r>
      <w:r>
        <w:t xml:space="preserve"> </w:t>
      </w:r>
      <w:r>
        <w:t xml:space="preserve">with no nonbonded cutoff.</w:t>
      </w:r>
    </w:p>
    <w:p>
      <w:pPr>
        <w:pStyle w:val="BodyText"/>
      </w:pPr>
      <w:r>
        <w:t xml:space="preserve">Because the available AmberTools build does not ship</w:t>
      </w:r>
      <w:r>
        <w:t xml:space="preserve"> </w:t>
      </w:r>
      <w:r>
        <w:rPr>
          <w:rStyle w:val="VerbatimChar"/>
        </w:rPr>
        <w:t xml:space="preserve">pmemd.cuda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sander</w:t>
      </w:r>
      <w:r>
        <w:t xml:space="preserve"> </w:t>
      </w:r>
      <w:r>
        <w:t xml:space="preserve">requires hours</w:t>
      </w:r>
      <w:r>
        <w:t xml:space="preserve"> </w:t>
      </w:r>
      <w:r>
        <w:t xml:space="preserve">per complex at</w:t>
      </w:r>
      <w:r>
        <w:t xml:space="preserve"> </w:t>
      </w:r>
      <w:r>
        <w:rPr>
          <w:rStyle w:val="VerbatimChar"/>
        </w:rPr>
        <w:t xml:space="preserve">cut=1000</w:t>
      </w:r>
      <w:r>
        <w:t xml:space="preserve">, minimisation is performed in OpenMM</w:t>
      </w:r>
      <w:r>
        <w:rPr>
          <w:rStyle w:val="FootnoteReference"/>
        </w:rPr>
        <w:footnoteReference w:id="35"/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OBC1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NoCutoff</w:t>
      </w:r>
      <w:r>
        <w:t xml:space="preserve">, the direct equivalents. The two engines are not identical, so the OpenMM L-BFGS</w:t>
      </w:r>
      <w:r>
        <w:t xml:space="preserve"> </w:t>
      </w:r>
      <w:r>
        <w:t xml:space="preserve">iteration count was</w:t>
      </w:r>
      <w:r>
        <w:t xml:space="preserve"> </w:t>
      </w:r>
      <w:r>
        <w:rPr>
          <w:b/>
          <w:bCs/>
        </w:rPr>
        <w:t xml:space="preserve">calibrated against sander by structural drift</w:t>
      </w:r>
      <w:r>
        <w:t xml:space="preserve">: sander’s 5000 cycles move</w:t>
      </w:r>
      <w:r>
        <w:t xml:space="preserve"> </w:t>
      </w:r>
      <w:r>
        <w:t xml:space="preserve">the complex 0.84 Å RMSD, an unrestricted OpenMM minimisation 1.25 Å. A cap of 500 iterations</w:t>
      </w:r>
      <w:r>
        <w:t xml:space="preserve"> </w:t>
      </w:r>
      <w:r>
        <w:t xml:space="preserve">reproduces sander’s drift and is used throughout.</w:t>
      </w:r>
    </w:p>
    <w:p>
      <w:pPr>
        <w:pStyle w:val="BodyText"/>
      </w:pPr>
      <w:r>
        <w:t xml:space="preserve">This calibration is load-bearing. On KRAS, removing the cap changes the correlation from +0.225</w:t>
      </w:r>
      <w:r>
        <w:t xml:space="preserve"> </w:t>
      </w:r>
      <w:r>
        <w:t xml:space="preserve">to +0.529, and the spread introduced by the stopping point (SD 3.60 kcal/mol) is as large as</w:t>
      </w:r>
      <w:r>
        <w:t xml:space="preserve"> </w:t>
      </w:r>
      <w:r>
        <w:t xml:space="preserve">the entire between-compound signal (SD 3.53) — a ratio of 1.02. Removing the cap does not</w:t>
      </w:r>
      <w:r>
        <w:t xml:space="preserve"> </w:t>
      </w:r>
      <w:r>
        <w:t xml:space="preserve">generalise: it improves KRAS by +0.304 and degrades PCSK9 by −0.280, for a net macro change of</w:t>
      </w:r>
      <w:r>
        <w:t xml:space="preserve"> </w:t>
      </w:r>
      <w:r>
        <w:t xml:space="preserve">−0.009 (cluster bootstrap +0.110, 95% CI [−0.066, +0.230]).</w:t>
      </w:r>
    </w:p>
    <w:bookmarkEnd w:id="36"/>
    <w:bookmarkStart w:id="39" w:name="free-energy-evaluation"/>
    <w:p>
      <w:pPr>
        <w:pStyle w:val="Heading3"/>
      </w:pPr>
      <w:r>
        <w:t xml:space="preserve">2.5 Free-energy evaluation</w:t>
      </w:r>
    </w:p>
    <w:p>
      <w:pPr>
        <w:pStyle w:val="FirstParagraph"/>
      </w:pPr>
      <w:r>
        <w:rPr>
          <w:rStyle w:val="VerbatimChar"/>
        </w:rPr>
        <w:t xml:space="preserve">MMPBSA.py</w:t>
      </w:r>
      <w:r>
        <w:rPr>
          <w:rStyle w:val="FootnoteReference"/>
        </w:rPr>
        <w:footnoteReference w:id="37"/>
      </w:r>
      <w:r>
        <w:t xml:space="preserve"> </w:t>
      </w:r>
      <w:r>
        <w:t xml:space="preserve">is run single-trajectory, so receptor internal energy cancels exactly.</w:t>
      </w:r>
      <w:r>
        <w:t xml:space="preserve"> </w:t>
      </w:r>
      <w:r>
        <w:t xml:space="preserve">Poisson–Boltzmann calculations use the internal solver with interior dielectric 2.0, exterior</w:t>
      </w:r>
      <w:r>
        <w:t xml:space="preserve"> </w:t>
      </w:r>
      <w:r>
        <w:t xml:space="preserve">80.0, and the LCPO nonpolar model (</w:t>
      </w:r>
      <w:r>
        <w:rPr>
          <w:rStyle w:val="VerbatimChar"/>
        </w:rPr>
        <w:t xml:space="preserve">inp=1</w:t>
      </w:r>
      <w:r>
        <w:t xml:space="preserve">,</w:t>
      </w:r>
      <w:r>
        <w:t xml:space="preserve"> </w:t>
      </w:r>
      <w:r>
        <w:rPr>
          <w:rStyle w:val="VerbatimChar"/>
        </w:rPr>
        <w:t xml:space="preserve">cavity_surften=0.0072</w:t>
      </w:r>
      <w:r>
        <w:t xml:space="preserve">,</w:t>
      </w:r>
      <w:r>
        <w:t xml:space="preserve"> </w:t>
      </w:r>
      <w:r>
        <w:rPr>
          <w:rStyle w:val="VerbatimChar"/>
        </w:rPr>
        <w:t xml:space="preserve">cavity_offset=0</w:t>
      </w:r>
      <w:r>
        <w:t xml:space="preserve">).</w:t>
      </w:r>
      <w:r>
        <w:t xml:space="preserve"> </w:t>
      </w:r>
      <w:r>
        <w:t xml:space="preserve">Arms at εᵢₙ = 1 and 4 and GB arms are computed in parallel for comparison.</w:t>
      </w:r>
      <w:r>
        <w:t xml:space="preserve"> </w:t>
      </w:r>
      <w:r>
        <w:rPr>
          <w:b/>
          <w:bCs/>
        </w:rPr>
        <w:t xml:space="preserve">No entropy term is</w:t>
      </w:r>
      <w:r>
        <w:rPr>
          <w:b/>
          <w:bCs/>
        </w:rPr>
        <w:t xml:space="preserve"> </w:t>
      </w:r>
      <w:r>
        <w:rPr>
          <w:b/>
          <w:bCs/>
        </w:rPr>
        <w:t xml:space="preserve">included</w:t>
      </w:r>
      <w:r>
        <w:t xml:space="preserve">, following the source protocol.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intdiel</w:t>
      </w:r>
      <w:r>
        <w:t xml:space="preserve"> </w:t>
      </w:r>
      <w:r>
        <w:t xml:space="preserve">keyword is silently ignored by both engines when passed through</w:t>
      </w:r>
      <w:r>
        <w:t xml:space="preserve"> </w:t>
      </w:r>
      <w:r>
        <w:rPr>
          <w:rStyle w:val="VerbatimChar"/>
        </w:rPr>
        <w:t xml:space="preserve">&amp;pb</w:t>
      </w:r>
      <w:r>
        <w:t xml:space="preserve">. The</w:t>
      </w:r>
      <w:r>
        <w:t xml:space="preserve"> </w:t>
      </w:r>
      <w:r>
        <w:t xml:space="preserve">dielectric is therefore set by writing</w:t>
      </w:r>
      <w:r>
        <w:t xml:space="preserve"> </w:t>
      </w:r>
      <w:r>
        <w:rPr>
          <w:rStyle w:val="VerbatimChar"/>
        </w:rPr>
        <w:t xml:space="preserve">use_sander=1</w:t>
      </w:r>
      <w:r>
        <w:t xml:space="preserve">, generating inputs with</w:t>
      </w:r>
      <w:r>
        <w:t xml:space="preserve"> </w:t>
      </w:r>
      <w:r>
        <w:rPr>
          <w:rStyle w:val="VerbatimChar"/>
        </w:rPr>
        <w:t xml:space="preserve">-make-mdins</w:t>
      </w:r>
      <w:r>
        <w:t xml:space="preserve">,</w:t>
      </w:r>
      <w:r>
        <w:t xml:space="preserve"> </w:t>
      </w:r>
      <w:r>
        <w:t xml:space="preserve">injecting</w:t>
      </w:r>
      <w:r>
        <w:t xml:space="preserve"> </w:t>
      </w:r>
      <w:r>
        <w:rPr>
          <w:rStyle w:val="VerbatimChar"/>
        </w:rPr>
        <w:t xml:space="preserve">intdiel</w:t>
      </w:r>
      <w:r>
        <w:t xml:space="preserve"> </w:t>
      </w:r>
      <w:r>
        <w:t xml:space="preserve">into the generated</w:t>
      </w:r>
      <w:r>
        <w:t xml:space="preserve"> </w:t>
      </w:r>
      <w:r>
        <w:rPr>
          <w:rStyle w:val="VerbatimChar"/>
        </w:rPr>
        <w:t xml:space="preserve">_MM_gb.mdin</w:t>
      </w:r>
      <w:r>
        <w:t xml:space="preserve">, and re-running with</w:t>
      </w:r>
      <w:r>
        <w:t xml:space="preserve"> </w:t>
      </w:r>
      <w:r>
        <w:rPr>
          <w:rStyle w:val="VerbatimChar"/>
        </w:rPr>
        <w:t xml:space="preserve">-use-mdins</w:t>
      </w:r>
      <w:r>
        <w:t xml:space="preserve">. Without</w:t>
      </w:r>
      <w:r>
        <w:t xml:space="preserve"> </w:t>
      </w:r>
      <w:r>
        <w:t xml:space="preserve">this, every</w:t>
      </w:r>
      <w:r>
        <w:t xml:space="preserve"> </w:t>
      </w:r>
      <w:r>
        <w:t xml:space="preserve">“different dielectric”</w:t>
      </w:r>
      <w:r>
        <w:t xml:space="preserve"> </w:t>
      </w:r>
      <w:r>
        <w:t xml:space="preserve">arm silently returns identical numbers.</w:t>
      </w:r>
    </w:p>
    <w:p>
      <w:pPr>
        <w:pStyle w:val="BodyText"/>
      </w:pPr>
      <w:r>
        <w:t xml:space="preserve">The protocol is</w:t>
      </w:r>
      <w:r>
        <w:t xml:space="preserve"> </w:t>
      </w:r>
      <w:r>
        <w:rPr>
          <w:b/>
          <w:bCs/>
        </w:rPr>
        <w:t xml:space="preserve">single-structure</w:t>
      </w:r>
      <w:r>
        <w:t xml:space="preserve">: one minimised geometry is scored, not an ensemble.</w:t>
      </w:r>
      <w:r>
        <w:t xml:space="preserve"> </w:t>
      </w:r>
      <w:r>
        <w:t xml:space="preserve">MMPBSA.py reports</w:t>
      </w:r>
      <w:r>
        <w:t xml:space="preserve"> </w:t>
      </w:r>
      <w:r>
        <w:rPr>
          <w:rStyle w:val="VerbatimChar"/>
        </w:rPr>
        <w:t xml:space="preserve">Calculations performed using 1.0 complex frames</w:t>
      </w:r>
      <w:r>
        <w:t xml:space="preserve"> </w:t>
      </w:r>
      <w:r>
        <w:t xml:space="preserve">with zero standard error.</w:t>
      </w:r>
      <w:r>
        <w:t xml:space="preserve"> </w:t>
      </w:r>
      <w:r>
        <w:t xml:space="preserve">This is the source protocol’s design, stated explicitly because</w:t>
      </w:r>
      <w:r>
        <w:t xml:space="preserve"> </w:t>
      </w:r>
      <w:r>
        <w:t xml:space="preserve">“MM/PBSA”</w:t>
      </w:r>
      <w:r>
        <w:t xml:space="preserve"> </w:t>
      </w:r>
      <w:r>
        <w:t xml:space="preserve">usually implies</w:t>
      </w:r>
      <w:r>
        <w:t xml:space="preserve"> </w:t>
      </w:r>
      <w:r>
        <w:t xml:space="preserve">ensemble averaging. The choice is defensible on published evidence that MM/PBSA correlation</w:t>
      </w:r>
      <w:r>
        <w:t xml:space="preserve"> </w:t>
      </w:r>
      <w:r>
        <w:t xml:space="preserve">does not generally improve with longer sampling because the limiting error is bias rather than</w:t>
      </w:r>
      <w:r>
        <w:t xml:space="preserve"> </w:t>
      </w:r>
      <w:r>
        <w:t xml:space="preserve">variance;</w:t>
      </w:r>
      <w:r>
        <w:rPr>
          <w:rStyle w:val="FootnoteReference"/>
        </w:rPr>
        <w:footnoteReference w:id="38"/>
      </w:r>
      <w:r>
        <w:t xml:space="preserve"> </w:t>
      </w:r>
      <w:r>
        <w:t xml:space="preserve">we tested it directly (Section 3.7).</w:t>
      </w:r>
    </w:p>
    <w:p>
      <w:pPr>
        <w:pStyle w:val="BlockText"/>
      </w:pPr>
      <w:r>
        <w:rPr>
          <w:b/>
          <w:bCs/>
        </w:rPr>
        <w:t xml:space="preserve">Box 2 — What MM/PBSA actually computes</w:t>
      </w:r>
    </w:p>
    <w:p>
      <w:pPr>
        <w:pStyle w:val="BlockText"/>
      </w:pPr>
      <w:r>
        <w:t xml:space="preserve">Take the structure of the peptide sitting in the protein’s binding site. Add up the</w:t>
      </w:r>
      <w:r>
        <w:t xml:space="preserve"> </w:t>
      </w:r>
      <w:r>
        <w:t xml:space="preserve">electrostatic and van der Waals attraction between them: that is the gas-phase interaction</w:t>
      </w:r>
      <w:r>
        <w:t xml:space="preserve"> </w:t>
      </w:r>
      <w:r>
        <w:t xml:space="preserve">energy, and it is always favourable. But in water, both surfaces are coated with ordered water</w:t>
      </w:r>
      <w:r>
        <w:t xml:space="preserve"> </w:t>
      </w:r>
      <w:r>
        <w:t xml:space="preserve">molecules that must be stripped off before they can touch, and that costs energy. MM/PBSA</w:t>
      </w:r>
      <w:r>
        <w:t xml:space="preserve"> </w:t>
      </w:r>
      <w:r>
        <w:t xml:space="preserve">estimates this desolvation penalty by solving the Poisson–Boltzmann equation, treating water</w:t>
      </w:r>
      <w:r>
        <w:t xml:space="preserve"> </w:t>
      </w:r>
      <w:r>
        <w:t xml:space="preserve">as a continuous dielectric rather than individual molecules.</w:t>
      </w:r>
    </w:p>
    <w:p>
      <w:pPr>
        <w:pStyle w:val="BlockText"/>
      </w:pPr>
      <w:r>
        <w:t xml:space="preserve">The binding score is attraction minus desolvation. What it omits is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— the freedom</w:t>
      </w:r>
      <w:r>
        <w:t xml:space="preserve"> </w:t>
      </w:r>
      <w:r>
        <w:t xml:space="preserve">the peptide loses when it stops tumbling in solution and locks into one conformation. That</w:t>
      </w:r>
      <w:r>
        <w:t xml:space="preserve"> </w:t>
      </w:r>
      <w:r>
        <w:t xml:space="preserve">omission is why the numbers are not free energies (Section 3.4).</w:t>
      </w:r>
    </w:p>
    <w:bookmarkEnd w:id="39"/>
    <w:bookmarkStart w:id="40" w:name="statistical-evaluation"/>
    <w:p>
      <w:pPr>
        <w:pStyle w:val="Heading3"/>
      </w:pPr>
      <w:r>
        <w:t xml:space="preserve">2.6 Statistical evaluation</w:t>
      </w:r>
    </w:p>
    <w:p>
      <w:pPr>
        <w:pStyle w:val="FirstParagraph"/>
      </w:pPr>
      <w:r>
        <w:rPr>
          <w:b/>
          <w:bCs/>
        </w:rPr>
        <w:t xml:space="preserve">Primary estimator.</w:t>
      </w:r>
      <w:r>
        <w:t xml:space="preserve"> </w:t>
      </w:r>
      <w:r>
        <w:t xml:space="preserve">Spearman’s ρ computed within receptor group and averaged across targets,</w:t>
      </w:r>
      <w:r>
        <w:t xml:space="preserve"> </w:t>
      </w:r>
      <w:r>
        <w:t xml:space="preserve">each target weighted equally. Pooling compounds across targets is rejected: it rewards a method</w:t>
      </w:r>
      <w:r>
        <w:t xml:space="preserve"> </w:t>
      </w:r>
      <w:r>
        <w:t xml:space="preserve">for knowing that one series is systematically more potent than another, which is not the</w:t>
      </w:r>
      <w:r>
        <w:t xml:space="preserve"> </w:t>
      </w:r>
      <w:r>
        <w:t xml:space="preserve">question a design campaign asks. Section 3.2 quantifies the resulting inflation within our own</w:t>
      </w:r>
      <w:r>
        <w:t xml:space="preserve"> </w:t>
      </w:r>
      <w:r>
        <w:t xml:space="preserve">data.</w:t>
      </w:r>
    </w:p>
    <w:p>
      <w:pPr>
        <w:pStyle w:val="BodyText"/>
      </w:pPr>
      <w:r>
        <w:rPr>
          <w:b/>
          <w:bCs/>
        </w:rPr>
        <w:t xml:space="preserve">Size-matched pairwise accuracy — the primary measure.</w:t>
      </w:r>
      <w:r>
        <w:t xml:space="preserve"> </w:t>
      </w:r>
      <w:r>
        <w:t xml:space="preserve">For each target we enumerate all</w:t>
      </w:r>
      <w:r>
        <w:t xml:space="preserve"> </w:t>
      </w:r>
      <w:r>
        <w:t xml:space="preserve">compound pairs whose measured affinities differ by at least 0.5 kcal/mol (</w:t>
      </w:r>
      <w:r>
        <w:t xml:space="preserve">“decisive”</w:t>
      </w:r>
      <w:r>
        <w:t xml:space="preserve"> </w:t>
      </w:r>
      <w:r>
        <w:t xml:space="preserve">pairs) and</w:t>
      </w:r>
      <w:r>
        <w:t xml:space="preserve"> </w:t>
      </w:r>
      <w:r>
        <w:t xml:space="preserve">whose ligand heavy-atom counts are equal. For each pair we ask whether the method orders them</w:t>
      </w:r>
      <w:r>
        <w:t xml:space="preserve"> </w:t>
      </w:r>
      <w:r>
        <w:t xml:space="preserve">correctly. Chance is 0.5. A size descriptor is undefined on these pairs, because the sizes are</w:t>
      </w:r>
      <w:r>
        <w:t xml:space="preserve"> </w:t>
      </w:r>
      <w:r>
        <w:t xml:space="preserve">equal. We report the band |Δheavy| = 0 as the primary analysis and |Δheavy| ≤ 3 as a</w:t>
      </w:r>
      <w:r>
        <w:t xml:space="preserve"> </w:t>
      </w:r>
      <w:r>
        <w:t xml:space="preserve">better-powered secondary.</w:t>
      </w:r>
    </w:p>
    <w:p>
      <w:pPr>
        <w:pStyle w:val="BodyText"/>
      </w:pPr>
      <w:r>
        <w:rPr>
          <w:b/>
          <w:bCs/>
        </w:rPr>
        <w:t xml:space="preserve">Uncertainty.</w:t>
      </w:r>
      <w:r>
        <w:t xml:space="preserve"> </w:t>
      </w:r>
      <w:r>
        <w:t xml:space="preserve">Bootstrap over pairs within each target (2,000 resamples) and over targets for</w:t>
      </w:r>
      <w:r>
        <w:t xml:space="preserve"> </w:t>
      </w:r>
      <w:r>
        <w:t xml:space="preserve">macro values (5,000 resamples). Compounds within a receptor group are not independent, so where</w:t>
      </w:r>
      <w:r>
        <w:t xml:space="preserve"> </w:t>
      </w:r>
      <w:r>
        <w:t xml:space="preserve">Spearman correlations are reported the bootstrap resamples</w:t>
      </w:r>
      <w:r>
        <w:t xml:space="preserve"> </w:t>
      </w:r>
      <w:r>
        <w:rPr>
          <w:b/>
          <w:bCs/>
        </w:rPr>
        <w:t xml:space="preserve">receptor groups</w:t>
      </w:r>
      <w:r>
        <w:t xml:space="preserve">, not compounds.</w:t>
      </w:r>
    </w:p>
    <w:p>
      <w:pPr>
        <w:pStyle w:val="BodyText"/>
      </w:pPr>
      <w:r>
        <w:rPr>
          <w:b/>
          <w:bCs/>
        </w:rPr>
        <w:t xml:space="preserve">Controls.</w:t>
      </w:r>
      <w:r>
        <w:t xml:space="preserve"> </w:t>
      </w:r>
      <w:r>
        <w:t xml:space="preserve">Ligand heavy-atom count is computed on the same compounds with the same</w:t>
      </w:r>
      <w:r>
        <w:t xml:space="preserve"> </w:t>
      </w:r>
      <w:r>
        <w:t xml:space="preserve">estimator throughout. Censored measurements are retained and flagged in correlation analyses</w:t>
      </w:r>
      <w:r>
        <w:t xml:space="preserve"> </w:t>
      </w:r>
      <w:r>
        <w:t xml:space="preserve">and excluded from pairwise analyses where the ordering would be ambiguous.</w:t>
      </w:r>
    </w:p>
    <w:p>
      <w:pPr>
        <w:pStyle w:val="BlockText"/>
      </w:pPr>
      <w:r>
        <w:rPr>
          <w:b/>
          <w:bCs/>
        </w:rPr>
        <w:t xml:space="preserve">Box 3 — How to read a pairwise accuracy</w:t>
      </w:r>
    </w:p>
    <w:p>
      <w:pPr>
        <w:pStyle w:val="BlockText"/>
      </w:pPr>
      <w:r>
        <w:t xml:space="preserve">Hand the method two peptides whose measured affinities genuinely differ, and ask which binds</w:t>
      </w:r>
      <w:r>
        <w:t xml:space="preserve"> </w:t>
      </w:r>
      <w:r>
        <w:t xml:space="preserve">tighter. Do that for every such pair. The fraction it gets right is the pairwise accuracy.</w:t>
      </w:r>
    </w:p>
    <w:p>
      <w:pPr>
        <w:pStyle w:val="BlockText"/>
      </w:pPr>
      <w:r>
        <w:t xml:space="preserve">A coin gets 50%. A perfect method gets 100%. 60% means that in a head-to-head choice between</w:t>
      </w:r>
      <w:r>
        <w:t xml:space="preserve"> </w:t>
      </w:r>
      <w:r>
        <w:t xml:space="preserve">two candidates, the method is right three times in five instead of one in two. That is a</w:t>
      </w:r>
      <w:r>
        <w:t xml:space="preserve"> </w:t>
      </w:r>
      <w:r>
        <w:t xml:space="preserve">modest edge, but across a campaign of many such choices it is not nothing — and crucially it</w:t>
      </w:r>
      <w:r>
        <w:t xml:space="preserve"> </w:t>
      </w:r>
      <w:r>
        <w:t xml:space="preserve">is measured here in a setting where the obvious shortcut,</w:t>
      </w:r>
      <w:r>
        <w:t xml:space="preserve"> </w:t>
      </w:r>
      <w:r>
        <w:t xml:space="preserve">“pick the bigger one”</w:t>
      </w:r>
      <w:r>
        <w:t xml:space="preserve">, is</w:t>
      </w:r>
      <w:r>
        <w:t xml:space="preserve"> </w:t>
      </w:r>
      <w:r>
        <w:t xml:space="preserve">unavailable.</w:t>
      </w:r>
    </w:p>
    <w:bookmarkEnd w:id="40"/>
    <w:bookmarkStart w:id="41" w:name="software"/>
    <w:p>
      <w:pPr>
        <w:pStyle w:val="Heading3"/>
      </w:pPr>
      <w:r>
        <w:t xml:space="preserve">2.7 Software</w:t>
      </w:r>
    </w:p>
    <w:p>
      <w:pPr>
        <w:pStyle w:val="FirstParagraph"/>
      </w:pPr>
      <w:r>
        <w:t xml:space="preserve">AmberTools 25/26 (</w:t>
      </w:r>
      <w:r>
        <w:rPr>
          <w:rStyle w:val="VerbatimChar"/>
        </w:rPr>
        <w:t xml:space="preserve">tleap</w:t>
      </w:r>
      <w:r>
        <w:t xml:space="preserve">,</w:t>
      </w:r>
      <w:r>
        <w:t xml:space="preserve"> </w:t>
      </w:r>
      <w:r>
        <w:rPr>
          <w:rStyle w:val="VerbatimChar"/>
        </w:rPr>
        <w:t xml:space="preserve">antechamber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parmchk2</w:t>
      </w:r>
      <w:r>
        <w:t xml:space="preserve">,</w:t>
      </w:r>
      <w:r>
        <w:t xml:space="preserve"> </w:t>
      </w:r>
      <w:r>
        <w:rPr>
          <w:rStyle w:val="VerbatimChar"/>
        </w:rPr>
        <w:t xml:space="preserve">prepgen</w:t>
      </w:r>
      <w:r>
        <w:t xml:space="preserve">,</w:t>
      </w:r>
      <w:r>
        <w:t xml:space="preserve"> </w:t>
      </w:r>
      <w:r>
        <w:rPr>
          <w:rStyle w:val="VerbatimChar"/>
        </w:rPr>
        <w:t xml:space="preserve">cpptraj</w:t>
      </w:r>
      <w:r>
        <w:t xml:space="preserve">,</w:t>
      </w:r>
      <w:r>
        <w:t xml:space="preserve"> </w:t>
      </w:r>
      <w:r>
        <w:rPr>
          <w:rStyle w:val="VerbatimChar"/>
        </w:rPr>
        <w:t xml:space="preserve">MMPBSA.py</w:t>
      </w:r>
      <w:r>
        <w:t xml:space="preserve">);</w:t>
      </w:r>
      <w:r>
        <w:t xml:space="preserve"> </w:t>
      </w:r>
      <w:r>
        <w:t xml:space="preserve">OpenMM 8 (CUDA, mixed precision); RDKit 2025.03/2026.03; ParmEd; NumPy, SciPy, pandas; UCSF</w:t>
      </w:r>
      <w:r>
        <w:t xml:space="preserve"> </w:t>
      </w:r>
      <w:r>
        <w:t xml:space="preserve">ChimeraX 1.12 for visualisation. Hardware: NVIDIA RTX PRO 6000 Blackwell and NVIDIA H100 80GB.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3" w:name="results"/>
    <w:p>
      <w:pPr>
        <w:pStyle w:val="Heading2"/>
      </w:pPr>
      <w:r>
        <w:t xml:space="preserve">3. Results</w:t>
      </w:r>
    </w:p>
    <w:bookmarkStart w:id="44" w:name="X0c67308072928e279265f3300c3afd2698c61c5"/>
    <w:p>
      <w:pPr>
        <w:pStyle w:val="Heading3"/>
      </w:pPr>
      <w:r>
        <w:t xml:space="preserve">3.1 The protocol reproduces, with a caveat on what is being reproduced</w:t>
      </w:r>
    </w:p>
    <w:p>
      <w:pPr>
        <w:pStyle w:val="FirstParagraph"/>
      </w:pPr>
      <w:r>
        <w:t xml:space="preserve">Scoring the source protocol’s 50-complex Dataset I under ff03 with PB at εᵢₙ = 2 gives a Pearson</w:t>
      </w:r>
      <w:r>
        <w:t xml:space="preserve"> </w:t>
      </w:r>
      <w:r>
        <w:t xml:space="preserve">correlation of −0.382, against the −0.545 reported for the equivalent arm.</w:t>
      </w:r>
      <w:r>
        <w:rPr>
          <w:rStyle w:val="FootnoteReference"/>
        </w:rPr>
        <w:footnoteReference w:id="43"/>
      </w:r>
      <w:r>
        <w:t xml:space="preserve"> </w:t>
      </w:r>
      <w:r>
        <w:t xml:space="preserve">The headline</w:t>
      </w:r>
      <w:r>
        <w:t xml:space="preserve"> </w:t>
      </w:r>
      <w:r>
        <w:t xml:space="preserve">−0.732 in that work is a two-step workflow that first re-ranks docked poses and then scores the</w:t>
      </w:r>
      <w:r>
        <w:t xml:space="preserve"> </w:t>
      </w:r>
      <w:r>
        <w:t xml:space="preserve">selected pose; our evaluation scores the deposited pose directly, so the two numbers are not</w:t>
      </w:r>
      <w:r>
        <w:t xml:space="preserve"> </w:t>
      </w:r>
      <w:r>
        <w:t xml:space="preserve">comparable and we do not treat the gap as a replication failure.</w:t>
      </w:r>
    </w:p>
    <w:p>
      <w:pPr>
        <w:pStyle w:val="BodyText"/>
      </w:pPr>
      <w:r>
        <w:t xml:space="preserve">Transferring the protocol unchanged to the independent five-target cohort gives a macro</w:t>
      </w:r>
      <w:r>
        <w:t xml:space="preserve"> </w:t>
      </w:r>
      <w:r>
        <w:t xml:space="preserve">Spearman ρ of</w:t>
      </w:r>
      <w:r>
        <w:t xml:space="preserve"> </w:t>
      </w:r>
      <w:r>
        <w:rPr>
          <w:b/>
          <w:bCs/>
        </w:rPr>
        <w:t xml:space="preserve">+0.545</w:t>
      </w:r>
      <w:r>
        <w:t xml:space="preserve"> </w:t>
      </w:r>
      <w:r>
        <w:t xml:space="preserve">across 234 compounds (Figure 3; per-target values in Table 1).</w:t>
      </w:r>
    </w:p>
    <w:p>
      <w:pPr>
        <w:pStyle w:val="BodyText"/>
      </w:pPr>
      <w:r>
        <w:rPr>
          <w:b/>
          <w:bCs/>
        </w:rPr>
        <w:t xml:space="preserve">Table 1.</w:t>
      </w:r>
      <w:r>
        <w:t xml:space="preserve"> </w:t>
      </w:r>
      <w:r>
        <w:t xml:space="preserve">Per-target performance on the Awoonor-Williams cohort. Pearson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and Spearman ρ</w:t>
      </w:r>
      <w:r>
        <w:t xml:space="preserve"> </w:t>
      </w:r>
      <w:r>
        <w:t xml:space="preserve">are computed within receptor group.</w:t>
      </w:r>
      <w:r>
        <w:t xml:space="preserve"> </w:t>
      </w:r>
      <w:r>
        <w:t xml:space="preserve">“Slope”</w:t>
      </w:r>
      <w:r>
        <w:t xml:space="preserve"> </w:t>
      </w:r>
      <w:r>
        <w:t xml:space="preserve">is the per-target regression slope of score on</w:t>
      </w:r>
      <w:r>
        <w:t xml:space="preserve"> </w:t>
      </w:r>
      <w:r>
        <w:t xml:space="preserve">experiment; its reciprocal gives the factor by which ΔΔG spread is inflated.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021"/>
        <w:gridCol w:w="1021"/>
        <w:gridCol w:w="1021"/>
        <w:gridCol w:w="1021"/>
        <w:gridCol w:w="1021"/>
        <w:gridCol w:w="1021"/>
        <w:gridCol w:w="10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MM/PBSA</w:t>
            </w:r>
            <w:r>
              <w:t xml:space="preserve"> </w:t>
            </w:r>
            <w:r>
              <w:rPr>
                <w:i/>
                <w:iCs/>
              </w:rP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R</w:t>
            </w:r>
            <w:r>
              <w:t xml:space="preserve">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MM/PBSA 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FEP+ 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slope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offset (kcal/mol)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Cyclin A/B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−59.4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JAK2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MCL-1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−69.0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PCSK9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−64.9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macro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+0.548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+0.545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Two things in Table 1 deserve emphasis. First, the commonly quoted</w:t>
      </w:r>
      <w:r>
        <w:t xml:space="preserve"> </w:t>
      </w:r>
      <w:r>
        <w:t xml:space="preserve">“R”</w:t>
      </w:r>
      <w:r>
        <w:t xml:space="preserve"> </w:t>
      </w:r>
      <w:r>
        <w:t xml:space="preserve">in such analyses is a</w:t>
      </w:r>
      <w:r>
        <w:t xml:space="preserve"> </w:t>
      </w:r>
      <w:r>
        <w:t xml:space="preserve">correlation, not a coefficient of determination: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0.548 corresponds to</w:t>
      </w:r>
      <w:r>
        <w:t xml:space="preserve"> </w:t>
      </w:r>
      <w:r>
        <w:rPr>
          <w:i/>
          <w:iCs/>
        </w:rPr>
        <w:t xml:space="preserve">R</w:t>
      </w:r>
      <w:r>
        <w:t xml:space="preserve">² = 0.318, so</w:t>
      </w:r>
      <w:r>
        <w:t xml:space="preserve"> </w:t>
      </w:r>
      <w:r>
        <w:t xml:space="preserve">the protocol explains under a third of the variance, against 0.719 for FEP+. Second, the</w:t>
      </w:r>
      <w:r>
        <w:t xml:space="preserve"> </w:t>
      </w:r>
      <w:r>
        <w:t xml:space="preserve">per-target slopes of 0.10–0.21 mean the score’s ΔΔG spread is inflated five- to tenfold, and</w:t>
      </w:r>
      <w:r>
        <w:t xml:space="preserve"> </w:t>
      </w:r>
      <w:r>
        <w:t xml:space="preserve">the offsets of 45–75 kcal/mol are the signature of the omitted entropy term.</w:t>
      </w:r>
    </w:p>
    <w:bookmarkEnd w:id="44"/>
    <w:bookmarkStart w:id="45" w:name="how-you-average-changes-the-answer"/>
    <w:p>
      <w:pPr>
        <w:pStyle w:val="Heading3"/>
      </w:pPr>
      <w:r>
        <w:t xml:space="preserve">3.2 How you average changes the answer</w:t>
      </w:r>
    </w:p>
    <w:p>
      <w:pPr>
        <w:pStyle w:val="FirstParagraph"/>
      </w:pPr>
      <w:r>
        <w:t xml:space="preserve">Pooling compounds that come from different receptor structures inflates the apparent</w:t>
      </w:r>
      <w:r>
        <w:t xml:space="preserve"> </w:t>
      </w:r>
      <w:r>
        <w:t xml:space="preserve">correlation, and KRAS shows this cleanly because its 45 compounds are split across two</w:t>
      </w:r>
      <w:r>
        <w:t xml:space="preserve"> </w:t>
      </w:r>
      <w:r>
        <w:t xml:space="preserve">crystal forms.</w:t>
      </w:r>
    </w:p>
    <w:p>
      <w:pPr>
        <w:pStyle w:val="BodyText"/>
      </w:pPr>
      <w:r>
        <w:rPr>
          <w:b/>
          <w:bCs/>
        </w:rPr>
        <w:t xml:space="preserve">Table 2.</w:t>
      </w:r>
      <w:r>
        <w:t xml:space="preserve"> </w:t>
      </w:r>
      <w:r>
        <w:t xml:space="preserve">KRAS under two estimators. Pooling reverses the sign of the result.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MM/PBSA 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FEP+ ρ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within form 7YUZ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+0.576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within form 8JJS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+0.782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macro over forms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−0.130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+0.679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pooled over both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+0.786</w:t>
            </w:r>
          </w:p>
        </w:tc>
      </w:tr>
    </w:tbl>
    <w:p>
      <w:pPr>
        <w:pStyle w:val="BodyText"/>
      </w:pPr>
      <w:r>
        <w:t xml:space="preserve">The mechanism is explicit: the MM/PBSA score is offset by −3.05 kcal/mol between the two</w:t>
      </w:r>
      <w:r>
        <w:t xml:space="preserve"> </w:t>
      </w:r>
      <w:r>
        <w:t xml:space="preserve">forms, in the same direction as a −1.15 kcal/mol offset in the experimental labels. The pooled</w:t>
      </w:r>
      <w:r>
        <w:t xml:space="preserve"> </w:t>
      </w:r>
      <w:r>
        <w:t xml:space="preserve">+0.225 is therefore credit for separating two groups, not for ranking within either. FEP+ is</w:t>
      </w:r>
      <w:r>
        <w:t xml:space="preserve"> </w:t>
      </w:r>
      <w:r>
        <w:t xml:space="preserve">far less affected (+0.679 versus +0.786), as expected of a method whose signal does not come</w:t>
      </w:r>
      <w:r>
        <w:t xml:space="preserve"> </w:t>
      </w:r>
      <w:r>
        <w:t xml:space="preserve">from a group offset.</w:t>
      </w:r>
    </w:p>
    <w:p>
      <w:pPr>
        <w:pStyle w:val="BodyText"/>
      </w:pPr>
      <w:r>
        <w:t xml:space="preserve">This matters beyond KRAS because it occurs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what is conventionally reported as a</w:t>
      </w:r>
      <w:r>
        <w:t xml:space="preserve"> </w:t>
      </w:r>
      <w:r>
        <w:t xml:space="preserve">within-family metric. Any benchmark of this kind must state which estimator it uses; we use</w:t>
      </w:r>
      <w:r>
        <w:t xml:space="preserve"> </w:t>
      </w:r>
      <w:r>
        <w:t xml:space="preserve">within-receptor averaging throughout.</w:t>
      </w:r>
    </w:p>
    <w:bookmarkEnd w:id="45"/>
    <w:bookmarkStart w:id="46" w:name="Xc1377d7dca5308c9612d56dcd085a9bd526bd26"/>
    <w:p>
      <w:pPr>
        <w:pStyle w:val="Heading3"/>
      </w:pPr>
      <w:r>
        <w:t xml:space="preserve">3.3 Size is a real driver of binding, and the score tracks it</w:t>
      </w:r>
    </w:p>
    <w:p>
      <w:pPr>
        <w:pStyle w:val="FirstParagraph"/>
      </w:pPr>
      <w:r>
        <w:t xml:space="preserve">Figure 2 quantifies the confound. Experimental ΔG tracks ligand heavy-atom count with a mean</w:t>
      </w:r>
      <w:r>
        <w:t xml:space="preserve"> </w:t>
      </w:r>
      <w:r>
        <w:t xml:space="preserve">within-target Spearman ρ of</w:t>
      </w:r>
      <w:r>
        <w:t xml:space="preserve"> </w:t>
      </w:r>
      <w:r>
        <w:rPr>
          <w:b/>
          <w:bCs/>
        </w:rPr>
        <w:t xml:space="preserve">−0.43</w:t>
      </w:r>
      <w:r>
        <w:t xml:space="preserve"> </w:t>
      </w:r>
      <w:r>
        <w:t xml:space="preserve">(panel A; negative because more atoms give more negative</w:t>
      </w:r>
      <w:r>
        <w:t xml:space="preserve"> </w:t>
      </w:r>
      <w:r>
        <w:t xml:space="preserve">ΔG). The MM/PBSA score tracks heavy-atom count more strongly still, at</w:t>
      </w:r>
      <w:r>
        <w:t xml:space="preserve"> </w:t>
      </w:r>
      <w:r>
        <w:rPr>
          <w:b/>
          <w:bCs/>
        </w:rPr>
        <w:t xml:space="preserve">−0.55</w:t>
      </w:r>
      <w:r>
        <w:t xml:space="preserve"> </w:t>
      </w:r>
      <w:r>
        <w:t xml:space="preserve">(panel B).</w:t>
      </w:r>
    </w:p>
    <w:p>
      <w:pPr>
        <w:pStyle w:val="BodyText"/>
      </w:pPr>
      <w:r>
        <w:t xml:space="preserve">The first of these is physics, not bias: more residues bury more interface area. The second</w:t>
      </w:r>
      <w:r>
        <w:t xml:space="preserve"> </w:t>
      </w:r>
      <w:r>
        <w:t xml:space="preserve">means the score and the trivial descriptor are substantially measuring the same thing. Under</w:t>
      </w:r>
      <w:r>
        <w:t xml:space="preserve"> </w:t>
      </w:r>
      <w:r>
        <w:t xml:space="preserve">the conventional estimator, a heavy-atom count reaches ρ = 0.488 pooled in-family and</w:t>
      </w:r>
      <w:r>
        <w:t xml:space="preserve"> </w:t>
      </w:r>
      <w:r>
        <w:rPr>
          <w:b/>
          <w:bCs/>
        </w:rPr>
        <w:t xml:space="preserve">0.613</w:t>
      </w:r>
      <w:r>
        <w:rPr>
          <w:b/>
          <w:bCs/>
        </w:rPr>
        <w:t xml:space="preserve"> </w:t>
      </w:r>
      <w:r>
        <w:rPr>
          <w:b/>
          <w:bCs/>
        </w:rPr>
        <w:t xml:space="preserve">within receptor</w:t>
      </w:r>
      <w:r>
        <w:t xml:space="preserve"> </w:t>
      </w:r>
      <w:r>
        <w:t xml:space="preserve">— numerically better than MM/PBSA’s 0.459 within receptor.</w:t>
      </w:r>
    </w:p>
    <w:p>
      <w:pPr>
        <w:pStyle w:val="BodyText"/>
      </w:pPr>
      <w:r>
        <w:t xml:space="preserve">That comparison is not evidence that the physics is useless. It is evidence that the comparison</w:t>
      </w:r>
      <w:r>
        <w:t xml:space="preserve"> </w:t>
      </w:r>
      <w:r>
        <w:t xml:space="preserve">is ill-posed. Both quantities partly measure size; the one that measures it more directly wins</w:t>
      </w:r>
      <w:r>
        <w:t xml:space="preserve"> </w:t>
      </w:r>
      <w:r>
        <w:t xml:space="preserve">on a benchmark where size varies. Panel C shows that enough compounds share a heavy-atom count</w:t>
      </w:r>
      <w:r>
        <w:t xml:space="preserve"> </w:t>
      </w:r>
      <w:r>
        <w:t xml:space="preserve">within each target to make a fair comparison possible.</w:t>
      </w:r>
    </w:p>
    <w:bookmarkEnd w:id="46"/>
    <w:bookmarkStart w:id="47" w:name="Xb6cc6af61a6965f83bfa8fa23b831a520246de9"/>
    <w:p>
      <w:pPr>
        <w:pStyle w:val="Heading3"/>
      </w:pPr>
      <w:r>
        <w:t xml:space="preserve">3.4 Size-matched performance: the primary result</w:t>
      </w:r>
    </w:p>
    <w:p>
      <w:pPr>
        <w:pStyle w:val="FirstParagraph"/>
      </w:pPr>
      <w:r>
        <w:t xml:space="preserve">Restricting to pairs of peptides with identical heavy-atom count, where a size descriptor is</w:t>
      </w:r>
      <w:r>
        <w:t xml:space="preserve"> </w:t>
      </w:r>
      <w:r>
        <w:t xml:space="preserve">undefined:</w:t>
      </w:r>
    </w:p>
    <w:p>
      <w:pPr>
        <w:pStyle w:val="BodyText"/>
      </w:pPr>
      <w:r>
        <w:rPr>
          <w:b/>
          <w:bCs/>
        </w:rPr>
        <w:t xml:space="preserve">Table 3.</w:t>
      </w:r>
      <w:r>
        <w:t xml:space="preserve"> </w:t>
      </w:r>
      <w:r>
        <w:t xml:space="preserve">Pairwise accuracy on decisive pairs (|ΔΔG| ≥ 0.5 kcal/mol). Chance = 0.500.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508"/>
        <w:gridCol w:w="1508"/>
        <w:gridCol w:w="1131"/>
        <w:gridCol w:w="1508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pairs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MM/PBSA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FEP+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Cyclin A/B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</w:t>
            </w:r>
          </w:p>
        </w:tc>
        <w:tc>
          <w:tcPr/>
          <w:p>
            <w:pPr>
              <w:pStyle w:val="Compact"/>
            </w:pPr>
            <w:r>
              <w:t xml:space="preserve">[0.267, 0.800]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0.867</w:t>
            </w:r>
          </w:p>
        </w:tc>
        <w:tc>
          <w:tcPr/>
          <w:p>
            <w:pPr>
              <w:pStyle w:val="Compact"/>
            </w:pPr>
            <w:r>
              <w:t xml:space="preserve">[0.667, 1.000]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JAK2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0.637</w:t>
            </w:r>
          </w:p>
        </w:tc>
        <w:tc>
          <w:tcPr/>
          <w:p>
            <w:pPr>
              <w:pStyle w:val="Compact"/>
            </w:pPr>
            <w:r>
              <w:t xml:space="preserve">[0.537, 0.738]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</w:t>
            </w:r>
          </w:p>
        </w:tc>
        <w:tc>
          <w:tcPr/>
          <w:p>
            <w:pPr>
              <w:pStyle w:val="Compact"/>
            </w:pPr>
            <w:r>
              <w:t xml:space="preserve">[0.838, 0.963]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0.518</w:t>
            </w:r>
          </w:p>
        </w:tc>
        <w:tc>
          <w:tcPr/>
          <w:p>
            <w:pPr>
              <w:pStyle w:val="Compact"/>
            </w:pPr>
            <w:r>
              <w:t xml:space="preserve">[0.393, 0.643]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0.818</w:t>
            </w:r>
          </w:p>
        </w:tc>
        <w:tc>
          <w:tcPr/>
          <w:p>
            <w:pPr>
              <w:pStyle w:val="Compact"/>
            </w:pPr>
            <w:r>
              <w:t xml:space="preserve">[0.709, 0.909]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MCL-1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0.549</w:t>
            </w:r>
          </w:p>
        </w:tc>
        <w:tc>
          <w:tcPr/>
          <w:p>
            <w:pPr>
              <w:pStyle w:val="Compact"/>
            </w:pPr>
            <w:r>
              <w:t xml:space="preserve">[0.437, 0.662]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</w:t>
            </w:r>
          </w:p>
        </w:tc>
        <w:tc>
          <w:tcPr/>
          <w:p>
            <w:pPr>
              <w:pStyle w:val="Compact"/>
            </w:pPr>
            <w:r>
              <w:t xml:space="preserve">[0.557, 0.786]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PCSK9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0.765</w:t>
            </w:r>
          </w:p>
        </w:tc>
        <w:tc>
          <w:tcPr/>
          <w:p>
            <w:pPr>
              <w:pStyle w:val="Compact"/>
            </w:pPr>
            <w:r>
              <w:t xml:space="preserve">[0.687, 0.835]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0.947</w:t>
            </w:r>
          </w:p>
        </w:tc>
        <w:tc>
          <w:tcPr/>
          <w:p>
            <w:pPr>
              <w:pStyle w:val="Compact"/>
            </w:pPr>
            <w:r>
              <w:t xml:space="preserve">[0.904, 0.982]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[0.530, 0.693]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0.841</w:t>
            </w:r>
          </w:p>
        </w:tc>
        <w:tc>
          <w:tcPr/>
          <w:p>
            <w:pPr>
              <w:pStyle w:val="Compact"/>
            </w:pPr>
            <w:r>
              <w:t xml:space="preserve">[0.756, 0.912]</w:t>
            </w:r>
          </w:p>
        </w:tc>
      </w:tr>
    </w:tbl>
    <w:p>
      <w:pPr>
        <w:pStyle w:val="BodyText"/>
      </w:pPr>
      <w:r>
        <w:t xml:space="preserve">The macro interval excludes chance, so</w:t>
      </w:r>
      <w:r>
        <w:t xml:space="preserve"> </w:t>
      </w:r>
      <w:r>
        <w:rPr>
          <w:b/>
          <w:bCs/>
        </w:rPr>
        <w:t xml:space="preserve">the skill is real</w:t>
      </w:r>
      <w:r>
        <w:t xml:space="preserve">. Relaxing the matching to within</w:t>
      </w:r>
      <w:r>
        <w:t xml:space="preserve"> </w:t>
      </w:r>
      <w:r>
        <w:t xml:space="preserve">three heavy atoms gives 0.624 [0.552, 0.693] for MM/PBSA and 0.839 [0.799, 0.886] for FEP+, on</w:t>
      </w:r>
      <w:r>
        <w:t xml:space="preserve"> </w:t>
      </w:r>
      <w:r>
        <w:t xml:space="preserve">substantially more pairs, confirming the result is not an artefact of the strictest band.</w:t>
      </w:r>
    </w:p>
    <w:p>
      <w:pPr>
        <w:pStyle w:val="BodyText"/>
      </w:pPr>
      <w:r>
        <w:t xml:space="preserve">The skill is also unevenly distributed. PCSK9 (0.765) and JAK2 (0.637) are clearly above</w:t>
      </w:r>
      <w:r>
        <w:t xml:space="preserve"> </w:t>
      </w:r>
      <w:r>
        <w:t xml:space="preserve">chance; Cyclin A/B, KRAS and MCL-1 have intervals spanning 0.5.</w:t>
      </w:r>
    </w:p>
    <w:p>
      <w:pPr>
        <w:pStyle w:val="BodyText"/>
      </w:pPr>
      <w:r>
        <w:t xml:space="preserve">One candidate explanation is interface polarity, since a continuum-solvent treatment should add</w:t>
      </w:r>
      <w:r>
        <w:t xml:space="preserve"> </w:t>
      </w:r>
      <w:r>
        <w:t xml:space="preserve">most where desolvation dominates. PCSK9 does have much the most polar interface in the cohort</w:t>
      </w:r>
      <w:r>
        <w:t xml:space="preserve"> </w:t>
      </w:r>
      <w:r>
        <w:t xml:space="preserve">(median buried-area polarity 42.2%, against 30.5% for the next-highest).</w:t>
      </w:r>
      <w:r>
        <w:t xml:space="preserve"> </w:t>
      </w:r>
      <w:r>
        <w:rPr>
          <w:b/>
          <w:bCs/>
        </w:rPr>
        <w:t xml:space="preserve">But the explanation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survive the second case:</w:t>
      </w:r>
      <w:r>
        <w:t xml:space="preserve"> </w:t>
      </w:r>
      <w:r>
        <w:t xml:space="preserve">JAK2 is the fourth most polar of the five (23.8%) and the</w:t>
      </w:r>
      <w:r>
        <w:t xml:space="preserve"> </w:t>
      </w:r>
      <w:r>
        <w:t xml:space="preserve">second-best performer, while KRAS is second most polar (30.5%) and indistinguishable from</w:t>
      </w:r>
      <w:r>
        <w:t xml:space="preserve"> </w:t>
      </w:r>
      <w:r>
        <w:t xml:space="preserve">chance. Polarity alone therefore does not account for where the method works, and with five</w:t>
      </w:r>
      <w:r>
        <w:t xml:space="preserve"> </w:t>
      </w:r>
      <w:r>
        <w:t xml:space="preserve">targets we cannot identify what does. We report the pattern without an explanation rather than</w:t>
      </w:r>
      <w:r>
        <w:t xml:space="preserve"> </w:t>
      </w:r>
      <w:r>
        <w:t xml:space="preserve">offer one the data does not support.</w:t>
      </w:r>
    </w:p>
    <w:p>
      <w:pPr>
        <w:pStyle w:val="BodyText"/>
      </w:pPr>
      <w:r>
        <w:t xml:space="preserve">The behaviour of the control across matching bands is itself informative. As the permitted size</w:t>
      </w:r>
      <w:r>
        <w:t xml:space="preserve"> </w:t>
      </w:r>
      <w:r>
        <w:t xml:space="preserve">difference widens from zero to three to five heavy atoms to unrestricted, the heavy-atom count</w:t>
      </w:r>
      <w:r>
        <w:t xml:space="preserve"> </w:t>
      </w:r>
      <w:r>
        <w:t xml:space="preserve">climbs from undefined, to 0.602, to 0.629, to 0.717, while MM/PBSA moves only from 0.601 to</w:t>
      </w:r>
      <w:r>
        <w:t xml:space="preserve"> </w:t>
      </w:r>
      <w:r>
        <w:t xml:space="preserve">0.738. The control gains almost all of its apparent performance from size variation; the</w:t>
      </w:r>
      <w:r>
        <w:t xml:space="preserve"> </w:t>
      </w:r>
      <w:r>
        <w:t xml:space="preserve">scoring function does not.</w:t>
      </w:r>
    </w:p>
    <w:bookmarkEnd w:id="47"/>
    <w:bookmarkStart w:id="48" w:name="what-the-score-is-not"/>
    <w:p>
      <w:pPr>
        <w:pStyle w:val="Heading3"/>
      </w:pPr>
      <w:r>
        <w:t xml:space="preserve">3.5 What the score is not</w:t>
      </w:r>
    </w:p>
    <w:p>
      <w:pPr>
        <w:pStyle w:val="FirstParagraph"/>
      </w:pPr>
      <w:r>
        <w:t xml:space="preserve">With entropy omitted, the raw score is not a free energy. It sits 45–75 kcal/mol from</w:t>
      </w:r>
      <w:r>
        <w:t xml:space="preserve"> </w:t>
      </w:r>
      <w:r>
        <w:t xml:space="preserve">experimental ΔG (Table 1), and matching the experimental scale requires fitting a slope and</w:t>
      </w:r>
      <w:r>
        <w:t xml:space="preserve"> </w:t>
      </w:r>
      <w:r>
        <w:t xml:space="preserve">intercept</w:t>
      </w:r>
      <w:r>
        <w:t xml:space="preserve"> </w:t>
      </w:r>
      <w:r>
        <w:rPr>
          <w:b/>
          <w:bCs/>
        </w:rPr>
        <w:t xml:space="preserve">within a target</w:t>
      </w:r>
      <w:r>
        <w:t xml:space="preserve">, which requires compounds already measured in that series. An</w:t>
      </w:r>
      <w:r>
        <w:t xml:space="preserve"> </w:t>
      </w:r>
      <w:r>
        <w:t xml:space="preserve">RMSE of 1.11 kcal/mol is achievable only after that fit. It is not a prospective accuracy, and</w:t>
      </w:r>
      <w:r>
        <w:t xml:space="preserve"> </w:t>
      </w:r>
      <w:r>
        <w:t xml:space="preserve">should not be quoted as one.</w:t>
      </w:r>
    </w:p>
    <w:bookmarkEnd w:id="48"/>
    <w:bookmarkStart w:id="49" w:name="force-field-choice-does-not-transfer"/>
    <w:p>
      <w:pPr>
        <w:pStyle w:val="Heading3"/>
      </w:pPr>
      <w:r>
        <w:t xml:space="preserve">3.6 Force-field choice does not transfer</w:t>
      </w:r>
    </w:p>
    <w:p>
      <w:pPr>
        <w:pStyle w:val="FirstParagraph"/>
      </w:pPr>
      <w:r>
        <w:t xml:space="preserve">On the benchmark, ff03 outperforms ff19SB (0.545 versus 0.495 macro, winning four of five</w:t>
      </w:r>
      <w:r>
        <w:t xml:space="preserve"> </w:t>
      </w:r>
      <w:r>
        <w:t xml:space="preserve">targets; only JAK2 prefers ff19SB, +0.604 versus +0.595). On the LptA design panel the ordering</w:t>
      </w:r>
      <w:r>
        <w:t xml:space="preserve"> </w:t>
      </w:r>
      <w:r>
        <w:t xml:space="preserve">reverses, with ff19SB ≥ ff14SB &gt; ff03 in every branch.</w:t>
      </w:r>
    </w:p>
    <w:p>
      <w:pPr>
        <w:pStyle w:val="BodyText"/>
      </w:pPr>
      <w:r>
        <w:rPr>
          <w:b/>
          <w:bCs/>
        </w:rPr>
        <w:t xml:space="preserve">This inversion should not be over-read.</w:t>
      </w:r>
      <w:r>
        <w:t xml:space="preserve"> </w:t>
      </w:r>
      <w:r>
        <w:t xml:space="preserve">The LptA designs have no measured affinities, so</w:t>
      </w:r>
      <w:r>
        <w:t xml:space="preserve"> </w:t>
      </w:r>
      <w:r>
        <w:t xml:space="preserve">that comparison is scored against Rosetta</w:t>
      </w:r>
      <w:r>
        <w:t xml:space="preserve"> </w:t>
      </w:r>
      <w:r>
        <w:rPr>
          <w:rStyle w:val="VerbatimChar"/>
        </w:rPr>
        <w:t xml:space="preserve">dG_separated</w:t>
      </w:r>
      <w:r>
        <w:t xml:space="preserve">. We tested that reference directly on</w:t>
      </w:r>
      <w:r>
        <w:t xml:space="preserve"> </w:t>
      </w:r>
      <w:r>
        <w:t xml:space="preserve">239 benchmark compounds where measured affinities exist and found a macro Spearman of</w:t>
      </w:r>
      <w:r>
        <w:t xml:space="preserve"> </w:t>
      </w:r>
      <w:r>
        <w:rPr>
          <w:b/>
          <w:bCs/>
        </w:rPr>
        <w:t xml:space="preserve">−0.149</w:t>
      </w:r>
      <w:r>
        <w:t xml:space="preserve">,</w:t>
      </w:r>
      <w:r>
        <w:t xml:space="preserve"> </w:t>
      </w:r>
      <w:r>
        <w:t xml:space="preserve">wrong-signed on four of five targets, and below a heavy-atom count (+0.487). A reference</w:t>
      </w:r>
      <w:r>
        <w:t xml:space="preserve"> </w:t>
      </w:r>
      <w:r>
        <w:t xml:space="preserve">standard that does not itself track experiment cannot establish which force field is better.</w:t>
      </w:r>
    </w:p>
    <w:p>
      <w:pPr>
        <w:pStyle w:val="BodyText"/>
      </w:pPr>
      <w:r>
        <w:t xml:space="preserve">We report the comparison only as a caution: force-field selections made on one dataset should</w:t>
      </w:r>
      <w:r>
        <w:t xml:space="preserve"> </w:t>
      </w:r>
      <w:r>
        <w:t xml:space="preserve">not be assumed to transfer, and we do not claim ff19SB is superior for these designs.</w:t>
      </w:r>
    </w:p>
    <w:bookmarkEnd w:id="49"/>
    <w:bookmarkStart w:id="51" w:name="longer-sampling-does-not-help"/>
    <w:p>
      <w:pPr>
        <w:pStyle w:val="Heading3"/>
      </w:pPr>
      <w:r>
        <w:t xml:space="preserve">3.7 Longer sampling does not help</w:t>
      </w:r>
    </w:p>
    <w:p>
      <w:pPr>
        <w:pStyle w:val="FirstParagraph"/>
      </w:pPr>
      <w:r>
        <w:t xml:space="preserve">A natural objection to single-structure scoring is that an ensemble average would do better. We</w:t>
      </w:r>
      <w:r>
        <w:t xml:space="preserve"> </w:t>
      </w:r>
      <w:r>
        <w:t xml:space="preserve">tested this on 40 KRAS compounds for which four independent 10 ns explicit-solvent replicas were</w:t>
      </w:r>
      <w:r>
        <w:t xml:space="preserve"> </w:t>
      </w:r>
      <w:r>
        <w:t xml:space="preserve">available, scored over the 2–10 ns window at 81 frames per replica —</w:t>
      </w:r>
      <w:r>
        <w:t xml:space="preserve"> </w:t>
      </w:r>
      <w:r>
        <w:rPr>
          <w:b/>
          <w:bCs/>
        </w:rPr>
        <w:t xml:space="preserve">324 frames per compound</w:t>
      </w:r>
      <w:r>
        <w:t xml:space="preserve">.</w:t>
      </w:r>
    </w:p>
    <w:p>
      <w:pPr>
        <w:pStyle w:val="BodyText"/>
      </w:pPr>
      <w:r>
        <w:t xml:space="preserve">The ensemble does not converge well enough for the averaging to help. The median</w:t>
      </w:r>
      <w:r>
        <w:t xml:space="preserve"> </w:t>
      </w:r>
      <w:r>
        <w:t xml:space="preserve">replicate-to-replicate standard deviation of the ensemble score is</w:t>
      </w:r>
      <w:r>
        <w:t xml:space="preserve"> </w:t>
      </w:r>
      <w:r>
        <w:rPr>
          <w:b/>
          <w:bCs/>
        </w:rPr>
        <w:t xml:space="preserve">6.81 kcal/mol</w:t>
      </w:r>
      <w:r>
        <w:t xml:space="preserve">, while the</w:t>
      </w:r>
      <w:r>
        <w:t xml:space="preserve"> </w:t>
      </w:r>
      <w:r>
        <w:t xml:space="preserve">standard deviation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compounds is</w:t>
      </w:r>
      <w:r>
        <w:t xml:space="preserve"> </w:t>
      </w:r>
      <w:r>
        <w:rPr>
          <w:b/>
          <w:bCs/>
        </w:rPr>
        <w:t xml:space="preserve">5.74 kcal/mol</w:t>
      </w:r>
      <w:r>
        <w:t xml:space="preserve">. The noise from which replicas you</w:t>
      </w:r>
      <w:r>
        <w:t xml:space="preserve"> </w:t>
      </w:r>
      <w:r>
        <w:t xml:space="preserve">happened to run is therefore larger than the entire signal distinguishing one compound from</w:t>
      </w:r>
      <w:r>
        <w:t xml:space="preserve"> </w:t>
      </w:r>
      <w:r>
        <w:t xml:space="preserve">another, a ratio of 1.19. Splitting by panel, the 20 confirmatory compounds give 5.60 against</w:t>
      </w:r>
      <w:r>
        <w:t xml:space="preserve"> </w:t>
      </w:r>
      <w:r>
        <w:t xml:space="preserve">5.54 (ratio 1.01) and the 20 primary compounds 8.70 against 4.88 (ratio 1.78); the conclusion</w:t>
      </w:r>
      <w:r>
        <w:t xml:space="preserve"> </w:t>
      </w:r>
      <w:r>
        <w:t xml:space="preserve">does not depend on the subset.</w:t>
      </w:r>
    </w:p>
    <w:p>
      <w:pPr>
        <w:pStyle w:val="BodyText"/>
      </w:pPr>
      <w:r>
        <w:t xml:space="preserve">Four 10 ns replicas is a substantial sampling budget for a system of this size, and it is not</w:t>
      </w:r>
      <w:r>
        <w:t xml:space="preserve"> </w:t>
      </w:r>
      <w:r>
        <w:t xml:space="preserve">enough to make the ensemble score reproducible at the resolution the ranking requires. This is</w:t>
      </w:r>
      <w:r>
        <w:t xml:space="preserve"> </w:t>
      </w:r>
      <w:r>
        <w:t xml:space="preserve">consistent with the general finding that MM/PBSA correlation does not improve reliably with</w:t>
      </w:r>
      <w:r>
        <w:t xml:space="preserve"> </w:t>
      </w:r>
      <w:r>
        <w:t xml:space="preserve">longer sampling because the limiting error is bias rather than variance,</w:t>
      </w:r>
      <w:r>
        <w:rPr>
          <w:rStyle w:val="FootnoteReference"/>
        </w:rPr>
        <w:footnoteReference w:id="50"/>
      </w:r>
      <w:r>
        <w:t xml:space="preserve"> </w:t>
      </w:r>
      <w:r>
        <w:t xml:space="preserve">and it supports the</w:t>
      </w:r>
      <w:r>
        <w:t xml:space="preserve"> </w:t>
      </w:r>
      <w:r>
        <w:t xml:space="preserve">source protocol’s single-structure design on pragmatic grounds: a cheaper calculation that is</w:t>
      </w:r>
      <w:r>
        <w:t xml:space="preserve"> </w:t>
      </w:r>
      <w:r>
        <w:t xml:space="preserve">reproducible is preferable to an expensive one that is not.</w:t>
      </w:r>
    </w:p>
    <w:bookmarkEnd w:id="51"/>
    <w:bookmarkStart w:id="52" w:name="an-external-test-on-a-sixth-target"/>
    <w:p>
      <w:pPr>
        <w:pStyle w:val="Heading3"/>
      </w:pPr>
      <w:r>
        <w:t xml:space="preserve">3.8 An external test on a sixth target</w:t>
      </w:r>
    </w:p>
    <w:p>
      <w:pPr>
        <w:pStyle w:val="FirstParagraph"/>
      </w:pPr>
      <w:r>
        <w:t xml:space="preserve">The five benchmark targets are congeneric medicinal-chemistry series against folded pockets,</w:t>
      </w:r>
      <w:r>
        <w:t xml:space="preserve"> </w:t>
      </w:r>
      <w:r>
        <w:t xml:space="preserve">assembled by one group for one FEP+ campaign. They may resemble each other more than they</w:t>
      </w:r>
      <w:r>
        <w:t xml:space="preserve"> </w:t>
      </w:r>
      <w:r>
        <w:t xml:space="preserve">resemble a new target. We therefore tested the pipeline on a sixth system held entirely outside</w:t>
      </w:r>
      <w:r>
        <w:t xml:space="preserve"> </w:t>
      </w:r>
      <w:r>
        <w:t xml:space="preserve">development: 17 peptidomimetics against the anti-haemagglutinin antibody 12CA5, with binding</w:t>
      </w:r>
      <w:r>
        <w:t xml:space="preserve"> </w:t>
      </w:r>
      <w:r>
        <w:t xml:space="preserve">measured by biolayer interferometry (7 binders spanning 0.21–77 nM, 10 non-binders). Affinities</w:t>
      </w:r>
      <w:r>
        <w:t xml:space="preserve"> </w:t>
      </w:r>
      <w:r>
        <w:t xml:space="preserve">were sealed before any prediction was made.</w:t>
      </w:r>
    </w:p>
    <w:p>
      <w:pPr>
        <w:pStyle w:val="BodyText"/>
      </w:pPr>
      <w:r>
        <w:t xml:space="preserve">Every method failed, and several inverted.</w:t>
      </w:r>
    </w:p>
    <w:p>
      <w:pPr>
        <w:pStyle w:val="BodyText"/>
      </w:pPr>
      <w:r>
        <w:rPr>
          <w:b/>
          <w:bCs/>
        </w:rPr>
        <w:t xml:space="preserve">Table 4.</w:t>
      </w:r>
      <w:r>
        <w:t xml:space="preserve"> </w:t>
      </w:r>
      <w:r>
        <w:t xml:space="preserve">Performance on the sealed 12CA5 panel. Directions were fixed before unblinding.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ρ vs pK_D (7 binders)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binder/non-binder 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heavy-atom count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−0.750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molecular weight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chemical model (pAffinity)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chemical model (rank score)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</w:t>
            </w:r>
          </w:p>
        </w:tc>
      </w:tr>
    </w:tbl>
    <w:p>
      <w:pPr>
        <w:pStyle w:val="BodyText"/>
      </w:pPr>
      <w:r>
        <w:t xml:space="preserve">Chance AUC is 0.5; every value is below it. The tightest binder (0.21 nM) was ranked 16th of 17</w:t>
      </w:r>
      <w:r>
        <w:t xml:space="preserve"> </w:t>
      </w:r>
      <w:r>
        <w:t xml:space="preserve">by every method, and top-5 overlap with the experimental top 5 was zero throughout.</w:t>
      </w:r>
    </w:p>
    <w:p>
      <w:pPr>
        <w:pStyle w:val="BodyText"/>
      </w:pPr>
      <w:r>
        <w:t xml:space="preserve">Two findings matter for the present work. First,</w:t>
      </w:r>
      <w:r>
        <w:t xml:space="preserve"> </w:t>
      </w:r>
      <w:r>
        <w:rPr>
          <w:b/>
          <w:bCs/>
        </w:rPr>
        <w:t xml:space="preserve">the size–affinity relationship reversed</w:t>
      </w:r>
      <w:r>
        <w:rPr>
          <w:b/>
          <w:bCs/>
        </w:rPr>
        <w:t xml:space="preserve"> </w:t>
      </w:r>
      <w:r>
        <w:rPr>
          <w:b/>
          <w:bCs/>
        </w:rPr>
        <w:t xml:space="preserve">sign</w:t>
      </w:r>
      <w:r>
        <w:t xml:space="preserve">: heavy-atom count correlates at −0.750 here against +0.49 to +0.61 on the benchmark.</w:t>
      </w:r>
      <w:r>
        <w:t xml:space="preserve"> </w:t>
      </w:r>
      <w:r>
        <w:t xml:space="preserve">Size is predictive in congeneric series elaborated into a pocket, and anti-predictive against a</w:t>
      </w:r>
      <w:r>
        <w:t xml:space="preserve"> </w:t>
      </w:r>
      <w:r>
        <w:t xml:space="preserve">compact epitope groove where bulk is in the way. A method whose signal is partly size therefore</w:t>
      </w:r>
      <w:r>
        <w:t xml:space="preserve"> </w:t>
      </w:r>
      <w:r>
        <w:t xml:space="preserve">carries a sign that is target-dependent and not knowable in advance without measurement — which</w:t>
      </w:r>
      <w:r>
        <w:t xml:space="preserve"> </w:t>
      </w:r>
      <w:r>
        <w:t xml:space="preserve">is a further argument for evaluating at fixed size.</w:t>
      </w:r>
    </w:p>
    <w:p>
      <w:pPr>
        <w:pStyle w:val="BodyText"/>
      </w:pPr>
      <w:r>
        <w:t xml:space="preserve">Second,</w:t>
      </w:r>
      <w:r>
        <w:t xml:space="preserve"> </w:t>
      </w:r>
      <w:r>
        <w:rPr>
          <w:b/>
          <w:bCs/>
        </w:rPr>
        <w:t xml:space="preserve">MM/PBSA could not be scored reliably at all</w:t>
      </w:r>
      <w:r>
        <w:t xml:space="preserve">: 3 of 17 built poses carried positive</w:t>
      </w:r>
      <w:r>
        <w:t xml:space="preserve"> </w:t>
      </w:r>
      <w:r>
        <w:t xml:space="preserve">van der Waals terms and were excluded by the screen of Section 2.2, one failed to score, and</w:t>
      </w:r>
      <w:r>
        <w:t xml:space="preserve"> </w:t>
      </w:r>
      <w:r>
        <w:t xml:space="preserve">across the remainder the score correlated with the pose builder’s clash count at ρ = −0.891.</w:t>
      </w:r>
      <w:r>
        <w:t xml:space="preserve"> </w:t>
      </w:r>
      <w:r>
        <w:t xml:space="preserve">Those peptidomimetics were threaded onto a template they do not match. The lesson is that</w:t>
      </w:r>
      <w:r>
        <w:t xml:space="preserve"> </w:t>
      </w:r>
      <w:r>
        <w:t xml:space="preserve">end-point scoring inherits the quality of its input pose, and that pose provenance must be</w:t>
      </w:r>
      <w:r>
        <w:t xml:space="preserve"> </w:t>
      </w:r>
      <w:r>
        <w:t xml:space="preserve">reported alongside any score (Section 4).</w:t>
      </w:r>
    </w:p>
    <w:p>
      <w:pPr>
        <w:pStyle w:val="BodyText"/>
      </w:pPr>
      <w:r>
        <w:t xml:space="preserve">We present this as a limitation rather than a general claim: one external target with 17</w:t>
      </w:r>
      <w:r>
        <w:t xml:space="preserve"> </w:t>
      </w:r>
      <w:r>
        <w:t xml:space="preserve">compounds cannot establish how the method behaves on all new systems. It does establish that</w:t>
      </w:r>
      <w:r>
        <w:t xml:space="preserve"> </w:t>
      </w:r>
      <w:r>
        <w:t xml:space="preserve">benchmark performance on five related targets is not sufficient evidence of transfer.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Xb9dbbcdd4a658c1d85f92d090e462b455ffebdb"/>
    <w:p>
      <w:pPr>
        <w:pStyle w:val="Heading2"/>
      </w:pPr>
      <w:r>
        <w:t xml:space="preserve">4. Application: a de novo design campaign against LptA</w:t>
      </w:r>
    </w:p>
    <w:p>
      <w:pPr>
        <w:pStyle w:val="FirstParagraph"/>
      </w:pPr>
      <w:r>
        <w:t xml:space="preserve">Lipopolysaccharide transport protein A (LptA) is the periplasmic component of the seven-protein</w:t>
      </w:r>
      <w:r>
        <w:t xml:space="preserve"> </w:t>
      </w:r>
      <w:r>
        <w:t xml:space="preserve">Lpt bridge that moves lipopolysaccharide from the inner membrane to the cell surface in</w:t>
      </w:r>
      <w:r>
        <w:t xml:space="preserve"> </w:t>
      </w:r>
      <w:r>
        <w:t xml:space="preserve">Gram-negative bacteria. The insect-derived antimicrobial peptide thanatin binds the N-terminal</w:t>
      </w:r>
      <w:r>
        <w:t xml:space="preserve"> </w:t>
      </w:r>
      <w:r>
        <w:t xml:space="preserve">β-strand of LptA, disrupting both LptA–LptA dimerisation and the LptC–LptA interaction and</w:t>
      </w:r>
      <w:r>
        <w:t xml:space="preserve"> </w:t>
      </w:r>
      <w:r>
        <w:t xml:space="preserve">causing LptA degradation.</w:t>
      </w:r>
      <w:r>
        <w:rPr>
          <w:rStyle w:val="FootnoteReference"/>
        </w:rPr>
        <w:footnoteReference w:id="54"/>
      </w:r>
      <w:r>
        <w:t xml:space="preserve"> </w:t>
      </w:r>
      <w:r>
        <w:t xml:space="preserve">Because that β-strand edge is also the dimerisation interface,</w:t>
      </w:r>
      <w:r>
        <w:t xml:space="preserve"> </w:t>
      </w:r>
      <w:r>
        <w:t xml:space="preserve">the site is a template for designed β-hairpin binders, and thanatin analogues optimised against</w:t>
      </w:r>
      <w:r>
        <w:t xml:space="preserve"> </w:t>
      </w:r>
      <w:r>
        <w:t xml:space="preserve">carbapenem-resistant Enterobacteriaceae have been characterised structurally and</w:t>
      </w:r>
      <w:r>
        <w:t xml:space="preserve"> </w:t>
      </w:r>
      <w:r>
        <w:t xml:space="preserve">thermodynamically.</w:t>
      </w:r>
      <w:r>
        <w:rPr>
          <w:rStyle w:val="FootnoteReference"/>
        </w:rPr>
        <w:footnoteReference w:id="55"/>
      </w:r>
      <w:r>
        <w:t xml:space="preserve">,</w:t>
      </w:r>
      <w:r>
        <w:rPr>
          <w:rStyle w:val="FootnoteReference"/>
        </w:rPr>
        <w:footnoteReference w:id="56"/>
      </w:r>
    </w:p>
    <w:p>
      <w:pPr>
        <w:pStyle w:val="BodyText"/>
      </w:pPr>
      <w:r>
        <w:t xml:space="preserve">We applied the protocol to a panel of 212 designed macrocycles in three branches: 20 canonical</w:t>
      </w:r>
      <w:r>
        <w:t xml:space="preserve"> </w:t>
      </w:r>
      <w:r>
        <w:t xml:space="preserve">head-to-tail cyclic peptides from generative backbone design followed by sequence design; 96</w:t>
      </w:r>
      <w:r>
        <w:t xml:space="preserve"> </w:t>
      </w:r>
      <w:r>
        <w:t xml:space="preserve">single-residue non-canonical substitutions on those canonical parents; and 96 single-residue</w:t>
      </w:r>
      <w:r>
        <w:t xml:space="preserve"> </w:t>
      </w:r>
      <w:r>
        <w:t xml:space="preserve">non-canonical substitutions on a thanatin derivative-7 scaffold templated on a co-crystal</w:t>
      </w:r>
      <w:r>
        <w:t xml:space="preserve"> </w:t>
      </w:r>
      <w:r>
        <w:t xml:space="preserve">structure. A total of 213 complexes were scored — the 212 designs plus the derivative-7 parent</w:t>
      </w:r>
      <w:r>
        <w:t xml:space="preserve"> </w:t>
      </w:r>
      <w:r>
        <w:t xml:space="preserve">as a reference.</w:t>
      </w:r>
    </w:p>
    <w:p>
      <w:pPr>
        <w:pStyle w:val="BodyText"/>
      </w:pPr>
      <w:r>
        <w:rPr>
          <w:b/>
          <w:bCs/>
        </w:rPr>
        <w:t xml:space="preserve">Pose quality.</w:t>
      </w:r>
      <w:r>
        <w:t xml:space="preserve"> </w:t>
      </w:r>
      <w:r>
        <w:t xml:space="preserve">Unlike the benchmark, these poses are generated rather than crystallographic,</w:t>
      </w:r>
      <w:r>
        <w:t xml:space="preserve"> </w:t>
      </w:r>
      <w:r>
        <w:t xml:space="preserve">which raises the question of whether scores read binding or pose-construction artefact. Across</w:t>
      </w:r>
      <w:r>
        <w:t xml:space="preserve"> </w:t>
      </w:r>
      <w:r>
        <w:t xml:space="preserve">all 213 scored complexes the built poses contain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interface heavy-atom contacts below</w:t>
      </w:r>
      <w:r>
        <w:t xml:space="preserve"> </w:t>
      </w:r>
      <w:r>
        <w:t xml:space="preserve">1.8 Å, and minimisation drift spans only 0.49–1.42 Å. For comparison, the 12CA5 panel of</w:t>
      </w:r>
      <w:r>
        <w:t xml:space="preserve"> </w:t>
      </w:r>
      <w:r>
        <w:t xml:space="preserve">Section 3.8, whose peptidomimetics were threaded onto a non-matching template, showed 0–44</w:t>
      </w:r>
      <w:r>
        <w:t xml:space="preserve"> </w:t>
      </w:r>
      <w:r>
        <w:t xml:space="preserve">clashes per complex,</w:t>
      </w:r>
      <w:r>
        <w:t xml:space="preserve"> </w:t>
      </w:r>
      <w:r>
        <w:t xml:space="preserve">backbone RMSD to 4.72 Å, and MM/PBSA scores correlating with clash count at ρ = −0.891 — that</w:t>
      </w:r>
      <w:r>
        <w:t xml:space="preserve"> </w:t>
      </w:r>
      <w:r>
        <w:t xml:space="preserve">is, reading pose quality rather than chemistry. The LptA poses show no such pathology, which is</w:t>
      </w:r>
      <w:r>
        <w:t xml:space="preserve"> </w:t>
      </w:r>
      <w:r>
        <w:t xml:space="preserve">a necessary condition for the scores to be interpretable, though not a sufficient one.</w:t>
      </w:r>
    </w:p>
    <w:p>
      <w:pPr>
        <w:pStyle w:val="BodyText"/>
      </w:pPr>
      <w:r>
        <w:rPr>
          <w:b/>
          <w:bCs/>
        </w:rPr>
        <w:t xml:space="preserve">Size dependence differs by branch.</w:t>
      </w:r>
      <w:r>
        <w:t xml:space="preserve"> </w:t>
      </w:r>
      <w:r>
        <w:t xml:space="preserve">The score’s correlation with ligand heavy-atom count is</w:t>
      </w:r>
      <w:r>
        <w:t xml:space="preserve"> </w:t>
      </w:r>
      <w:r>
        <w:t xml:space="preserve">−0.668 for the 20 canonical de novo designs, −0.606 for their 96 non-canonical swaps, and only</w:t>
      </w:r>
      <w:r>
        <w:t xml:space="preserve"> </w:t>
      </w:r>
      <w:r>
        <w:rPr>
          <w:b/>
          <w:bCs/>
        </w:rPr>
        <w:t xml:space="preserve">−0.291</w:t>
      </w:r>
      <w:r>
        <w:t xml:space="preserve"> </w:t>
      </w:r>
      <w:r>
        <w:t xml:space="preserve">for the 96 thanatin swaps. This follows from construction: single substitutions on a</w:t>
      </w:r>
      <w:r>
        <w:t xml:space="preserve"> </w:t>
      </w:r>
      <w:r>
        <w:t xml:space="preserve">fixed 16-residue scaffold barely change size, whereas the de novo designs vary from 14 to 18</w:t>
      </w:r>
      <w:r>
        <w:t xml:space="preserve"> </w:t>
      </w:r>
      <w:r>
        <w:t xml:space="preserve">residues. The thanatin branch is therefore the least size-confounded, and by the argument of</w:t>
      </w:r>
      <w:r>
        <w:t xml:space="preserve"> </w:t>
      </w:r>
      <w:r>
        <w:t xml:space="preserve">Section 3.4 it is the branch on which the protocol’s demonstrated skill is most likely to apply.</w:t>
      </w:r>
    </w:p>
    <w:p>
      <w:pPr>
        <w:pStyle w:val="BodyText"/>
      </w:pPr>
      <w:r>
        <w:rPr>
          <w:b/>
          <w:bCs/>
        </w:rPr>
        <w:t xml:space="preserve">No measured affinities exist for any of these designs.</w:t>
      </w:r>
      <w:r>
        <w:t xml:space="preserve"> </w:t>
      </w:r>
      <w:r>
        <w:t xml:space="preserve">All statements about them are</w:t>
      </w:r>
      <w:r>
        <w:t xml:space="preserve"> </w:t>
      </w:r>
      <w:r>
        <w:t xml:space="preserve">computational, and the protocol has not demonstrated predictive skill on this system. Rankings</w:t>
      </w:r>
      <w:r>
        <w:t xml:space="preserve"> </w:t>
      </w:r>
      <w:r>
        <w:t xml:space="preserve">are reported within branch only; the branches occupy different score ranges and pooling them</w:t>
      </w:r>
      <w:r>
        <w:t xml:space="preserve"> </w:t>
      </w:r>
      <w:r>
        <w:t xml:space="preserve">produces a spurious correlation.</w:t>
      </w:r>
    </w:p>
    <w:p>
      <w:r>
        <w:pict>
          <v:rect style="width:0;height:1.5pt" o:hralign="center" o:hrstd="t" o:hr="t"/>
        </w:pict>
      </w:r>
    </w:p>
    <w:bookmarkEnd w:id="57"/>
    <w:bookmarkStart w:id="58" w:name="X122341009b214663c8630bc49c2b403e6e7b0f4"/>
    <w:p>
      <w:pPr>
        <w:pStyle w:val="Heading2"/>
      </w:pPr>
      <w:r>
        <w:t xml:space="preserve">5. Prospective validation (registered plan — not yet executed)</w:t>
      </w:r>
    </w:p>
    <w:p>
      <w:pPr>
        <w:pStyle w:val="FirstParagraph"/>
      </w:pPr>
      <w:r>
        <w:rPr>
          <w:i/>
          <w:iCs/>
        </w:rPr>
        <w:t xml:space="preserve">This section describes a planned experiment. No results exist at the time of writing.</w:t>
      </w:r>
    </w:p>
    <w:p>
      <w:pPr>
        <w:pStyle w:val="BodyText"/>
      </w:pPr>
      <w:r>
        <w:t xml:space="preserve">Everything above is retrospective, on compounds measured by others. We therefore register a</w:t>
      </w:r>
      <w:r>
        <w:t xml:space="preserve"> </w:t>
      </w:r>
      <w:r>
        <w:t xml:space="preserve">forward test.</w:t>
      </w:r>
    </w:p>
    <w:p>
      <w:pPr>
        <w:pStyle w:val="BodyText"/>
      </w:pPr>
      <w:r>
        <w:rPr>
          <w:b/>
          <w:bCs/>
        </w:rPr>
        <w:t xml:space="preserve">Design.</w:t>
      </w:r>
      <w:r>
        <w:t xml:space="preserve"> </w:t>
      </w:r>
      <w:r>
        <w:t xml:space="preserve">Ten de novo LptA designs will be selected before any measurement, synthesised, and</w:t>
      </w:r>
      <w:r>
        <w:t xml:space="preserve"> </w:t>
      </w:r>
      <w:r>
        <w:t xml:space="preserve">assayed. The ranking is frozen at registration and will not be adjusted afterwards.</w:t>
      </w:r>
    </w:p>
    <w:p>
      <w:pPr>
        <w:pStyle w:val="BodyText"/>
      </w:pPr>
      <w:r>
        <w:rPr>
          <w:b/>
          <w:bCs/>
        </w:rPr>
        <w:t xml:space="preserve">Compound selection.</w:t>
      </w:r>
      <w:r>
        <w:t xml:space="preserve"> </w:t>
      </w:r>
      <w:r>
        <w:t xml:space="preserve">The ten span a four-heavy-atom window (149–153 atoms) — essentially</w:t>
      </w:r>
      <w:r>
        <w:t xml:space="preserve"> </w:t>
      </w:r>
      <w:r>
        <w:t xml:space="preserve">size-matched, which is the regime in which Section 3.4 establishes skill — while covering</w:t>
      </w:r>
      <w:r>
        <w:t xml:space="preserve"> </w:t>
      </w:r>
      <w:r>
        <w:t xml:space="preserve">34 kcal/mol of predicted score range (−104.0 to −69.8 kcal/mol). Spanning the predicted range</w:t>
      </w:r>
      <w:r>
        <w:t xml:space="preserve"> </w:t>
      </w:r>
      <w:r>
        <w:t xml:space="preserve">rather than selecting predicted winners is deliberate: a set of predicted winners cannot</w:t>
      </w:r>
      <w:r>
        <w:t xml:space="preserve"> </w:t>
      </w:r>
      <w:r>
        <w:t xml:space="preserve">falsify the ranking.</w:t>
      </w:r>
    </w:p>
    <w:p>
      <w:pPr>
        <w:pStyle w:val="BodyText"/>
      </w:pPr>
      <w:r>
        <w:rPr>
          <w:b/>
          <w:bCs/>
        </w:rPr>
        <w:t xml:space="preserve">What ten compounds can and cannot establish.</w:t>
      </w:r>
      <w:r>
        <w:t xml:space="preserve"> </w:t>
      </w:r>
      <w:r>
        <w:t xml:space="preserve">Power analysis by simulation, at the effect</w:t>
      </w:r>
      <w:r>
        <w:t xml:space="preserve"> </w:t>
      </w:r>
      <w:r>
        <w:t xml:space="preserve">size measured here (ρ ≈ 0.30, corresponding to ~60% pairwise accuracy):</w:t>
      </w:r>
    </w:p>
    <w:p>
      <w:pPr>
        <w:pStyle w:val="BodyText"/>
      </w:pPr>
      <w:r>
        <w:rPr>
          <w:b/>
          <w:bCs/>
        </w:rPr>
        <w:t xml:space="preserve">Table 5.</w:t>
      </w:r>
      <w:r>
        <w:t xml:space="preserve"> </w:t>
      </w:r>
      <w:r>
        <w:t xml:space="preserve">Simulated power to detect a positive rank correlation at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0.05.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 at ρ = 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ρ = 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ρ = 0.75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</w:tr>
    </w:tbl>
    <w:p>
      <w:pPr>
        <w:pStyle w:val="BodyText"/>
      </w:pPr>
      <w:r>
        <w:rPr>
          <w:b/>
          <w:bCs/>
        </w:rPr>
        <w:t xml:space="preserve">Ten compounds cannot confirm the ranking</w:t>
      </w:r>
      <w:r>
        <w:t xml:space="preserve">: at the measured effect size the power is 12%, so</w:t>
      </w:r>
      <w:r>
        <w:t xml:space="preserve"> </w:t>
      </w:r>
      <w:r>
        <w:t xml:space="preserve">a null result would be uninformative. We state this in advance rather than discovering it</w:t>
      </w:r>
      <w:r>
        <w:t xml:space="preserve"> </w:t>
      </w:r>
      <w:r>
        <w:t xml:space="preserve">afterwards. Ten compounds can, however, do two useful things: detect a catastrophic inversion</w:t>
      </w:r>
      <w:r>
        <w:t xml:space="preserve"> </w:t>
      </w:r>
      <w:r>
        <w:t xml:space="preserve">(66% power against ρ = −0.75), which is a live concern because exactly such a reversal occurred</w:t>
      </w:r>
      <w:r>
        <w:t xml:space="preserve"> </w:t>
      </w:r>
      <w:r>
        <w:t xml:space="preserve">on the external target of Section 3.8; and supply ten measured anchors that permit within-series</w:t>
      </w:r>
      <w:r>
        <w:t xml:space="preserve"> </w:t>
      </w:r>
      <w:r>
        <w:t xml:space="preserve">calibration.</w:t>
      </w:r>
    </w:p>
    <w:p>
      <w:pPr>
        <w:pStyle w:val="BodyText"/>
      </w:pPr>
      <w:r>
        <w:t xml:space="preserve">This test is therefore registered as a</w:t>
      </w:r>
      <w:r>
        <w:t xml:space="preserve"> </w:t>
      </w:r>
      <w:r>
        <w:rPr>
          <w:b/>
          <w:bCs/>
        </w:rPr>
        <w:t xml:space="preserve">sanity check and anchor acquisition</w:t>
      </w:r>
      <w:r>
        <w:t xml:space="preserve">, not as</w:t>
      </w:r>
      <w:r>
        <w:t xml:space="preserve"> </w:t>
      </w:r>
      <w:r>
        <w:t xml:space="preserve">confirmatory validation. Confirmatory validation would require approximately 40 compounds, and</w:t>
      </w:r>
      <w:r>
        <w:t xml:space="preserve"> </w:t>
      </w:r>
      <w:r>
        <w:t xml:space="preserve">we do not claim it here.</w:t>
      </w:r>
    </w:p>
    <w:p>
      <w:r>
        <w:pict>
          <v:rect style="width:0;height:1.5pt" o:hralign="center" o:hrstd="t" o:hr="t"/>
        </w:pict>
      </w:r>
    </w:p>
    <w:bookmarkEnd w:id="58"/>
    <w:bookmarkStart w:id="61" w:name="discussion"/>
    <w:p>
      <w:pPr>
        <w:pStyle w:val="Heading2"/>
      </w:pPr>
      <w:r>
        <w:t xml:space="preserve">6. Discussion</w:t>
      </w:r>
    </w:p>
    <w:p>
      <w:pPr>
        <w:pStyle w:val="FirstParagraph"/>
      </w:pPr>
      <w:r>
        <w:t xml:space="preserve">The central finding is that end-point MM/PBSA retains genuine ranking skill on macrocyclic</w:t>
      </w:r>
      <w:r>
        <w:t xml:space="preserve"> </w:t>
      </w:r>
      <w:r>
        <w:t xml:space="preserve">peptides when size is held fixed — 60.1% pairwise accuracy where chance is 50% and a size</w:t>
      </w:r>
      <w:r>
        <w:t xml:space="preserve"> </w:t>
      </w:r>
      <w:r>
        <w:t xml:space="preserve">descriptor is undefined — at roughly a thousandth of the cost of rigorous free-energy</w:t>
      </w:r>
      <w:r>
        <w:t xml:space="preserve"> </w:t>
      </w:r>
      <w:r>
        <w:t xml:space="preserve">simulation, which achieves 84.1% on the same pairs.</w:t>
      </w:r>
    </w:p>
    <w:p>
      <w:pPr>
        <w:pStyle w:val="BodyText"/>
      </w:pPr>
      <w:r>
        <w:t xml:space="preserve">The methodological contribution is the comparison itself. Ligand size bias in scoring functions</w:t>
      </w:r>
      <w:r>
        <w:t xml:space="preserve"> </w:t>
      </w:r>
      <w:r>
        <w:t xml:space="preserve">has been recognised for two decades,</w:t>
      </w:r>
      <w:r>
        <w:rPr>
          <w:rStyle w:val="FootnoteReference"/>
        </w:rPr>
        <w:footnoteReference w:id="59"/>
      </w:r>
      <w:r>
        <w:t xml:space="preserve"> </w:t>
      </w:r>
      <w:r>
        <w:t xml:space="preserve">and matched-pair benchmarks are an established response</w:t>
      </w:r>
      <w:r>
        <w:t xml:space="preserve"> </w:t>
      </w:r>
      <w:r>
        <w:t xml:space="preserve">in small-molecule work.</w:t>
      </w:r>
      <w:r>
        <w:rPr>
          <w:rStyle w:val="FootnoteReference"/>
        </w:rPr>
        <w:footnoteReference w:id="60"/>
      </w:r>
      <w:r>
        <w:t xml:space="preserve"> </w:t>
      </w:r>
      <w:r>
        <w:t xml:space="preserve">Neither has been applied to macrocyclic peptides, where the size</w:t>
      </w:r>
      <w:r>
        <w:t xml:space="preserve"> </w:t>
      </w:r>
      <w:r>
        <w:t xml:space="preserve">range within a series is far larger and where the usual correction — normalising by heavy-atom</w:t>
      </w:r>
      <w:r>
        <w:t xml:space="preserve"> </w:t>
      </w:r>
      <w:r>
        <w:t xml:space="preserve">count or reporting ligand efficiency — is inappropriate because size is a mediator of the</w:t>
      </w:r>
      <w:r>
        <w:t xml:space="preserve"> </w:t>
      </w:r>
      <w:r>
        <w:t xml:space="preserve">physics rather than a nuisance. Exact size matching sidesteps this: it requires no correction</w:t>
      </w:r>
      <w:r>
        <w:t xml:space="preserve"> </w:t>
      </w:r>
      <w:r>
        <w:t xml:space="preserve">factor, makes no assumption about the functional form of the size dependence, and renders the</w:t>
      </w:r>
      <w:r>
        <w:t xml:space="preserve"> </w:t>
      </w:r>
      <w:r>
        <w:t xml:space="preserve">control informative by construction.</w:t>
      </w:r>
    </w:p>
    <w:p>
      <w:pPr>
        <w:pStyle w:val="BodyText"/>
      </w:pPr>
      <w:r>
        <w:t xml:space="preserve">The practical reading for a design campaign is that this protocol is a</w:t>
      </w:r>
      <w:r>
        <w:t xml:space="preserve"> </w:t>
      </w:r>
      <w:r>
        <w:rPr>
          <w:b/>
          <w:bCs/>
        </w:rPr>
        <w:t xml:space="preserve">triage filter, not a</w:t>
      </w:r>
      <w:r>
        <w:rPr>
          <w:b/>
          <w:bCs/>
        </w:rPr>
        <w:t xml:space="preserve"> </w:t>
      </w:r>
      <w:r>
        <w:rPr>
          <w:b/>
          <w:bCs/>
        </w:rPr>
        <w:t xml:space="preserve">ranking to defend</w:t>
      </w:r>
      <w:r>
        <w:t xml:space="preserve">. A 60% edge is worth having when the alternative is arbitrary selection and</w:t>
      </w:r>
      <w:r>
        <w:t xml:space="preserve"> </w:t>
      </w:r>
      <w:r>
        <w:t xml:space="preserve">the cost of being wrong is a thousand-dollar synthesis, particularly at seconds per compound.</w:t>
      </w:r>
      <w:r>
        <w:t xml:space="preserve"> </w:t>
      </w:r>
      <w:r>
        <w:t xml:space="preserve">It is not worth defending against a rigorous calculation when the decision is expensive enough</w:t>
      </w:r>
      <w:r>
        <w:t xml:space="preserve"> </w:t>
      </w:r>
      <w:r>
        <w:t xml:space="preserve">to justify one. The natural workflow is end-point scoring to reduce hundreds of candidates to</w:t>
      </w:r>
      <w:r>
        <w:t xml:space="preserve"> </w:t>
      </w:r>
      <w:r>
        <w:t xml:space="preserve">tens, then alchemical calculation on the shortlist.</w:t>
      </w:r>
    </w:p>
    <w:p>
      <w:pPr>
        <w:pStyle w:val="BodyText"/>
      </w:pPr>
      <w:r>
        <w:t xml:space="preserve">Three cautions generalise beyond this work.</w:t>
      </w:r>
    </w:p>
    <w:p>
      <w:pPr>
        <w:pStyle w:val="BodyText"/>
      </w:pPr>
      <w:r>
        <w:rPr>
          <w:b/>
          <w:bCs/>
        </w:rPr>
        <w:t xml:space="preserve">The estimator matters.</w:t>
      </w:r>
      <w:r>
        <w:t xml:space="preserve"> </w:t>
      </w:r>
      <w:r>
        <w:t xml:space="preserve">Pooling compounds drawn from different receptor structures can invert</w:t>
      </w:r>
      <w:r>
        <w:t xml:space="preserve"> </w:t>
      </w:r>
      <w:r>
        <w:t xml:space="preserve">the sign of a result, as it does for KRAS (Table 2), so benchmark numbers computed that way</w:t>
      </w:r>
      <w:r>
        <w:t xml:space="preserve"> </w:t>
      </w:r>
      <w:r>
        <w:t xml:space="preserve">should be treated sceptically — including when the pooling is hidden inside what is reported as</w:t>
      </w:r>
      <w:r>
        <w:t xml:space="preserve"> </w:t>
      </w:r>
      <w:r>
        <w:t xml:space="preserve">a within-family metric.</w:t>
      </w:r>
    </w:p>
    <w:p>
      <w:pPr>
        <w:pStyle w:val="BodyText"/>
      </w:pPr>
      <w:r>
        <w:rPr>
          <w:b/>
          <w:bCs/>
        </w:rPr>
        <w:t xml:space="preserve">Pose provenance matters.</w:t>
      </w:r>
      <w:r>
        <w:t xml:space="preserve"> </w:t>
      </w:r>
      <w:r>
        <w:t xml:space="preserve">Where poses are built rather than crystallographic, scores can</w:t>
      </w:r>
      <w:r>
        <w:t xml:space="preserve"> </w:t>
      </w:r>
      <w:r>
        <w:t xml:space="preserve">track construction artefact: on the 12CA5 panel the score correlated with the pose builder’s</w:t>
      </w:r>
      <w:r>
        <w:t xml:space="preserve"> </w:t>
      </w:r>
      <w:r>
        <w:t xml:space="preserve">clash count at ρ = −0.891. Any end-point score should be reported alongside evidence about the</w:t>
      </w:r>
      <w:r>
        <w:t xml:space="preserve"> </w:t>
      </w:r>
      <w:r>
        <w:t xml:space="preserve">geometry it was computed on.</w:t>
      </w:r>
    </w:p>
    <w:p>
      <w:pPr>
        <w:pStyle w:val="BodyText"/>
      </w:pPr>
      <w:r>
        <w:rPr>
          <w:b/>
          <w:bCs/>
        </w:rPr>
        <w:t xml:space="preserve">Reference standards must themselves be validated.</w:t>
      </w:r>
      <w:r>
        <w:t xml:space="preserve"> </w:t>
      </w:r>
      <w:r>
        <w:t xml:space="preserve">We could not settle whether force-field</w:t>
      </w:r>
      <w:r>
        <w:t xml:space="preserve"> </w:t>
      </w:r>
      <w:r>
        <w:t xml:space="preserve">choice transfers between our datasets, because the only available reference on the design panel</w:t>
      </w:r>
      <w:r>
        <w:t xml:space="preserve"> </w:t>
      </w:r>
      <w:r>
        <w:t xml:space="preserve">was a computational score that we measured at ρ = −0.149 against experiment (Section 3.6).</w:t>
      </w:r>
      <w:r>
        <w:t xml:space="preserve"> </w:t>
      </w:r>
      <w:r>
        <w:t xml:space="preserve">Agreement with an unvalidated reference is not evidence.</w:t>
      </w:r>
    </w:p>
    <w:p>
      <w:r>
        <w:pict>
          <v:rect style="width:0;height:1.5pt" o:hralign="center" o:hrstd="t" o:hr="t"/>
        </w:pict>
      </w:r>
    </w:p>
    <w:bookmarkEnd w:id="61"/>
    <w:bookmarkStart w:id="62" w:name="limitations"/>
    <w:p>
      <w:pPr>
        <w:pStyle w:val="Heading2"/>
      </w:pPr>
      <w:r>
        <w:t xml:space="preserve">7. Limitations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Five targets.</w:t>
      </w:r>
      <w:r>
        <w:t xml:space="preserve"> </w:t>
      </w:r>
      <w:r>
        <w:t xml:space="preserve">Macro intervals rest on five values. Skill concentrates in PCSK9 and JAK2,</w:t>
      </w:r>
      <w:r>
        <w:t xml:space="preserve"> </w:t>
      </w:r>
      <w:r>
        <w:t xml:space="preserve">and we could not identify why: interface polarity is the obvious candidate and it fails</w:t>
      </w:r>
      <w:r>
        <w:t xml:space="preserve"> </w:t>
      </w:r>
      <w:r>
        <w:t xml:space="preserve">(Section 3.4). With five targets we cannot distinguish a chemical explanation from chance.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Cyclin A/B is underpowered</w:t>
      </w:r>
      <w:r>
        <w:t xml:space="preserve"> </w:t>
      </w:r>
      <w:r>
        <w:t xml:space="preserve">in the strictest size-matched band (15 pairs, CI spanning</w:t>
      </w:r>
      <w:r>
        <w:t xml:space="preserve"> </w:t>
      </w:r>
      <w:r>
        <w:t xml:space="preserve">0.267–0.800) and contributes little.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Scores are not free energies</w:t>
      </w:r>
      <w:r>
        <w:t xml:space="preserve"> </w:t>
      </w:r>
      <w:r>
        <w:t xml:space="preserve">(Section 3.5) and must not be quoted as predicted affinities.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measured affinities exist for the LptA designs.</w:t>
      </w:r>
      <w:r>
        <w:t xml:space="preserve"> </w:t>
      </w:r>
      <w:r>
        <w:t xml:space="preserve">Section 4 is an application, not a</w:t>
      </w:r>
      <w:r>
        <w:t xml:space="preserve"> </w:t>
      </w:r>
      <w:r>
        <w:t xml:space="preserve">validation, and Section 5 is a plan.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Two selenium-containing non-canonical residues</w:t>
      </w:r>
      <w:r>
        <w:t xml:space="preserve"> </w:t>
      </w:r>
      <w:r>
        <w:t xml:space="preserve">are approximations, GAFF2 having no</w:t>
      </w:r>
      <w:r>
        <w:t xml:space="preserve"> </w:t>
      </w:r>
      <w:r>
        <w:t xml:space="preserve">selenium parameters.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Single-structure scoring</w:t>
      </w:r>
      <w:r>
        <w:t xml:space="preserve"> </w:t>
      </w:r>
      <w:r>
        <w:t xml:space="preserve">inherits whatever error the input pose carries. We verify pose</w:t>
      </w:r>
      <w:r>
        <w:t xml:space="preserve"> </w:t>
      </w:r>
      <w:r>
        <w:t xml:space="preserve">quality explicitly (Section 4) but cannot certify that generated poses are correct.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Censored measurements</w:t>
      </w:r>
      <w:r>
        <w:t xml:space="preserve"> </w:t>
      </w:r>
      <w:r>
        <w:t xml:space="preserve">are excluded from pairwise analyses, which may bias the admitted</w:t>
      </w:r>
      <w:r>
        <w:t xml:space="preserve"> </w:t>
      </w:r>
      <w:r>
        <w:t xml:space="preserve">set toward the measurable dynamic range.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 evaluate the protocol as published</w:t>
      </w:r>
      <w:r>
        <w:t xml:space="preserve">, not an optimised variant. We did not re-tune the</w:t>
      </w:r>
      <w:r>
        <w:t xml:space="preserve"> </w:t>
      </w:r>
      <w:r>
        <w:t xml:space="preserve">dielectric, solvation model or minimisation depth to maximise size-matched accuracy; doing so</w:t>
      </w:r>
      <w:r>
        <w:t xml:space="preserve"> </w:t>
      </w:r>
      <w:r>
        <w:t xml:space="preserve">on five targets would overfit. The reported 60.1% is therefore a floor for this family of</w:t>
      </w:r>
      <w:r>
        <w:t xml:space="preserve"> </w:t>
      </w:r>
      <w:r>
        <w:t xml:space="preserve">methods rather than the best achievable.</w:t>
      </w:r>
    </w:p>
    <w:p>
      <w:r>
        <w:pict>
          <v:rect style="width:0;height:1.5pt" o:hralign="center" o:hrstd="t" o:hr="t"/>
        </w:pict>
      </w:r>
    </w:p>
    <w:bookmarkEnd w:id="62"/>
    <w:bookmarkStart w:id="63" w:name="author-contributions"/>
    <w:p>
      <w:pPr>
        <w:pStyle w:val="Heading2"/>
      </w:pPr>
      <w:r>
        <w:t xml:space="preserve">Author contributions</w:t>
      </w:r>
    </w:p>
    <w:p>
      <w:pPr>
        <w:pStyle w:val="FirstParagraph"/>
      </w:pPr>
      <w:r>
        <w:t xml:space="preserve">C.L. designed and executed the computational work, performed the analyses and wrote the</w:t>
      </w:r>
      <w:r>
        <w:t xml:space="preserve"> </w:t>
      </w:r>
      <w:r>
        <w:t xml:space="preserve">manuscript. J.S.B. supervised the project and revised the manuscript. The prospective</w:t>
      </w:r>
      <w:r>
        <w:t xml:space="preserve"> </w:t>
      </w:r>
      <w:r>
        <w:t xml:space="preserve">validation of Section 5 will be executed experimentally by the Brown laboratory.</w:t>
      </w:r>
    </w:p>
    <w:bookmarkEnd w:id="63"/>
    <w:bookmarkStart w:id="64" w:name="competing-interests"/>
    <w:p>
      <w:pPr>
        <w:pStyle w:val="Heading2"/>
      </w:pPr>
      <w:r>
        <w:t xml:space="preserve">Competing interests</w:t>
      </w:r>
    </w:p>
    <w:p>
      <w:pPr>
        <w:pStyle w:val="FirstParagraph"/>
      </w:pPr>
      <w:r>
        <w:t xml:space="preserve">The authors declare no competing financial interests.</w:t>
      </w:r>
    </w:p>
    <w:bookmarkEnd w:id="64"/>
    <w:bookmarkStart w:id="65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Computations were performed on local GPU hardware and on the Digital Research Alliance of</w:t>
      </w:r>
      <w:r>
        <w:t xml:space="preserve"> </w:t>
      </w:r>
      <w:r>
        <w:t xml:space="preserve">Canada national systems. We thank the authors of the two benchmark studies whose data made this</w:t>
      </w:r>
      <w:r>
        <w:t xml:space="preserve"> </w:t>
      </w:r>
      <w:r>
        <w:t xml:space="preserve">evaluation possible.</w:t>
      </w:r>
    </w:p>
    <w:bookmarkEnd w:id="65"/>
    <w:bookmarkStart w:id="68" w:name="data-and-code-availability"/>
    <w:p>
      <w:pPr>
        <w:pStyle w:val="Heading2"/>
      </w:pPr>
      <w:r>
        <w:t xml:space="preserve">Data and code availability</w:t>
      </w:r>
    </w:p>
    <w:p>
      <w:pPr>
        <w:pStyle w:val="FirstParagraph"/>
      </w:pPr>
      <w:r>
        <w:t xml:space="preserve">All code, computed scores, per-target statistics, bootstrap intervals and figures are available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https://github.com/Caroldorium/mmpbsa-macrocycle-benchmark</w:t>
      </w:r>
      <w:r>
        <w:t xml:space="preserve"> </w:t>
      </w:r>
      <w:r>
        <w:t xml:space="preserve">under an MIT licence.</w:t>
      </w:r>
      <w:r>
        <w:t xml:space="preserve"> </w:t>
      </w:r>
      <w:r>
        <w:rPr>
          <w:rStyle w:val="VerbatimChar"/>
        </w:rPr>
        <w:t xml:space="preserve">scripts/size_matched_pairwise_accuracy.py</w:t>
      </w:r>
      <w:r>
        <w:t xml:space="preserve"> </w:t>
      </w:r>
      <w:r>
        <w:t xml:space="preserve">reproduces Table 3 and the primary figure.</w:t>
      </w:r>
    </w:p>
    <w:p>
      <w:pPr>
        <w:pStyle w:val="BodyText"/>
      </w:pPr>
      <w:r>
        <w:t xml:space="preserve">Two third-party sources are reproduced for reproducibility and cited in place: measured</w:t>
      </w:r>
      <w:r>
        <w:t xml:space="preserve"> </w:t>
      </w:r>
      <w:r>
        <w:t xml:space="preserve">affinities and FEP+ predictions from Awoonor-Williams et al.,</w:t>
      </w:r>
      <w:r>
        <w:rPr>
          <w:rStyle w:val="FootnoteReference"/>
        </w:rPr>
        <w:footnoteReference w:id="66"/>
      </w:r>
      <w:r>
        <w:t xml:space="preserve"> </w:t>
      </w:r>
      <w:r>
        <w:t xml:space="preserve">and the reference protocol and</w:t>
      </w:r>
      <w:r>
        <w:t xml:space="preserve"> </w:t>
      </w:r>
      <w:r>
        <w:t xml:space="preserve">dataset tables from Zhao et al.</w:t>
      </w:r>
      <w:r>
        <w:rPr>
          <w:rStyle w:val="FootnoteReference"/>
        </w:rPr>
        <w:footnoteReference w:id="67"/>
      </w:r>
      <w:r>
        <w:t xml:space="preserve"> </w:t>
      </w:r>
      <w:r>
        <w:t xml:space="preserve">All MM/PBSA scores, statistics, figures and code were</w:t>
      </w:r>
      <w:r>
        <w:t xml:space="preserve"> </w:t>
      </w:r>
      <w:r>
        <w:t xml:space="preserve">computed in this work.</w:t>
      </w:r>
    </w:p>
    <w:p>
      <w:r>
        <w:pict>
          <v:rect style="width:0;height:1.5pt" o:hralign="center" o:hrstd="t" o:hr="t"/>
        </w:pict>
      </w:r>
    </w:p>
    <w:bookmarkEnd w:id="68"/>
    <w:bookmarkStart w:id="69" w:name="references"/>
    <w:p>
      <w:pPr>
        <w:pStyle w:val="Heading2"/>
      </w:pPr>
      <w:r>
        <w:t xml:space="preserve">References</w:t>
      </w:r>
    </w:p>
    <w:p>
      <w:r>
        <w:pict>
          <v:rect style="width:0;height:1.5pt" o:hralign="center" o:hrstd="t" o:hr="t"/>
        </w:pict>
      </w:r>
    </w:p>
    <w:bookmarkEnd w:id="69"/>
    <w:bookmarkStart w:id="82" w:name="figures"/>
    <w:p>
      <w:pPr>
        <w:pStyle w:val="Heading2"/>
      </w:pPr>
      <w:r>
        <w:t xml:space="preserve">Figures</w:t>
      </w:r>
    </w:p>
    <w:p>
      <w:pPr>
        <w:pStyle w:val="FirstParagraph"/>
      </w:pPr>
      <w:r>
        <w:rPr>
          <w:b/>
          <w:bCs/>
        </w:rPr>
        <w:t xml:space="preserve">Figure 1.</w:t>
      </w:r>
      <w:r>
        <w:t xml:space="preserve"> </w:t>
      </w:r>
      <w:r>
        <w:t xml:space="preserve">Pipeline schematic and validation logic.</w:t>
      </w:r>
    </w:p>
    <w:p>
      <w:pPr>
        <w:pStyle w:val="CaptionedFigure"/>
      </w:pPr>
      <w:r>
        <w:drawing>
          <wp:inline>
            <wp:extent cx="5334000" cy="2621825"/>
            <wp:effectExtent b="0" l="0" r="0" t="0"/>
            <wp:docPr descr="Pipeline and validation logic" title="" id="71" name="Picture"/>
            <a:graphic>
              <a:graphicData uri="http://schemas.openxmlformats.org/drawingml/2006/picture">
                <pic:pic>
                  <pic:nvPicPr>
                    <pic:cNvPr descr="fig1_pipeline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1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Pipeline and validation logic</w:t>
      </w:r>
    </w:p>
    <w:p>
      <w:pPr>
        <w:pStyle w:val="BodyText"/>
      </w:pPr>
      <w:r>
        <w:rPr>
          <w:b/>
          <w:bCs/>
        </w:rPr>
        <w:t xml:space="preserve">Figure 2.</w:t>
      </w:r>
      <w:r>
        <w:t xml:space="preserve"> </w:t>
      </w:r>
      <w:r>
        <w:t xml:space="preserve">The size confound. (A) Experimental ΔG tracks ligand heavy-atom count (mean</w:t>
      </w:r>
      <w:r>
        <w:t xml:space="preserve"> </w:t>
      </w:r>
      <w:r>
        <w:t xml:space="preserve">within-target ρ = −0.43). (B) The MM/PBSA score tracks it more strongly (ρ = −0.55).</w:t>
      </w:r>
      <w:r>
        <w:t xml:space="preserve"> </w:t>
      </w:r>
      <w:r>
        <w:t xml:space="preserve">(C) Within-target size distributions, showing that enough compounds share a heavy-atom count to</w:t>
      </w:r>
      <w:r>
        <w:t xml:space="preserve"> </w:t>
      </w:r>
      <w:r>
        <w:t xml:space="preserve">permit direct comparison.</w:t>
      </w:r>
    </w:p>
    <w:p>
      <w:pPr>
        <w:pStyle w:val="CaptionedFigure"/>
      </w:pPr>
      <w:r>
        <w:drawing>
          <wp:inline>
            <wp:extent cx="5334000" cy="1656772"/>
            <wp:effectExtent b="0" l="0" r="0" t="0"/>
            <wp:docPr descr="The size confound" title="" id="74" name="Picture"/>
            <a:graphic>
              <a:graphicData uri="http://schemas.openxmlformats.org/drawingml/2006/picture">
                <pic:pic>
                  <pic:nvPicPr>
                    <pic:cNvPr descr="fig2_size_confound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6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size confound</w:t>
      </w:r>
    </w:p>
    <w:p>
      <w:pPr>
        <w:pStyle w:val="BodyText"/>
      </w:pPr>
      <w:r>
        <w:rPr>
          <w:b/>
          <w:bCs/>
        </w:rPr>
        <w:t xml:space="preserve">Figure 3.</w:t>
      </w:r>
      <w:r>
        <w:t xml:space="preserve"> </w:t>
      </w:r>
      <w:r>
        <w:t xml:space="preserve">Per-target parity for raw MM/PBSA, calibrated MM/PBSA and published FEP+ against</w:t>
      </w:r>
      <w:r>
        <w:t xml:space="preserve"> </w:t>
      </w:r>
      <w:r>
        <w:t xml:space="preserve">experiment.</w:t>
      </w:r>
    </w:p>
    <w:p>
      <w:pPr>
        <w:pStyle w:val="CaptionedFigure"/>
      </w:pPr>
      <w:r>
        <w:drawing>
          <wp:inline>
            <wp:extent cx="5334000" cy="3302000"/>
            <wp:effectExtent b="0" l="0" r="0" t="0"/>
            <wp:docPr descr="Per-target parity" title="" id="77" name="Picture"/>
            <a:graphic>
              <a:graphicData uri="http://schemas.openxmlformats.org/drawingml/2006/picture">
                <pic:pic>
                  <pic:nvPicPr>
                    <pic:cNvPr descr="zha25_fepplus_parity_5families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Per-target parity</w:t>
      </w:r>
    </w:p>
    <w:p>
      <w:pPr>
        <w:pStyle w:val="BodyText"/>
      </w:pPr>
      <w:r>
        <w:rPr>
          <w:b/>
          <w:bCs/>
        </w:rPr>
        <w:t xml:space="preserve">Figure 4.</w:t>
      </w:r>
      <w:r>
        <w:t xml:space="preserve"> </w:t>
      </w:r>
      <w:r>
        <w:t xml:space="preserve">Size-matched pairwise accuracy, at identical heavy-atom count (left) and within</w:t>
      </w:r>
      <w:r>
        <w:t xml:space="preserve"> </w:t>
      </w:r>
      <w:r>
        <w:t xml:space="preserve">three heavy atoms (right), against the FEP+ ceiling. Chance is 0.5; a heavy-atom count is</w:t>
      </w:r>
      <w:r>
        <w:t xml:space="preserve"> </w:t>
      </w:r>
      <w:r>
        <w:t xml:space="preserve">undefined in the left panel.</w:t>
      </w:r>
    </w:p>
    <w:p>
      <w:pPr>
        <w:pStyle w:val="CaptionedFigure"/>
      </w:pPr>
      <w:r>
        <w:drawing>
          <wp:inline>
            <wp:extent cx="5334000" cy="2069224"/>
            <wp:effectExtent b="0" l="0" r="0" t="0"/>
            <wp:docPr descr="Size-matched pairwise accuracy" title="" id="80" name="Picture"/>
            <a:graphic>
              <a:graphicData uri="http://schemas.openxmlformats.org/drawingml/2006/picture">
                <pic:pic>
                  <pic:nvPicPr>
                    <pic:cNvPr descr="size_matched_pairwise_accuracy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9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Size-matched pairwise accuracy</w:t>
      </w:r>
    </w:p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Vinogradov AA, Yin Y, Suga H. Macrocyclic peptides as drug candidates: recent progress and remaining challenges.</w:t>
      </w:r>
      <w:r>
        <w:t xml:space="preserve"> </w:t>
      </w:r>
      <w:r>
        <w:rPr>
          <w:i/>
          <w:iCs/>
        </w:rPr>
        <w:t xml:space="preserve">J Am Chem Soc</w:t>
      </w:r>
      <w:r>
        <w:t xml:space="preserve"> </w:t>
      </w:r>
      <w:r>
        <w:t xml:space="preserve">2019;141(10):4167–4181. doi:10.1021/jacs.8b13178. PMID 30768253.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Awoonor-Williams E, Beautrait A, Petridis L, Hu X. Derisking affinity optimization for macrocycles and cyclic peptides: high-precision free energy simulations across five diverse targets.</w:t>
      </w:r>
      <w:r>
        <w:t xml:space="preserve"> </w:t>
      </w:r>
      <w:r>
        <w:rPr>
          <w:i/>
          <w:iCs/>
        </w:rPr>
        <w:t xml:space="preserve">J Chem Inf Model</w:t>
      </w:r>
      <w:r>
        <w:t xml:space="preserve"> </w:t>
      </w:r>
      <w:r>
        <w:t xml:space="preserve">2026;66(14):8545–8560. doi:10.1021/acs.jcim.6c01122. PMID 42396675.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Genheden S, Ryde U. The MM/PBSA and MM/GBSA methods to estimate ligand-binding affinities.</w:t>
      </w:r>
      <w:r>
        <w:t xml:space="preserve"> </w:t>
      </w:r>
      <w:r>
        <w:rPr>
          <w:i/>
          <w:iCs/>
        </w:rPr>
        <w:t xml:space="preserve">Expert Opin Drug Discov</w:t>
      </w:r>
      <w:r>
        <w:t xml:space="preserve"> </w:t>
      </w:r>
      <w:r>
        <w:t xml:space="preserve">2015;10(5):449–461.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Zhao H, Huang J, Weng G, Jiang D, Hu R, Kang Y, Hou T. Improving the predictive performance of binding affinities and poses for protein–cyclic peptide complexes through fine-tuned MM/PBSA(GBSA)-based methods.</w:t>
      </w:r>
      <w:r>
        <w:t xml:space="preserve"> </w:t>
      </w:r>
      <w:r>
        <w:rPr>
          <w:i/>
          <w:iCs/>
        </w:rPr>
        <w:t xml:space="preserve">Brief Bioinform</w:t>
      </w:r>
      <w:r>
        <w:t xml:space="preserve"> </w:t>
      </w:r>
      <w:r>
        <w:t xml:space="preserve">2025;26(6):bbaf632. doi:10.1093/bib/bbaf632. PMID 41319044.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Jacobsson M, Karlén A. Ligand bias of scoring functions in structure-based virtual screening.</w:t>
      </w:r>
      <w:r>
        <w:t xml:space="preserve"> </w:t>
      </w:r>
      <w:r>
        <w:rPr>
          <w:i/>
          <w:iCs/>
        </w:rPr>
        <w:t xml:space="preserve">J Chem Inf Model</w:t>
      </w:r>
      <w:r>
        <w:t xml:space="preserve"> </w:t>
      </w:r>
      <w:r>
        <w:t xml:space="preserve">2006;46(3):1334–1343. doi:10.1021/ci050407t. PMID 16711752.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Jacobsson M, Karlén A. Ligand bias of scoring functions in structure-based virtual screening.</w:t>
      </w:r>
      <w:r>
        <w:t xml:space="preserve"> </w:t>
      </w:r>
      <w:r>
        <w:rPr>
          <w:i/>
          <w:iCs/>
        </w:rPr>
        <w:t xml:space="preserve">J Chem Inf Model</w:t>
      </w:r>
      <w:r>
        <w:t xml:space="preserve"> </w:t>
      </w:r>
      <w:r>
        <w:t xml:space="preserve">2006;46(3):1334–1343. doi:10.1021/ci050407t. PMID 16711752.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Kalinowsky L, Weber J, Balasupramaniam S, Baumann K, Proschak E. A diverse benchmark based on 3D matched molecular pairs for validating scoring functions.</w:t>
      </w:r>
      <w:r>
        <w:t xml:space="preserve"> </w:t>
      </w:r>
      <w:r>
        <w:rPr>
          <w:i/>
          <w:iCs/>
        </w:rPr>
        <w:t xml:space="preserve">ACS Omega</w:t>
      </w:r>
      <w:r>
        <w:t xml:space="preserve"> </w:t>
      </w:r>
      <w:r>
        <w:t xml:space="preserve">2018;3(5):5704–5714. doi:10.1021/acsomega.7b01194. PMID 31458770.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Kalinowsky L, Weber J, Balasupramaniam S, Baumann K, Proschak E. A diverse benchmark based on 3D matched molecular pairs for validating scoring functions.</w:t>
      </w:r>
      <w:r>
        <w:t xml:space="preserve"> </w:t>
      </w:r>
      <w:r>
        <w:rPr>
          <w:i/>
          <w:iCs/>
        </w:rPr>
        <w:t xml:space="preserve">ACS Omega</w:t>
      </w:r>
      <w:r>
        <w:t xml:space="preserve"> </w:t>
      </w:r>
      <w:r>
        <w:t xml:space="preserve">2018;3(5):5704–5714. doi:10.1021/acsomega.7b01194. PMID 31458770.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Awoonor-Williams E, Beautrait A, Petridis L, Hu X. Derisking affinity optimization for macrocycles and cyclic peptides: high-precision free energy simulations across five diverse targets.</w:t>
      </w:r>
      <w:r>
        <w:t xml:space="preserve"> </w:t>
      </w:r>
      <w:r>
        <w:rPr>
          <w:i/>
          <w:iCs/>
        </w:rPr>
        <w:t xml:space="preserve">J Chem Inf Model</w:t>
      </w:r>
      <w:r>
        <w:t xml:space="preserve"> </w:t>
      </w:r>
      <w:r>
        <w:t xml:space="preserve">2026;66(14):8545–8560. doi:10.1021/acs.jcim.6c01122. PMID 42396675.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Maier JA, Martinez C, Kasavajhala K, Wickstrom L, Hauser KE, Simmerling C. ff14SB: improving the accuracy of protein side chain and backbone parameters from ff99SB.</w:t>
      </w:r>
      <w:r>
        <w:t xml:space="preserve"> </w:t>
      </w:r>
      <w:r>
        <w:rPr>
          <w:i/>
          <w:iCs/>
        </w:rPr>
        <w:t xml:space="preserve">J Chem Theory Comput</w:t>
      </w:r>
      <w:r>
        <w:t xml:space="preserve"> </w:t>
      </w:r>
      <w:r>
        <w:t xml:space="preserve">2015;11(8):3696–3713.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Tian C, Kasavajhala K, Belfon KAA, et al. ff19SB: amino-acid-specific protein backbone parameters trained against quantum mechanics energy surfaces in solution.</w:t>
      </w:r>
      <w:r>
        <w:t xml:space="preserve"> </w:t>
      </w:r>
      <w:r>
        <w:rPr>
          <w:i/>
          <w:iCs/>
        </w:rPr>
        <w:t xml:space="preserve">J Chem Theory Comput</w:t>
      </w:r>
      <w:r>
        <w:t xml:space="preserve"> </w:t>
      </w:r>
      <w:r>
        <w:t xml:space="preserve">2020;16(1):528–552.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Homeyer N, Horn AHC, Lanig H, Sticht H. AMBER force-field parameters for phosphorylated amino acids in different protonation states.</w:t>
      </w:r>
      <w:r>
        <w:t xml:space="preserve"> </w:t>
      </w:r>
      <w:r>
        <w:rPr>
          <w:i/>
          <w:iCs/>
        </w:rPr>
        <w:t xml:space="preserve">J Mol Model</w:t>
      </w:r>
      <w:r>
        <w:t xml:space="preserve"> </w:t>
      </w:r>
      <w:r>
        <w:t xml:space="preserve">2006;12(3):281–289.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Wang J, Wolf RM, Caldwell JW, Kollman PA, Case DA. Development and testing of a general amber force field.</w:t>
      </w:r>
      <w:r>
        <w:t xml:space="preserve"> </w:t>
      </w:r>
      <w:r>
        <w:rPr>
          <w:i/>
          <w:iCs/>
        </w:rPr>
        <w:t xml:space="preserve">J Comput Chem</w:t>
      </w:r>
      <w:r>
        <w:t xml:space="preserve"> </w:t>
      </w:r>
      <w:r>
        <w:t xml:space="preserve">2004;25(9):1157–1174.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Jakalian A, Jack DB, Bayly CI. Fast, efficient generation of high-quality atomic charges. AM1-BCC model: II. Parameterization and validation.</w:t>
      </w:r>
      <w:r>
        <w:t xml:space="preserve"> </w:t>
      </w:r>
      <w:r>
        <w:rPr>
          <w:i/>
          <w:iCs/>
        </w:rPr>
        <w:t xml:space="preserve">J Comput Chem</w:t>
      </w:r>
      <w:r>
        <w:t xml:space="preserve"> </w:t>
      </w:r>
      <w:r>
        <w:t xml:space="preserve">2002;23(16):1623–1641.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Jorgensen WL, Chandrasekhar J, Madura JD, Impey RW, Klein ML. Comparison of simple potential functions for simulating liquid water.</w:t>
      </w:r>
      <w:r>
        <w:t xml:space="preserve"> </w:t>
      </w:r>
      <w:r>
        <w:rPr>
          <w:i/>
          <w:iCs/>
        </w:rPr>
        <w:t xml:space="preserve">J Chem Phys</w:t>
      </w:r>
      <w:r>
        <w:t xml:space="preserve"> </w:t>
      </w:r>
      <w:r>
        <w:t xml:space="preserve">1983;79(2):926–935.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Cieplak P, Cornell WD, Bayly C, Kollman PA. Application of the multimolecule and multiconformational RESP methodology to biopolymers.</w:t>
      </w:r>
      <w:r>
        <w:t xml:space="preserve"> </w:t>
      </w:r>
      <w:r>
        <w:rPr>
          <w:i/>
          <w:iCs/>
        </w:rPr>
        <w:t xml:space="preserve">J Comput Chem</w:t>
      </w:r>
      <w:r>
        <w:t xml:space="preserve"> </w:t>
      </w:r>
      <w:r>
        <w:t xml:space="preserve">1995;16(11):1357–1377.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Onufriev A, Bashford D, Case DA. Exploring protein native states and large-scale conformational changes with a modified generalized Born model.</w:t>
      </w:r>
      <w:r>
        <w:t xml:space="preserve"> </w:t>
      </w:r>
      <w:r>
        <w:rPr>
          <w:i/>
          <w:iCs/>
        </w:rPr>
        <w:t xml:space="preserve">Proteins</w:t>
      </w:r>
      <w:r>
        <w:t xml:space="preserve"> </w:t>
      </w:r>
      <w:r>
        <w:t xml:space="preserve">2004;55(2):383–394.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Eastman P, Swails J, Chodera JD, et al. OpenMM 7: rapid development of high performance algorithms for molecular dynamics.</w:t>
      </w:r>
      <w:r>
        <w:t xml:space="preserve"> </w:t>
      </w:r>
      <w:r>
        <w:rPr>
          <w:i/>
          <w:iCs/>
        </w:rPr>
        <w:t xml:space="preserve">PLoS Comput Biol</w:t>
      </w:r>
      <w:r>
        <w:t xml:space="preserve"> </w:t>
      </w:r>
      <w:r>
        <w:t xml:space="preserve">2017;13(7):e1005659.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Miller BR III, McGee TD, Swails JM, Homeyer N, Gohlke H, Roitberg AE. MMPBSA.py: an efficient program for end-state free energy calculations.</w:t>
      </w:r>
      <w:r>
        <w:t xml:space="preserve"> </w:t>
      </w:r>
      <w:r>
        <w:rPr>
          <w:i/>
          <w:iCs/>
        </w:rPr>
        <w:t xml:space="preserve">J Chem Theory Comput</w:t>
      </w:r>
      <w:r>
        <w:t xml:space="preserve"> </w:t>
      </w:r>
      <w:r>
        <w:t xml:space="preserve">2012;8(9):3314–3321.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Genheden S, Ryde U. The MM/PBSA and MM/GBSA methods to estimate ligand-binding affinities.</w:t>
      </w:r>
      <w:r>
        <w:t xml:space="preserve"> </w:t>
      </w:r>
      <w:r>
        <w:rPr>
          <w:i/>
          <w:iCs/>
        </w:rPr>
        <w:t xml:space="preserve">Expert Opin Drug Discov</w:t>
      </w:r>
      <w:r>
        <w:t xml:space="preserve"> </w:t>
      </w:r>
      <w:r>
        <w:t xml:space="preserve">2015;10(5):449–461.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Zhao H, Huang J, Weng G, Jiang D, Hu R, Kang Y, Hou T. Improving the predictive performance of binding affinities and poses for protein–cyclic peptide complexes through fine-tuned MM/PBSA(GBSA)-based methods.</w:t>
      </w:r>
      <w:r>
        <w:t xml:space="preserve"> </w:t>
      </w:r>
      <w:r>
        <w:rPr>
          <w:i/>
          <w:iCs/>
        </w:rPr>
        <w:t xml:space="preserve">Brief Bioinform</w:t>
      </w:r>
      <w:r>
        <w:t xml:space="preserve"> </w:t>
      </w:r>
      <w:r>
        <w:t xml:space="preserve">2025;26(6):bbaf632. doi:10.1093/bib/bbaf632. PMID 41319044.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Genheden S, Ryde U. The MM/PBSA and MM/GBSA methods to estimate ligand-binding affinities.</w:t>
      </w:r>
      <w:r>
        <w:t xml:space="preserve"> </w:t>
      </w:r>
      <w:r>
        <w:rPr>
          <w:i/>
          <w:iCs/>
        </w:rPr>
        <w:t xml:space="preserve">Expert Opin Drug Discov</w:t>
      </w:r>
      <w:r>
        <w:t xml:space="preserve"> </w:t>
      </w:r>
      <w:r>
        <w:t xml:space="preserve">2015;10(5):449–461.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Moura ECCM, Baeta T, Romanelli A, et al. Thanatin impairs lipopolysaccharide transport complex assembly by targeting LptC–LptA interaction and decreasing LptA stability.</w:t>
      </w:r>
      <w:r>
        <w:t xml:space="preserve"> </w:t>
      </w:r>
      <w:r>
        <w:rPr>
          <w:i/>
          <w:iCs/>
        </w:rPr>
        <w:t xml:space="preserve">Front Microbiol</w:t>
      </w:r>
      <w:r>
        <w:t xml:space="preserve"> </w:t>
      </w:r>
      <w:r>
        <w:t xml:space="preserve">2020;11:909. doi:10.3389/fmicb.2020.00909. PMID 32477309.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Oi KK, Moehle K, Schuster M, Zerbe O. Early molecular insights into thanatin analogues binding to</w:t>
      </w:r>
      <w:r>
        <w:t xml:space="preserve"> </w:t>
      </w:r>
      <w:r>
        <w:rPr>
          <w:i/>
          <w:iCs/>
        </w:rPr>
        <w:t xml:space="preserve">A. baumannii</w:t>
      </w:r>
      <w:r>
        <w:t xml:space="preserve"> </w:t>
      </w:r>
      <w:r>
        <w:t xml:space="preserve">LptA.</w:t>
      </w:r>
      <w:r>
        <w:t xml:space="preserve"> </w:t>
      </w:r>
      <w:r>
        <w:rPr>
          <w:i/>
          <w:iCs/>
        </w:rPr>
        <w:t xml:space="preserve">Molecules</w:t>
      </w:r>
      <w:r>
        <w:t xml:space="preserve"> </w:t>
      </w:r>
      <w:r>
        <w:t xml:space="preserve">2023;28(11):4335. doi:10.3390/molecules28114335. PMID 37298811.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Sinha S, Dhanabal VB, Sperandeo P, Polissi A, Bhattacharjya S. Linking dual mode of action of host defense antimicrobial peptide thanatin: structures, lipopolysaccharide and LptA binding of designed analogs.</w:t>
      </w:r>
      <w:r>
        <w:t xml:space="preserve"> </w:t>
      </w:r>
      <w:r>
        <w:rPr>
          <w:i/>
          <w:iCs/>
        </w:rPr>
        <w:t xml:space="preserve">Biochim Biophys Acta Biomembr</w:t>
      </w:r>
      <w:r>
        <w:t xml:space="preserve"> </w:t>
      </w:r>
      <w:r>
        <w:t xml:space="preserve">2021;1864(3):183839. doi:10.1016/j.bbamem.2021.183839. PMID 34915021.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Jacobsson M, Karlén A. Ligand bias of scoring functions in structure-based virtual screening.</w:t>
      </w:r>
      <w:r>
        <w:t xml:space="preserve"> </w:t>
      </w:r>
      <w:r>
        <w:rPr>
          <w:i/>
          <w:iCs/>
        </w:rPr>
        <w:t xml:space="preserve">J Chem Inf Model</w:t>
      </w:r>
      <w:r>
        <w:t xml:space="preserve"> </w:t>
      </w:r>
      <w:r>
        <w:t xml:space="preserve">2006;46(3):1334–1343. doi:10.1021/ci050407t. PMID 16711752.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Kalinowsky L, Weber J, Balasupramaniam S, Baumann K, Proschak E. A diverse benchmark based on 3D matched molecular pairs for validating scoring functions.</w:t>
      </w:r>
      <w:r>
        <w:t xml:space="preserve"> </w:t>
      </w:r>
      <w:r>
        <w:rPr>
          <w:i/>
          <w:iCs/>
        </w:rPr>
        <w:t xml:space="preserve">ACS Omega</w:t>
      </w:r>
      <w:r>
        <w:t xml:space="preserve"> </w:t>
      </w:r>
      <w:r>
        <w:t xml:space="preserve">2018;3(5):5704–5714. doi:10.1021/acsomega.7b01194. PMID 31458770.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Awoonor-Williams E, Beautrait A, Petridis L, Hu X. Derisking affinity optimization for macrocycles and cyclic peptides: high-precision free energy simulations across five diverse targets.</w:t>
      </w:r>
      <w:r>
        <w:t xml:space="preserve"> </w:t>
      </w:r>
      <w:r>
        <w:rPr>
          <w:i/>
          <w:iCs/>
        </w:rPr>
        <w:t xml:space="preserve">J Chem Inf Model</w:t>
      </w:r>
      <w:r>
        <w:t xml:space="preserve"> </w:t>
      </w:r>
      <w:r>
        <w:t xml:space="preserve">2026;66(14):8545–8560. doi:10.1021/acs.jcim.6c01122. PMID 42396675.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Zhao H, Huang J, Weng G, Jiang D, Hu R, Kang Y, Hou T. Improving the predictive performance of binding affinities and poses for protein–cyclic peptide complexes through fine-tuned MM/PBSA(GBSA)-based methods.</w:t>
      </w:r>
      <w:r>
        <w:t xml:space="preserve"> </w:t>
      </w:r>
      <w:r>
        <w:rPr>
          <w:i/>
          <w:iCs/>
        </w:rPr>
        <w:t xml:space="preserve">Brief Bioinform</w:t>
      </w:r>
      <w:r>
        <w:t xml:space="preserve"> </w:t>
      </w:r>
      <w:r>
        <w:t xml:space="preserve">2025;26(6):bbaf632. doi:10.1093/bib/bbaf632. PMID 41319044.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76" Target="media/rId7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2026-10-14T18:25:15Z</dcterms:created>
  <dcterms:modified xsi:type="dcterms:W3CDTF">2026-10-14T18:25:15Z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