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6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6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i/>
          <w:iCs/>
        </w:rPr>
        <w:t xml:space="preserve">Alternative title, results-forward:</w:t>
      </w:r>
      <w:r>
        <w:rPr>
          <w:i/>
          <w:iCs/>
        </w:rPr>
        <w:t xml:space="preserve"> </w:t>
      </w:r>
      <w:r>
        <w:rPr>
          <w:i/>
          <w:iCs/>
        </w:rPr>
        <w:t xml:space="preserve">“Size-matched benchmarking reveals genuine but modest</w:t>
      </w:r>
      <w:r>
        <w:rPr>
          <w:i/>
          <w:iCs/>
        </w:rPr>
        <w:t xml:space="preserve"> </w:t>
      </w:r>
      <w:r>
        <w:rPr>
          <w:i/>
          <w:iCs/>
        </w:rPr>
        <w:t xml:space="preserve">ranking skill in end-point MM/PBSA for macrocyclic peptides.”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methods-forward title above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paper’s purpose; either works.</w:t>
      </w:r>
    </w:p>
    <w:p>
      <w:pPr>
        <w:pStyle w:val="BodyText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22" w:name="introduction"/>
    <w:p>
      <w:pPr>
        <w:pStyle w:val="Heading2"/>
      </w:pPr>
      <w:r>
        <w:t xml:space="preserve">1. Introduction</w:t>
      </w:r>
    </w:p>
    <w:bookmarkStart w:id="11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1"/>
    <w:bookmarkStart w:id="15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</w:t>
      </w:r>
      <w:r>
        <w:rPr>
          <w:rStyle w:val="FootnoteReference"/>
        </w:rPr>
        <w:footnoteReference w:id="12"/>
      </w:r>
      <w:r>
        <w:t xml:space="preserve"> </w:t>
      </w:r>
      <w:r>
        <w:t xml:space="preserve">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</w:t>
      </w:r>
      <w:r>
        <w:rPr>
          <w:rStyle w:val="FootnoteReference"/>
        </w:rPr>
        <w:footnoteReference w:id="13"/>
      </w:r>
      <w:r>
        <w:t xml:space="preserve"> </w:t>
      </w:r>
      <w:r>
        <w:t xml:space="preserve">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5"/>
    <w:bookmarkStart w:id="19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The standard responses are normalisation by molecular</w:t>
      </w:r>
      <w:r>
        <w:t xml:space="preserve"> </w:t>
      </w:r>
      <w:r>
        <w:t xml:space="preserve">weight or heavy-atom count, ligand efficiency metrics, or matched-pair benchmark design.</w:t>
      </w:r>
      <w:r>
        <w:rPr>
          <w:rStyle w:val="FootnoteReference"/>
        </w:rPr>
        <w:footnoteReference w:id="17"/>
      </w:r>
      <w:r>
        <w:t xml:space="preserve">,</w:t>
      </w:r>
      <w:r>
        <w:rPr>
          <w:rStyle w:val="FootnoteReference"/>
        </w:rPr>
        <w:footnoteReference w:id="18"/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9"/>
    <w:bookmarkStart w:id="21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4" w:name="methods"/>
    <w:p>
      <w:pPr>
        <w:pStyle w:val="Heading2"/>
      </w:pPr>
      <w:r>
        <w:t xml:space="preserve">2. Methods</w:t>
      </w:r>
    </w:p>
    <w:bookmarkStart w:id="24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24"/>
    <w:bookmarkStart w:id="25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25"/>
    <w:bookmarkStart w:id="34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</w:t>
            </w:r>
            <w:r>
              <w:rPr>
                <w:rStyle w:val="FootnoteReference"/>
              </w:rPr>
              <w:footnoteReference w:id="26"/>
            </w:r>
            <w:r>
              <w:t xml:space="preserve"> </w:t>
            </w:r>
            <w:r>
              <w:t xml:space="preserve">ff19SB</w:t>
            </w:r>
            <w:r>
              <w:rPr>
                <w:rStyle w:val="FootnoteReference"/>
              </w:rPr>
              <w:footnoteReference w:id="27"/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rPr>
                <w:rStyle w:val="FootnoteReference"/>
              </w:rPr>
              <w:footnoteReference w:id="28"/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</w:t>
            </w:r>
            <w:r>
              <w:rPr>
                <w:rStyle w:val="FootnoteReference"/>
              </w:rPr>
              <w:footnoteReference w:id="29"/>
            </w:r>
            <w:r>
              <w:t xml:space="preserve"> </w:t>
            </w:r>
            <w:r>
              <w:t xml:space="preserve">with AM1-BCC charges</w:t>
            </w:r>
            <w:r>
              <w:rPr>
                <w:rStyle w:val="FootnoteReference"/>
              </w:rPr>
              <w:footnoteReference w:id="30"/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</w:t>
            </w:r>
            <w:r>
              <w:rPr>
                <w:rStyle w:val="FootnoteReference"/>
              </w:rPr>
              <w:footnoteReference w:id="31"/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33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33"/>
    <w:bookmarkEnd w:id="34"/>
    <w:bookmarkStart w:id="37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37"/>
    <w:bookmarkStart w:id="40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End w:id="40"/>
    <w:bookmarkStart w:id="41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41"/>
    <w:bookmarkStart w:id="42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42"/>
    <w:bookmarkStart w:id="43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results"/>
    <w:p>
      <w:pPr>
        <w:pStyle w:val="Heading2"/>
      </w:pPr>
      <w:r>
        <w:t xml:space="preserve">3. Results</w:t>
      </w:r>
    </w:p>
    <w:bookmarkStart w:id="46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</w:t>
      </w:r>
      <w:r>
        <w:rPr>
          <w:rStyle w:val="FootnoteReference"/>
        </w:rPr>
        <w:footnoteReference w:id="45"/>
      </w:r>
      <w:r>
        <w:t xml:space="preserve"> </w:t>
      </w:r>
      <w:r>
        <w:t xml:space="preserve">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46"/>
    <w:bookmarkStart w:id="47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47"/>
    <w:bookmarkStart w:id="48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48"/>
    <w:bookmarkStart w:id="49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rPr>
          <w:b/>
          <w:bCs/>
        </w:rPr>
        <w:t xml:space="preserve">Table 5.</w:t>
      </w:r>
      <w:r>
        <w:t xml:space="preserve"> </w:t>
      </w:r>
      <w:r>
        <w:t xml:space="preserve">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identical size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within 3 atoms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macro, MM/PBSA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macro, FEP+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</w:t>
      </w:r>
      <w:r>
        <w:t xml:space="preserve"> </w:t>
      </w:r>
      <w:r>
        <w:rPr>
          <w:b/>
          <w:bCs/>
        </w:rPr>
        <w:t xml:space="preserve">the skill is established at near-matched size and suggestive</w:t>
      </w:r>
      <w:r>
        <w:rPr>
          <w:b/>
          <w:bCs/>
        </w:rPr>
        <w:t xml:space="preserve"> </w:t>
      </w:r>
      <w:r>
        <w:rPr>
          <w:b/>
          <w:bCs/>
        </w:rPr>
        <w:t xml:space="preserve">but not conclusive at exactly matched size</w:t>
      </w:r>
      <w:r>
        <w:t xml:space="preserve">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other cases:</w:t>
      </w:r>
      <w:r>
        <w:t xml:space="preserve"> </w:t>
      </w:r>
      <w:r>
        <w:t xml:space="preserve">JAK2 is the fourth most polar of the five (23.8%) yet has</w:t>
      </w:r>
      <w:r>
        <w:t xml:space="preserve"> </w:t>
      </w:r>
      <w:r>
        <w:t xml:space="preserve">the second-highest point estimate at exact matching, while KRAS is the second most polar</w:t>
      </w:r>
      <w:r>
        <w:t xml:space="preserve"> </w:t>
      </w:r>
      <w:r>
        <w:t xml:space="preserve">(30.5%) and sits at chance in both bands.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49"/>
    <w:bookmarkStart w:id="50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50"/>
    <w:bookmarkStart w:id="51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End w:id="51"/>
    <w:bookmarkStart w:id="53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53"/>
    <w:bookmarkStart w:id="54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483e724cb112a4ca31541d544b9819c4ee86066"/>
    <w:p>
      <w:pPr>
        <w:pStyle w:val="Heading2"/>
      </w:pPr>
      <w:r>
        <w:t xml:space="preserve">4.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</w:t>
      </w:r>
      <w:r>
        <w:rPr>
          <w:rStyle w:val="FootnoteReference"/>
        </w:rPr>
        <w:footnoteReference w:id="57"/>
      </w:r>
      <w:r>
        <w:t xml:space="preserve">,</w:t>
      </w:r>
      <w:r>
        <w:rPr>
          <w:rStyle w:val="FootnoteReference"/>
        </w:rPr>
        <w:footnoteReference w:id="58"/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59"/>
    <w:bookmarkStart w:id="60" w:name="Xb4bcd12c116786d3998573ad77ed3e032b95f46"/>
    <w:p>
      <w:pPr>
        <w:pStyle w:val="Heading2"/>
      </w:pPr>
      <w:r>
        <w:t xml:space="preserve">5.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60"/>
    <w:bookmarkStart w:id="64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and matched-pair benchmarks are an established response</w:t>
      </w:r>
      <w:r>
        <w:t xml:space="preserve"> </w:t>
      </w:r>
      <w:r>
        <w:t xml:space="preserve">in small-molecule work.</w:t>
      </w:r>
      <w:r>
        <w:rPr>
          <w:rStyle w:val="FootnoteReference"/>
        </w:rPr>
        <w:footnoteReference w:id="62"/>
      </w:r>
      <w:r>
        <w:t xml:space="preserve"> </w:t>
      </w:r>
      <w:r>
        <w:t xml:space="preserve">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63" w:name="status-and-what-follows"/>
    <w:p>
      <w:pPr>
        <w:pStyle w:val="Heading3"/>
      </w:pPr>
      <w:r>
        <w:t xml:space="preserve">6.1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interface polarity is the obvious candidate and it fails</w:t>
      </w:r>
      <w:r>
        <w:t xml:space="preserve"> </w:t>
      </w:r>
      <w:r>
        <w:t xml:space="preserve">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p>
      <w:r>
        <w:pict>
          <v:rect style="width:0;height:1.5pt" o:hralign="center" o:hrstd="t" o:hr="t"/>
        </w:pict>
      </w:r>
    </w:p>
    <w:bookmarkEnd w:id="65"/>
    <w:bookmarkStart w:id="6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bookmarkEnd w:id="66"/>
    <w:bookmarkStart w:id="67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financial interests.</w:t>
      </w:r>
    </w:p>
    <w:bookmarkEnd w:id="67"/>
    <w:bookmarkStart w:id="6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8"/>
    <w:bookmarkStart w:id="7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</w:t>
      </w:r>
      <w:r>
        <w:rPr>
          <w:rStyle w:val="FootnoteReference"/>
        </w:rPr>
        <w:footnoteReference w:id="69"/>
      </w:r>
      <w:r>
        <w:t xml:space="preserve"> </w:t>
      </w:r>
      <w:r>
        <w:t xml:space="preserve">and the reference protocol and</w:t>
      </w:r>
      <w:r>
        <w:t xml:space="preserve"> </w:t>
      </w:r>
      <w:r>
        <w:t xml:space="preserve">dataset tables from Zhao et al.</w:t>
      </w:r>
      <w:r>
        <w:rPr>
          <w:rStyle w:val="FootnoteReference"/>
        </w:rPr>
        <w:footnoteReference w:id="70"/>
      </w:r>
      <w:r>
        <w:t xml:space="preserve"> </w:t>
      </w:r>
      <w:r>
        <w:t xml:space="preserve">All MM/PBSA scores, statistics, figures and code were</w:t>
      </w:r>
      <w:r>
        <w:t xml:space="preserve"> </w:t>
      </w:r>
      <w:r>
        <w:t xml:space="preserve">computed in this work.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72"/>
    <w:bookmarkStart w:id="85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Pipeline schematic and validation logic.</w:t>
      </w:r>
    </w:p>
    <w:p>
      <w:pPr>
        <w:pStyle w:val="CaptionedFigure"/>
      </w:pPr>
      <w:r>
        <w:drawing>
          <wp:inline>
            <wp:extent cx="5334000" cy="2621825"/>
            <wp:effectExtent b="0" l="0" r="0" t="0"/>
            <wp:docPr descr="Pipeline and validation logic" title="" id="74" name="Picture"/>
            <a:graphic>
              <a:graphicData uri="http://schemas.openxmlformats.org/drawingml/2006/picture">
                <pic:pic>
                  <pic:nvPicPr>
                    <pic:cNvPr descr="fig1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and validation logic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</w:p>
    <w:p>
      <w:pPr>
        <w:pStyle w:val="CaptionedFigure"/>
      </w:pPr>
      <w:r>
        <w:drawing>
          <wp:inline>
            <wp:extent cx="5334000" cy="1656772"/>
            <wp:effectExtent b="0" l="0" r="0" t="0"/>
            <wp:docPr descr="The size confound" title="" id="77" name="Picture"/>
            <a:graphic>
              <a:graphicData uri="http://schemas.openxmlformats.org/drawingml/2006/picture">
                <pic:pic>
                  <pic:nvPicPr>
                    <pic:cNvPr descr="fig2_size_confoun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size confound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Per-target parity for raw MM/PBSA, calibrated MM/PBSA and published FEP+ against</w:t>
      </w:r>
      <w:r>
        <w:t xml:space="preserve"> </w:t>
      </w:r>
      <w:r>
        <w:t xml:space="preserve">experiment.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Per-target parity" title="" id="80" name="Picture"/>
            <a:graphic>
              <a:graphicData uri="http://schemas.openxmlformats.org/drawingml/2006/picture">
                <pic:pic>
                  <pic:nvPicPr>
                    <pic:cNvPr descr="zha25_fepplus_parity_5famili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parity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Size-matched pairwise accuracy" title="" id="83" name="Picture"/>
            <a:graphic>
              <a:graphicData uri="http://schemas.openxmlformats.org/drawingml/2006/picture">
                <pic:pic>
                  <pic:nvPicPr>
                    <pic:cNvPr descr="size_matched_pairwise_accurac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Size-matched pairwise accuracy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Vinogradov AA, Yin Y, Suga H.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 Am Chem Soc</w:t>
      </w:r>
      <w:r>
        <w:t xml:space="preserve"> </w:t>
      </w:r>
      <w:r>
        <w:t xml:space="preserve">2019;141(10):4167–4181. doi:10.1021/jacs.8b13178. PMID 30768253.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Maier JA, Martinez C, Kasavajhala K, Wickstrom L, Hauser KE, Simmerling C.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2015;11(8):3696–3713.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Tian C, Kasavajhala K, Belfon KAA, et al. 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2020;16(1):528–552.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Homeyer N, Horn AHC, Lanig H, Sticht H.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 Mol Model</w:t>
      </w:r>
      <w:r>
        <w:t xml:space="preserve"> </w:t>
      </w:r>
      <w:r>
        <w:t xml:space="preserve">2006;12(3):281–289.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Wang J, Wolf RM, Caldwell JW, Kollman PA, Case DA. Development and testing of a general amber force field.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2004;25(9):1157–1174.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Jakalian A, Jack DB, Bayly CI.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2002;23(16):1623–1641.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Jorgensen WL, Chandrasekhar J, Madura JD, Impey RW, Klein ML. Comparison of simple potential functions for simulating liquid water.</w:t>
      </w:r>
      <w:r>
        <w:t xml:space="preserve"> </w:t>
      </w:r>
      <w:r>
        <w:rPr>
          <w:i/>
          <w:iCs/>
        </w:rPr>
        <w:t xml:space="preserve">J Chem Phys</w:t>
      </w:r>
      <w:r>
        <w:t xml:space="preserve"> </w:t>
      </w:r>
      <w:r>
        <w:t xml:space="preserve">1983;79(2):926–935.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Cieplak P, Cornell WD, Bayly C, Kollman PA.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1995;16(11):1357–1377.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Onufriev A, Bashford D, Case DA.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2004;55(2):383–394.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Eastman P, Swails J, Chodera JD, et al. 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2017;13(7):e1005659.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Miller BR III, McGee TD, Swails JM, Homeyer N, Gohlke H, Roitberg AE. MMPBSA.py: an efficient program for end-state free energy calculations.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2012;8(9):3314–3321.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Moura ECCM, Baeta T, Romanelli A, et al. 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 Microbiol</w:t>
      </w:r>
      <w:r>
        <w:t xml:space="preserve"> </w:t>
      </w:r>
      <w:r>
        <w:t xml:space="preserve">2020;11:909. doi:10.3389/fmicb.2020.00909. PMID 32477309.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Oi KK, Moehle K, Schuster M, Zerbe O. Early molecular insights into thanatin analogues binding to</w:t>
      </w:r>
      <w:r>
        <w:t xml:space="preserve"> </w:t>
      </w:r>
      <w:r>
        <w:rPr>
          <w:i/>
          <w:iCs/>
        </w:rPr>
        <w:t xml:space="preserve">A. baumannii</w:t>
      </w:r>
      <w:r>
        <w:t xml:space="preserve"> </w:t>
      </w:r>
      <w:r>
        <w:t xml:space="preserve">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 </w:t>
      </w:r>
      <w:r>
        <w:t xml:space="preserve">2023;28(11):4335. doi:10.3390/molecules28114335. PMID 37298811.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Sinha S, Dhanabal VB, Sperandeo P, Polissi A, Bhattacharjya S.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 Biophys Acta Biomembr</w:t>
      </w:r>
      <w:r>
        <w:t xml:space="preserve"> </w:t>
      </w:r>
      <w:r>
        <w:t xml:space="preserve">2021;1864(3):183839. doi:10.1016/j.bbamem.2021.183839. PMID 34915021.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2026-10-14T18:42:41Z</dcterms:created>
  <dcterms:modified xsi:type="dcterms:W3CDTF">2026-10-14T18:42:41Z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