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7AA219" w14:textId="49B35787" w:rsidR="00392D49" w:rsidRPr="00160E3E" w:rsidRDefault="00000000" w:rsidP="00160E3E">
      <w:pPr>
        <w:spacing w:after="60"/>
        <w:jc w:val="center"/>
        <w:rPr>
          <w:color w:val="000000" w:themeColor="text1"/>
          <w:sz w:val="22"/>
          <w:szCs w:val="22"/>
        </w:rPr>
      </w:pPr>
      <w:r w:rsidRPr="00160E3E">
        <w:rPr>
          <w:rFonts w:ascii="Calibri" w:eastAsia="Calibri" w:hAnsi="Calibri" w:cs="Calibri"/>
          <w:b/>
          <w:bCs/>
          <w:color w:val="000000" w:themeColor="text1"/>
          <w:sz w:val="36"/>
          <w:szCs w:val="36"/>
        </w:rPr>
        <w:t>Clinical Decision Making &amp; Pattern Recognition in Health Care</w:t>
      </w:r>
    </w:p>
    <w:p w14:paraId="5DA96761" w14:textId="0EFDC808" w:rsidR="00392D49" w:rsidRPr="00160E3E" w:rsidRDefault="00000000" w:rsidP="00160E3E">
      <w:pPr>
        <w:spacing w:after="60"/>
        <w:jc w:val="center"/>
        <w:rPr>
          <w:rFonts w:ascii="Calibri" w:eastAsia="Calibri" w:hAnsi="Calibri" w:cs="Calibri"/>
          <w:b/>
          <w:bCs/>
          <w:color w:val="000000" w:themeColor="text1"/>
          <w:sz w:val="36"/>
          <w:szCs w:val="36"/>
        </w:rPr>
      </w:pPr>
      <w:proofErr w:type="spellStart"/>
      <w:proofErr w:type="gramStart"/>
      <w:r w:rsidRPr="00160E3E">
        <w:rPr>
          <w:rFonts w:ascii="Calibri" w:eastAsia="Calibri" w:hAnsi="Calibri" w:cs="Calibri"/>
          <w:b/>
          <w:bCs/>
          <w:color w:val="000000" w:themeColor="text1"/>
          <w:sz w:val="36"/>
          <w:szCs w:val="36"/>
        </w:rPr>
        <w:t>CareTrace</w:t>
      </w:r>
      <w:proofErr w:type="spellEnd"/>
      <w:r w:rsidRPr="00160E3E">
        <w:rPr>
          <w:rFonts w:ascii="Calibri" w:eastAsia="Calibri" w:hAnsi="Calibri" w:cs="Calibri"/>
          <w:b/>
          <w:bCs/>
          <w:color w:val="000000" w:themeColor="text1"/>
          <w:sz w:val="36"/>
          <w:szCs w:val="36"/>
        </w:rPr>
        <w:t xml:space="preserve"> </w:t>
      </w:r>
      <w:r w:rsidR="00160E3E" w:rsidRPr="00160E3E">
        <w:rPr>
          <w:rFonts w:ascii="Calibri" w:eastAsia="Calibri" w:hAnsi="Calibri" w:cs="Calibri"/>
          <w:b/>
          <w:bCs/>
          <w:color w:val="000000" w:themeColor="text1"/>
          <w:sz w:val="36"/>
          <w:szCs w:val="36"/>
        </w:rPr>
        <w:t>:</w:t>
      </w:r>
      <w:proofErr w:type="gramEnd"/>
      <w:r w:rsidRPr="00160E3E">
        <w:rPr>
          <w:rFonts w:ascii="Calibri" w:eastAsia="Calibri" w:hAnsi="Calibri" w:cs="Calibri"/>
          <w:b/>
          <w:bCs/>
          <w:color w:val="000000" w:themeColor="text1"/>
          <w:sz w:val="36"/>
          <w:szCs w:val="36"/>
        </w:rPr>
        <w:t xml:space="preserve"> A Claims-Based Diagnostic Odyssey Detection Prototype</w:t>
      </w:r>
    </w:p>
    <w:p w14:paraId="49D956B9" w14:textId="25091B20" w:rsidR="00160E3E" w:rsidRDefault="00000000" w:rsidP="00160E3E">
      <w:pPr>
        <w:spacing w:after="200"/>
        <w:jc w:val="center"/>
        <w:rPr>
          <w:rFonts w:ascii="Calibri" w:eastAsia="Calibri" w:hAnsi="Calibri" w:cs="Calibri"/>
          <w:i/>
          <w:iCs/>
          <w:color w:val="000000" w:themeColor="text1"/>
          <w:sz w:val="19"/>
          <w:szCs w:val="19"/>
        </w:rPr>
      </w:pPr>
      <w:r w:rsidRPr="00160E3E">
        <w:rPr>
          <w:rFonts w:ascii="Calibri" w:eastAsia="Calibri" w:hAnsi="Calibri" w:cs="Calibri"/>
          <w:i/>
          <w:iCs/>
          <w:color w:val="000000" w:themeColor="text1"/>
          <w:sz w:val="19"/>
          <w:szCs w:val="19"/>
        </w:rPr>
        <w:t xml:space="preserve">Cotiviti Intern </w:t>
      </w:r>
      <w:proofErr w:type="gramStart"/>
      <w:r w:rsidRPr="00160E3E">
        <w:rPr>
          <w:rFonts w:ascii="Calibri" w:eastAsia="Calibri" w:hAnsi="Calibri" w:cs="Calibri"/>
          <w:i/>
          <w:iCs/>
          <w:color w:val="000000" w:themeColor="text1"/>
          <w:sz w:val="19"/>
          <w:szCs w:val="19"/>
        </w:rPr>
        <w:t>Assessment  |</w:t>
      </w:r>
      <w:proofErr w:type="gramEnd"/>
      <w:r w:rsidRPr="00160E3E">
        <w:rPr>
          <w:rFonts w:ascii="Calibri" w:eastAsia="Calibri" w:hAnsi="Calibri" w:cs="Calibri"/>
          <w:i/>
          <w:iCs/>
          <w:color w:val="000000" w:themeColor="text1"/>
          <w:sz w:val="19"/>
          <w:szCs w:val="19"/>
        </w:rPr>
        <w:t xml:space="preserve">  </w:t>
      </w:r>
      <w:proofErr w:type="gramStart"/>
      <w:r w:rsidRPr="00160E3E">
        <w:rPr>
          <w:rFonts w:ascii="Calibri" w:eastAsia="Calibri" w:hAnsi="Calibri" w:cs="Calibri"/>
          <w:i/>
          <w:iCs/>
          <w:color w:val="000000" w:themeColor="text1"/>
          <w:sz w:val="19"/>
          <w:szCs w:val="19"/>
        </w:rPr>
        <w:t>Pranali  |</w:t>
      </w:r>
      <w:proofErr w:type="gramEnd"/>
      <w:r w:rsidRPr="00160E3E">
        <w:rPr>
          <w:rFonts w:ascii="Calibri" w:eastAsia="Calibri" w:hAnsi="Calibri" w:cs="Calibri"/>
          <w:i/>
          <w:iCs/>
          <w:color w:val="000000" w:themeColor="text1"/>
          <w:sz w:val="19"/>
          <w:szCs w:val="19"/>
        </w:rPr>
        <w:t xml:space="preserve">  M.S. Business Analytics &amp; AI, University of Texas at Dallas</w:t>
      </w:r>
    </w:p>
    <w:p w14:paraId="79EAC8BC" w14:textId="77777777" w:rsidR="00160E3E" w:rsidRPr="00160E3E" w:rsidRDefault="00160E3E" w:rsidP="00160E3E">
      <w:pPr>
        <w:spacing w:after="200"/>
        <w:jc w:val="center"/>
        <w:rPr>
          <w:color w:val="000000" w:themeColor="text1"/>
        </w:rPr>
      </w:pPr>
    </w:p>
    <w:p w14:paraId="7D705101" w14:textId="083DE726" w:rsidR="00392D49" w:rsidRPr="00160E3E" w:rsidRDefault="00000000" w:rsidP="00160E3E">
      <w:pPr>
        <w:pStyle w:val="Heading2"/>
        <w:spacing w:before="200" w:after="100"/>
        <w:jc w:val="both"/>
        <w:rPr>
          <w:b/>
          <w:bCs/>
          <w:color w:val="000000" w:themeColor="text1"/>
        </w:rPr>
      </w:pPr>
      <w:r w:rsidRPr="00160E3E">
        <w:rPr>
          <w:rFonts w:ascii="Calibri" w:eastAsia="Calibri" w:hAnsi="Calibri" w:cs="Calibri"/>
          <w:b/>
          <w:bCs/>
          <w:color w:val="000000" w:themeColor="text1"/>
        </w:rPr>
        <w:t>Executive Summary</w:t>
      </w:r>
    </w:p>
    <w:p w14:paraId="43AC780A" w14:textId="5AB4AD44" w:rsidR="00160E3E" w:rsidRPr="00160E3E" w:rsidRDefault="00000000" w:rsidP="00160E3E">
      <w:pPr>
        <w:spacing w:after="120"/>
        <w:jc w:val="both"/>
        <w:rPr>
          <w:rFonts w:ascii="Calibri" w:eastAsia="Calibri" w:hAnsi="Calibri" w:cs="Calibri"/>
          <w:color w:val="000000" w:themeColor="text1"/>
          <w:sz w:val="21"/>
          <w:szCs w:val="21"/>
        </w:rPr>
      </w:pPr>
      <w:r w:rsidRPr="00160E3E">
        <w:rPr>
          <w:rFonts w:ascii="Calibri" w:eastAsia="Calibri" w:hAnsi="Calibri" w:cs="Calibri"/>
          <w:color w:val="000000" w:themeColor="text1"/>
          <w:sz w:val="21"/>
          <w:szCs w:val="21"/>
        </w:rPr>
        <w:t xml:space="preserve">Individual claims, referrals, and diagnostic tests routinely pass utilization review as clinically appropriate. What conventional, per-encounter analytics cannot see is a patient trapped in a </w:t>
      </w:r>
      <w:r w:rsidRPr="00160E3E">
        <w:rPr>
          <w:rFonts w:ascii="Calibri" w:eastAsia="Calibri" w:hAnsi="Calibri" w:cs="Calibri"/>
          <w:i/>
          <w:iCs/>
          <w:color w:val="000000" w:themeColor="text1"/>
          <w:sz w:val="21"/>
          <w:szCs w:val="21"/>
        </w:rPr>
        <w:t>diagnostic odyssey</w:t>
      </w:r>
      <w:r w:rsidRPr="00160E3E">
        <w:rPr>
          <w:rFonts w:ascii="Calibri" w:eastAsia="Calibri" w:hAnsi="Calibri" w:cs="Calibri"/>
          <w:color w:val="000000" w:themeColor="text1"/>
          <w:sz w:val="21"/>
          <w:szCs w:val="21"/>
        </w:rPr>
        <w:t xml:space="preserve">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bouncing across specialists, accumulating diagnostic and imaging claims, and never converging on a stable diagnosis or a therapeutic claim. This report proposes and demonstrates </w:t>
      </w:r>
      <w:proofErr w:type="spellStart"/>
      <w:r w:rsidRPr="00160E3E">
        <w:rPr>
          <w:rFonts w:ascii="Calibri" w:eastAsia="Calibri" w:hAnsi="Calibri" w:cs="Calibri"/>
          <w:b/>
          <w:bCs/>
          <w:color w:val="000000" w:themeColor="text1"/>
          <w:sz w:val="21"/>
          <w:szCs w:val="21"/>
        </w:rPr>
        <w:t>CareTrace</w:t>
      </w:r>
      <w:proofErr w:type="spellEnd"/>
      <w:r w:rsidRPr="00160E3E">
        <w:rPr>
          <w:rFonts w:ascii="Calibri" w:eastAsia="Calibri" w:hAnsi="Calibri" w:cs="Calibri"/>
          <w:color w:val="000000" w:themeColor="text1"/>
          <w:sz w:val="21"/>
          <w:szCs w:val="21"/>
        </w:rPr>
        <w:t xml:space="preserve">, a lightweight, explainable prototype that detects fragmented, non-converging care episodes directly from claims sequences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no clinical notes, imaging, or genomic data required. The system trains an XGBoost classifier against an independently simulated chart-audit outcome, explains every flag with SHAP, clusters at-risk episodes into named fragmentation typologies, and cross-checks flags against a separate provider-level coding-drift signal. On a held-out test set the classifier reaches ROC-AUC 0.899 (PR-AUC 0.502). This is a research/hackathon-stage decision-support prototype, not a diagnostic device.</w:t>
      </w:r>
    </w:p>
    <w:p w14:paraId="3BA6868C" w14:textId="77777777" w:rsidR="00392D49" w:rsidRPr="00160E3E" w:rsidRDefault="00000000" w:rsidP="00160E3E">
      <w:pPr>
        <w:pStyle w:val="Heading2"/>
        <w:spacing w:before="200" w:after="100"/>
        <w:jc w:val="both"/>
        <w:rPr>
          <w:b/>
          <w:bCs/>
          <w:color w:val="000000" w:themeColor="text1"/>
        </w:rPr>
      </w:pPr>
      <w:r w:rsidRPr="00160E3E">
        <w:rPr>
          <w:rFonts w:ascii="Calibri" w:eastAsia="Calibri" w:hAnsi="Calibri" w:cs="Calibri"/>
          <w:b/>
          <w:bCs/>
          <w:color w:val="000000" w:themeColor="text1"/>
        </w:rPr>
        <w:t>1. Clinical Decision Making &amp; Pattern Recognition</w:t>
      </w:r>
    </w:p>
    <w:p w14:paraId="650BC12F" w14:textId="20E05F4C" w:rsidR="00160E3E" w:rsidRPr="00160E3E" w:rsidRDefault="00000000" w:rsidP="00160E3E">
      <w:pPr>
        <w:spacing w:after="120"/>
        <w:jc w:val="both"/>
        <w:rPr>
          <w:rFonts w:ascii="Calibri" w:eastAsia="Calibri" w:hAnsi="Calibri" w:cs="Calibri"/>
          <w:color w:val="000000" w:themeColor="text1"/>
          <w:sz w:val="21"/>
          <w:szCs w:val="21"/>
        </w:rPr>
      </w:pPr>
      <w:r w:rsidRPr="00160E3E">
        <w:rPr>
          <w:rFonts w:ascii="Calibri" w:eastAsia="Calibri" w:hAnsi="Calibri" w:cs="Calibri"/>
          <w:color w:val="000000" w:themeColor="text1"/>
          <w:sz w:val="21"/>
          <w:szCs w:val="21"/>
        </w:rPr>
        <w:t xml:space="preserve">The literature on "diagnostic odysseys" is well established but concentrated in rare-disease genomics and imaging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w:t>
      </w:r>
      <w:proofErr w:type="gramStart"/>
      <w:r w:rsidRPr="00160E3E">
        <w:rPr>
          <w:rFonts w:ascii="Calibri" w:eastAsia="Calibri" w:hAnsi="Calibri" w:cs="Calibri"/>
          <w:color w:val="000000" w:themeColor="text1"/>
          <w:sz w:val="21"/>
          <w:szCs w:val="21"/>
        </w:rPr>
        <w:t>patients</w:t>
      </w:r>
      <w:proofErr w:type="gramEnd"/>
      <w:r w:rsidRPr="00160E3E">
        <w:rPr>
          <w:rFonts w:ascii="Calibri" w:eastAsia="Calibri" w:hAnsi="Calibri" w:cs="Calibri"/>
          <w:color w:val="000000" w:themeColor="text1"/>
          <w:sz w:val="21"/>
          <w:szCs w:val="21"/>
        </w:rPr>
        <w:t xml:space="preserve"> average years and multiple specialist visits before diagnosis (Rare disease diagnostic-odyssey research; see Bibliography). That work uses facial-image and genomic multimodal models unavailable to a payer analytics environment. What is </w:t>
      </w:r>
      <w:r w:rsidRPr="00160E3E">
        <w:rPr>
          <w:rFonts w:ascii="Calibri" w:eastAsia="Calibri" w:hAnsi="Calibri" w:cs="Calibri"/>
          <w:i/>
          <w:iCs/>
          <w:color w:val="000000" w:themeColor="text1"/>
          <w:sz w:val="21"/>
          <w:szCs w:val="21"/>
        </w:rPr>
        <w:t>less commonly explored</w:t>
      </w:r>
      <w:r w:rsidRPr="00160E3E">
        <w:rPr>
          <w:rFonts w:ascii="Calibri" w:eastAsia="Calibri" w:hAnsi="Calibri" w:cs="Calibri"/>
          <w:color w:val="000000" w:themeColor="text1"/>
          <w:sz w:val="21"/>
          <w:szCs w:val="21"/>
        </w:rPr>
        <w:t xml:space="preserve"> is detecting the same fragmentation signature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specialist fan-out, diagnostic-heavy claim mix, referral "ping-pong," stalled diagnosis-code convergence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using only claims data, the input a payer/provider analytics organization </w:t>
      </w:r>
      <w:proofErr w:type="gramStart"/>
      <w:r w:rsidRPr="00160E3E">
        <w:rPr>
          <w:rFonts w:ascii="Calibri" w:eastAsia="Calibri" w:hAnsi="Calibri" w:cs="Calibri"/>
          <w:color w:val="000000" w:themeColor="text1"/>
          <w:sz w:val="21"/>
          <w:szCs w:val="21"/>
        </w:rPr>
        <w:t>actually has</w:t>
      </w:r>
      <w:proofErr w:type="gramEnd"/>
      <w:r w:rsidRPr="00160E3E">
        <w:rPr>
          <w:rFonts w:ascii="Calibri" w:eastAsia="Calibri" w:hAnsi="Calibri" w:cs="Calibri"/>
          <w:color w:val="000000" w:themeColor="text1"/>
          <w:sz w:val="21"/>
          <w:szCs w:val="21"/>
        </w:rPr>
        <w:t xml:space="preserve"> at scale. </w:t>
      </w:r>
      <w:proofErr w:type="spellStart"/>
      <w:r w:rsidRPr="00160E3E">
        <w:rPr>
          <w:rFonts w:ascii="Calibri" w:eastAsia="Calibri" w:hAnsi="Calibri" w:cs="Calibri"/>
          <w:color w:val="000000" w:themeColor="text1"/>
          <w:sz w:val="21"/>
          <w:szCs w:val="21"/>
        </w:rPr>
        <w:t>CareTrace's</w:t>
      </w:r>
      <w:proofErr w:type="spellEnd"/>
      <w:r w:rsidRPr="00160E3E">
        <w:rPr>
          <w:rFonts w:ascii="Calibri" w:eastAsia="Calibri" w:hAnsi="Calibri" w:cs="Calibri"/>
          <w:color w:val="000000" w:themeColor="text1"/>
          <w:sz w:val="21"/>
          <w:szCs w:val="21"/>
        </w:rPr>
        <w:t xml:space="preserve"> contribution is not the odyssey concept itself, but a claims-only, graph-and-sequence detection approach to it, framed as clinical decision </w:t>
      </w:r>
      <w:r w:rsidRPr="00160E3E">
        <w:rPr>
          <w:rFonts w:ascii="Calibri" w:eastAsia="Calibri" w:hAnsi="Calibri" w:cs="Calibri"/>
          <w:i/>
          <w:iCs/>
          <w:color w:val="000000" w:themeColor="text1"/>
          <w:sz w:val="21"/>
          <w:szCs w:val="21"/>
        </w:rPr>
        <w:t>support</w:t>
      </w:r>
      <w:r w:rsidRPr="00160E3E">
        <w:rPr>
          <w:rFonts w:ascii="Calibri" w:eastAsia="Calibri" w:hAnsi="Calibri" w:cs="Calibri"/>
          <w:color w:val="000000" w:themeColor="text1"/>
          <w:sz w:val="21"/>
          <w:szCs w:val="21"/>
        </w:rPr>
        <w:t>: the system flags a pattern and its rationale; a human coordinator retains full authority over any outreach or clinical action.</w:t>
      </w:r>
    </w:p>
    <w:p w14:paraId="38DF6982" w14:textId="77777777" w:rsidR="00392D49" w:rsidRPr="00160E3E" w:rsidRDefault="00000000" w:rsidP="00160E3E">
      <w:pPr>
        <w:pStyle w:val="Heading2"/>
        <w:spacing w:before="200" w:after="100"/>
        <w:jc w:val="both"/>
        <w:rPr>
          <w:b/>
          <w:bCs/>
          <w:color w:val="000000" w:themeColor="text1"/>
        </w:rPr>
      </w:pPr>
      <w:r w:rsidRPr="00160E3E">
        <w:rPr>
          <w:rFonts w:ascii="Calibri" w:eastAsia="Calibri" w:hAnsi="Calibri" w:cs="Calibri"/>
          <w:b/>
          <w:bCs/>
          <w:color w:val="000000" w:themeColor="text1"/>
        </w:rPr>
        <w:t>2. Current Technology and Emerging Trends</w:t>
      </w:r>
    </w:p>
    <w:p w14:paraId="12433567" w14:textId="376460BF" w:rsidR="00160E3E" w:rsidRPr="00160E3E" w:rsidRDefault="00000000" w:rsidP="00160E3E">
      <w:pPr>
        <w:spacing w:after="120"/>
        <w:jc w:val="both"/>
        <w:rPr>
          <w:rFonts w:ascii="Calibri" w:eastAsia="Calibri" w:hAnsi="Calibri" w:cs="Calibri"/>
          <w:color w:val="000000" w:themeColor="text1"/>
          <w:sz w:val="21"/>
          <w:szCs w:val="21"/>
        </w:rPr>
      </w:pPr>
      <w:r w:rsidRPr="00160E3E">
        <w:rPr>
          <w:rFonts w:ascii="Calibri" w:eastAsia="Calibri" w:hAnsi="Calibri" w:cs="Calibri"/>
          <w:color w:val="000000" w:themeColor="text1"/>
          <w:sz w:val="21"/>
          <w:szCs w:val="21"/>
        </w:rPr>
        <w:t xml:space="preserve">Healthcare pattern-recognition tooling has moved </w:t>
      </w:r>
      <w:proofErr w:type="gramStart"/>
      <w:r w:rsidRPr="00160E3E">
        <w:rPr>
          <w:rFonts w:ascii="Calibri" w:eastAsia="Calibri" w:hAnsi="Calibri" w:cs="Calibri"/>
          <w:color w:val="000000" w:themeColor="text1"/>
          <w:sz w:val="21"/>
          <w:szCs w:val="21"/>
        </w:rPr>
        <w:t>from rule-based utilization thresholds,</w:t>
      </w:r>
      <w:proofErr w:type="gramEnd"/>
      <w:r w:rsidRPr="00160E3E">
        <w:rPr>
          <w:rFonts w:ascii="Calibri" w:eastAsia="Calibri" w:hAnsi="Calibri" w:cs="Calibri"/>
          <w:color w:val="000000" w:themeColor="text1"/>
          <w:sz w:val="21"/>
          <w:szCs w:val="21"/>
        </w:rPr>
        <w:t xml:space="preserve"> to statistical/tree-based risk scoring, to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most recently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graph and sequence analytics borrowed from fraud detection and network security, plus generative/agentic AI for synthesis tasks. </w:t>
      </w:r>
      <w:proofErr w:type="spellStart"/>
      <w:r w:rsidRPr="00160E3E">
        <w:rPr>
          <w:rFonts w:ascii="Calibri" w:eastAsia="Calibri" w:hAnsi="Calibri" w:cs="Calibri"/>
          <w:color w:val="000000" w:themeColor="text1"/>
          <w:sz w:val="21"/>
          <w:szCs w:val="21"/>
        </w:rPr>
        <w:t>CareTrace</w:t>
      </w:r>
      <w:proofErr w:type="spellEnd"/>
      <w:r w:rsidRPr="00160E3E">
        <w:rPr>
          <w:rFonts w:ascii="Calibri" w:eastAsia="Calibri" w:hAnsi="Calibri" w:cs="Calibri"/>
          <w:color w:val="000000" w:themeColor="text1"/>
          <w:sz w:val="21"/>
          <w:szCs w:val="21"/>
        </w:rPr>
        <w:t xml:space="preserve"> deliberately does </w:t>
      </w:r>
      <w:r w:rsidRPr="00160E3E">
        <w:rPr>
          <w:rFonts w:ascii="Calibri" w:eastAsia="Calibri" w:hAnsi="Calibri" w:cs="Calibri"/>
          <w:b/>
          <w:bCs/>
          <w:color w:val="000000" w:themeColor="text1"/>
          <w:sz w:val="21"/>
          <w:szCs w:val="21"/>
        </w:rPr>
        <w:t>not</w:t>
      </w:r>
      <w:r w:rsidRPr="00160E3E">
        <w:rPr>
          <w:rFonts w:ascii="Calibri" w:eastAsia="Calibri" w:hAnsi="Calibri" w:cs="Calibri"/>
          <w:color w:val="000000" w:themeColor="text1"/>
          <w:sz w:val="21"/>
          <w:szCs w:val="21"/>
        </w:rPr>
        <w:t xml:space="preserve"> use an LLM for detection: fragmentation scoring is a structured, auditable, reproducible sequence/graph problem, and an LLM would add cost and non-determinism without improving accuracy. Generative AI is used only in a bounded, downstream role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composing a plain-language case narrative from already-computed structured signals for the care coordinator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never to decide, diagnose, or act.</w:t>
      </w:r>
    </w:p>
    <w:p w14:paraId="2EBFCDDA" w14:textId="77777777" w:rsidR="00392D49" w:rsidRPr="00160E3E" w:rsidRDefault="00000000" w:rsidP="00160E3E">
      <w:pPr>
        <w:pStyle w:val="Heading2"/>
        <w:spacing w:before="200" w:after="100"/>
        <w:jc w:val="both"/>
        <w:rPr>
          <w:b/>
          <w:bCs/>
          <w:color w:val="000000" w:themeColor="text1"/>
        </w:rPr>
      </w:pPr>
      <w:r w:rsidRPr="00160E3E">
        <w:rPr>
          <w:rFonts w:ascii="Calibri" w:eastAsia="Calibri" w:hAnsi="Calibri" w:cs="Calibri"/>
          <w:b/>
          <w:bCs/>
          <w:color w:val="000000" w:themeColor="text1"/>
        </w:rPr>
        <w:t>3. Proposed AI/ML Approach</w:t>
      </w:r>
    </w:p>
    <w:p w14:paraId="0F48FA97" w14:textId="77D0A344"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 xml:space="preserve">Episode reconstruction &amp; feature engineering: specialty fan-out ratio, diagnostic-to-therapeutic claim ratio, diagnosis-code churn, visit-interval irregularity, referral "ping-pong" rate, and top-provider visit share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computed per episode with no label logic mixed in.</w:t>
      </w:r>
    </w:p>
    <w:p w14:paraId="7DC236E3" w14:textId="1B4AA7CF"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 xml:space="preserve">Supervised classification (XGBoost): trained against a chart-audit outcome generated by a process independent of the visible features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a latent "care complexity" value shapes both, but the label adds its own noise and an unobserved signal, avoiding the classic trap of a label that is a deterministic function of the model's own inputs. Held-out test performance: ROC-AUC 0.899, PR-AUC 0.502, precision 0.52 / recall 0.61 at a 0.5 threshold.</w:t>
      </w:r>
    </w:p>
    <w:p w14:paraId="1EC09FF9" w14:textId="1F2BE863"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Explainability: SHAP (</w:t>
      </w:r>
      <w:proofErr w:type="spellStart"/>
      <w:r w:rsidRPr="00160E3E">
        <w:rPr>
          <w:rFonts w:ascii="Calibri" w:eastAsia="Calibri" w:hAnsi="Calibri" w:cs="Calibri"/>
          <w:color w:val="000000" w:themeColor="text1"/>
          <w:sz w:val="21"/>
          <w:szCs w:val="21"/>
        </w:rPr>
        <w:t>TreeExplainer</w:t>
      </w:r>
      <w:proofErr w:type="spellEnd"/>
      <w:r w:rsidRPr="00160E3E">
        <w:rPr>
          <w:rFonts w:ascii="Calibri" w:eastAsia="Calibri" w:hAnsi="Calibri" w:cs="Calibri"/>
          <w:color w:val="000000" w:themeColor="text1"/>
          <w:sz w:val="21"/>
          <w:szCs w:val="21"/>
        </w:rPr>
        <w:t xml:space="preserve">) decomposes every flagged episode into its top contributing features, signed by direction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not a black-box score.</w:t>
      </w:r>
    </w:p>
    <w:p w14:paraId="5EC5D086" w14:textId="5B715E62"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 xml:space="preserve">Typology clustering (K-Means): among at-risk episodes, groups into named, distinct fragmentation types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Specialist Fan-Out, Referral Ping-Pong, Diagnostic Loop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so a coordinator can triage differently by type.</w:t>
      </w:r>
    </w:p>
    <w:p w14:paraId="65DD7FF1"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Provider-level time-series drift: a separate check on each provider's own monthly diagnostic-claim-share baseline, flagged as corroborating context (not an accusation) when a flagged episode touches a drifting provider.</w:t>
      </w:r>
    </w:p>
    <w:p w14:paraId="7D822387" w14:textId="2B89CBF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 xml:space="preserve">Bounded agentic layer: a review-packet composer assembles the already-computed classifier probability, SHAP factors, typology, and drift context into a plain-language narrative for the care coordinator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template-based in this offline POC, swappable to an LLM API without other code changes, and never a source of new detection logic.</w:t>
      </w:r>
    </w:p>
    <w:p w14:paraId="0499F03A" w14:textId="77777777" w:rsidR="00392D49" w:rsidRPr="00160E3E" w:rsidRDefault="00000000" w:rsidP="00160E3E">
      <w:pPr>
        <w:pStyle w:val="Heading2"/>
        <w:spacing w:before="200" w:after="100"/>
        <w:jc w:val="both"/>
        <w:rPr>
          <w:b/>
          <w:bCs/>
          <w:color w:val="000000" w:themeColor="text1"/>
        </w:rPr>
      </w:pPr>
      <w:r w:rsidRPr="00160E3E">
        <w:rPr>
          <w:rFonts w:ascii="Calibri" w:eastAsia="Calibri" w:hAnsi="Calibri" w:cs="Calibri"/>
          <w:b/>
          <w:bCs/>
          <w:color w:val="000000" w:themeColor="text1"/>
        </w:rPr>
        <w:lastRenderedPageBreak/>
        <w:t>4. Opportunities and Strategic Value for Cotiviti</w:t>
      </w:r>
    </w:p>
    <w:p w14:paraId="20A1900D"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Treatment: prioritizes care-navigation outreach toward patients most likely stuck in an unproductive diagnostic loop.</w:t>
      </w:r>
    </w:p>
    <w:p w14:paraId="7120184A"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Payment: surfaces a pattern associated with low-value repeat diagnostic spend, complementing existing payment-integrity and utilization-review workflows.</w:t>
      </w:r>
    </w:p>
    <w:p w14:paraId="7750B95A"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Operations: gives utilization management and case management a shared, explainable, typology-differentiated prioritization signal instead of ad hoc judgment calls.</w:t>
      </w:r>
    </w:p>
    <w:p w14:paraId="6EE3B63E" w14:textId="23010B02" w:rsidR="00392D49" w:rsidRPr="00160E3E" w:rsidRDefault="00000000" w:rsidP="00160E3E">
      <w:pPr>
        <w:spacing w:after="120"/>
        <w:jc w:val="both"/>
        <w:rPr>
          <w:color w:val="000000" w:themeColor="text1"/>
        </w:rPr>
      </w:pPr>
      <w:r w:rsidRPr="00160E3E">
        <w:rPr>
          <w:rFonts w:ascii="Calibri" w:eastAsia="Calibri" w:hAnsi="Calibri" w:cs="Calibri"/>
          <w:color w:val="000000" w:themeColor="text1"/>
          <w:sz w:val="21"/>
          <w:szCs w:val="21"/>
        </w:rPr>
        <w:t xml:space="preserve">Cotiviti could explore integrating a validated version of this pattern-detection approach into existing quality-analytics and payment-integrity workflows, where an explainable fragmentation signal could complement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not replace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existing clinical and utilization review.</w:t>
      </w:r>
    </w:p>
    <w:p w14:paraId="30D34ECD" w14:textId="77777777" w:rsidR="00392D49" w:rsidRPr="00160E3E" w:rsidRDefault="00000000" w:rsidP="00160E3E">
      <w:pPr>
        <w:pStyle w:val="Heading2"/>
        <w:spacing w:before="200" w:after="100"/>
        <w:jc w:val="both"/>
        <w:rPr>
          <w:b/>
          <w:bCs/>
          <w:color w:val="000000" w:themeColor="text1"/>
        </w:rPr>
      </w:pPr>
      <w:r w:rsidRPr="00160E3E">
        <w:rPr>
          <w:rFonts w:ascii="Calibri" w:eastAsia="Calibri" w:hAnsi="Calibri" w:cs="Calibri"/>
          <w:b/>
          <w:bCs/>
          <w:color w:val="000000" w:themeColor="text1"/>
        </w:rPr>
        <w:t>5. Risks, Threats, and Responsible AI</w:t>
      </w:r>
    </w:p>
    <w:p w14:paraId="3582E611" w14:textId="5364F810"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 xml:space="preserve">Human oversight: outputs are recommendations only; the system never diagnoses or acts autonomously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every review packet ends with an explicit human-sign-off requirement.</w:t>
      </w:r>
    </w:p>
    <w:p w14:paraId="79C0DA9C"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Bias &amp; fairness: typology clusters and classifier scores can still under- or over-flag patients from smaller or under-represented complaint groups; a subgroup performance audit (age, geography, payer type) is required before any pilot, consistent with known failure modes in commercial health algorithms (Obermeyer et al., 2019).</w:t>
      </w:r>
    </w:p>
    <w:p w14:paraId="768F9AF7" w14:textId="3F040360"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 xml:space="preserve">Label validity: the training label is a simulated chart-audit outcome, not a real clinical determination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"diagnostic odyssey" is not a label coded at scale today. A real deployment requires bootstrapping an actual chart-review process before training against real outcomes.</w:t>
      </w:r>
    </w:p>
    <w:p w14:paraId="7E38DF27"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Explainability: every flag ships with its SHAP-attributed contributing factors (Lundberg &amp; Lee, 2017), not just a probability.</w:t>
      </w:r>
    </w:p>
    <w:p w14:paraId="66D5CAE2"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Data quality &amp; drift: both the classifier and the provider-drift baselines must be monitored and periodically retrained as care patterns and coding practices shift, consistent with FDA Good Machine Learning Practice guidance (U.S. FDA, 2021) and the NIST AI Risk Management Framework (NIST, 2023).</w:t>
      </w:r>
    </w:p>
    <w:p w14:paraId="32D539B6" w14:textId="2E1890B8"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 xml:space="preserve">False positives/negatives: the review threshold is an operational decision requiring care-management input, not a fixed default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this POC intentionally favors recall over precision, since a missed fragmented episode costs more than an unnecessary review.</w:t>
      </w:r>
    </w:p>
    <w:p w14:paraId="3913CD64" w14:textId="3C8E5636"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 xml:space="preserve">Provider drift is corroborating context, not a fraud or abuse finding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every drift flag is explicitly labeled for independent review, never presented as a conclusion.</w:t>
      </w:r>
    </w:p>
    <w:p w14:paraId="47BB39BD" w14:textId="77777777" w:rsidR="00392D49" w:rsidRPr="00160E3E" w:rsidRDefault="00000000" w:rsidP="00160E3E">
      <w:pPr>
        <w:spacing w:after="120"/>
        <w:jc w:val="both"/>
        <w:rPr>
          <w:color w:val="000000" w:themeColor="text1"/>
        </w:rPr>
      </w:pPr>
      <w:r w:rsidRPr="00160E3E">
        <w:rPr>
          <w:rFonts w:ascii="Calibri" w:eastAsia="Calibri" w:hAnsi="Calibri" w:cs="Calibri"/>
          <w:b/>
          <w:bCs/>
          <w:color w:val="000000" w:themeColor="text1"/>
          <w:sz w:val="21"/>
          <w:szCs w:val="21"/>
        </w:rPr>
        <w:t xml:space="preserve">What this system must never do: </w:t>
      </w:r>
      <w:r w:rsidRPr="00160E3E">
        <w:rPr>
          <w:rFonts w:ascii="Calibri" w:eastAsia="Calibri" w:hAnsi="Calibri" w:cs="Calibri"/>
          <w:color w:val="000000" w:themeColor="text1"/>
          <w:sz w:val="21"/>
          <w:szCs w:val="21"/>
        </w:rPr>
        <w:t>diagnose a condition, contact a patient autonomously, name a provider as fraudulent, or be treated as a substitute for clinical judgment. It is a prioritization aid for human review.</w:t>
      </w:r>
    </w:p>
    <w:p w14:paraId="74A2DB47" w14:textId="77777777" w:rsidR="00392D49" w:rsidRPr="00160E3E" w:rsidRDefault="00000000" w:rsidP="00160E3E">
      <w:pPr>
        <w:pStyle w:val="Heading2"/>
        <w:spacing w:before="200" w:after="100"/>
        <w:jc w:val="both"/>
        <w:rPr>
          <w:b/>
          <w:bCs/>
          <w:color w:val="000000" w:themeColor="text1"/>
        </w:rPr>
      </w:pPr>
      <w:r w:rsidRPr="00160E3E">
        <w:rPr>
          <w:rFonts w:ascii="Calibri" w:eastAsia="Calibri" w:hAnsi="Calibri" w:cs="Calibri"/>
          <w:b/>
          <w:bCs/>
          <w:color w:val="000000" w:themeColor="text1"/>
        </w:rPr>
        <w:t>6. Recommended Strategic Investment / Next Steps</w:t>
      </w:r>
    </w:p>
    <w:p w14:paraId="26C327E8"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Validate the pipeline against real, de-identified claims data and real case-manager-confirmed chart-review outcomes under appropriate governance.</w:t>
      </w:r>
    </w:p>
    <w:p w14:paraId="27DEC587"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Run a subgroup fairness audit before any pilot.</w:t>
      </w:r>
    </w:p>
    <w:p w14:paraId="284C8225"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Pilot with a care-management team on a small population, with a clear human-in-the-loop escalation protocol.</w:t>
      </w:r>
    </w:p>
    <w:p w14:paraId="1A297E77" w14:textId="77777777" w:rsidR="00392D49" w:rsidRPr="00160E3E" w:rsidRDefault="00000000" w:rsidP="00160E3E">
      <w:pPr>
        <w:pStyle w:val="ListParagraph"/>
        <w:numPr>
          <w:ilvl w:val="0"/>
          <w:numId w:val="1"/>
        </w:numPr>
        <w:spacing w:after="60"/>
        <w:jc w:val="both"/>
        <w:rPr>
          <w:color w:val="000000" w:themeColor="text1"/>
        </w:rPr>
      </w:pPr>
      <w:r w:rsidRPr="00160E3E">
        <w:rPr>
          <w:rFonts w:ascii="Calibri" w:eastAsia="Calibri" w:hAnsi="Calibri" w:cs="Calibri"/>
          <w:color w:val="000000" w:themeColor="text1"/>
          <w:sz w:val="21"/>
          <w:szCs w:val="21"/>
        </w:rPr>
        <w:t>Establish periodic retraining of both the classifier and provider-drift baselines to track shifts in care and coding patterns.</w:t>
      </w:r>
    </w:p>
    <w:p w14:paraId="36BFFEA7" w14:textId="77777777" w:rsidR="00160E3E" w:rsidRDefault="00160E3E" w:rsidP="00160E3E">
      <w:pPr>
        <w:pStyle w:val="Heading2"/>
        <w:spacing w:before="200" w:after="100"/>
        <w:jc w:val="both"/>
        <w:rPr>
          <w:rFonts w:ascii="Calibri" w:eastAsia="Calibri" w:hAnsi="Calibri" w:cs="Calibri"/>
          <w:b/>
          <w:bCs/>
          <w:color w:val="000000" w:themeColor="text1"/>
        </w:rPr>
      </w:pPr>
    </w:p>
    <w:p w14:paraId="44E55779" w14:textId="2F2843DB" w:rsidR="00392D49" w:rsidRPr="00160E3E" w:rsidRDefault="00000000" w:rsidP="00160E3E">
      <w:pPr>
        <w:pStyle w:val="Heading2"/>
        <w:spacing w:before="200" w:after="100"/>
        <w:jc w:val="both"/>
        <w:rPr>
          <w:b/>
          <w:bCs/>
          <w:color w:val="000000" w:themeColor="text1"/>
          <w:sz w:val="40"/>
          <w:szCs w:val="40"/>
        </w:rPr>
      </w:pPr>
      <w:r w:rsidRPr="00160E3E">
        <w:rPr>
          <w:rFonts w:ascii="Calibri" w:eastAsia="Calibri" w:hAnsi="Calibri" w:cs="Calibri"/>
          <w:b/>
          <w:bCs/>
          <w:color w:val="000000" w:themeColor="text1"/>
          <w:sz w:val="40"/>
          <w:szCs w:val="40"/>
        </w:rPr>
        <w:t>Conclusion</w:t>
      </w:r>
    </w:p>
    <w:p w14:paraId="2D59984C" w14:textId="6EC9C1ED" w:rsidR="00392D49" w:rsidRDefault="00000000" w:rsidP="00160E3E">
      <w:pPr>
        <w:spacing w:after="120"/>
        <w:jc w:val="both"/>
        <w:rPr>
          <w:rFonts w:ascii="Calibri" w:eastAsia="Calibri" w:hAnsi="Calibri" w:cs="Calibri"/>
          <w:color w:val="000000" w:themeColor="text1"/>
          <w:sz w:val="21"/>
          <w:szCs w:val="21"/>
        </w:rPr>
      </w:pPr>
      <w:proofErr w:type="spellStart"/>
      <w:r w:rsidRPr="00160E3E">
        <w:rPr>
          <w:rFonts w:ascii="Calibri" w:eastAsia="Calibri" w:hAnsi="Calibri" w:cs="Calibri"/>
          <w:color w:val="000000" w:themeColor="text1"/>
          <w:sz w:val="21"/>
          <w:szCs w:val="21"/>
        </w:rPr>
        <w:t>CareTrace</w:t>
      </w:r>
      <w:proofErr w:type="spellEnd"/>
      <w:r w:rsidRPr="00160E3E">
        <w:rPr>
          <w:rFonts w:ascii="Calibri" w:eastAsia="Calibri" w:hAnsi="Calibri" w:cs="Calibri"/>
          <w:color w:val="000000" w:themeColor="text1"/>
          <w:sz w:val="21"/>
          <w:szCs w:val="21"/>
        </w:rPr>
        <w:t xml:space="preserve"> demonstrates that claims-only sequence and graph features can train an explainable classifier that surfaces a clinically and financially meaningful signal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care fragmentation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that per-encounter review and single-score risk models structurally cannot see. The approach shown here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a leakage-checked label design, SHAP explainability, interpretable typology clustering, an independent provider-drift cross-check, and a strictly bounded role for generative AI </w:t>
      </w:r>
      <w:r w:rsidR="00160E3E" w:rsidRPr="00160E3E">
        <w:rPr>
          <w:rFonts w:ascii="Calibri" w:eastAsia="Calibri" w:hAnsi="Calibri" w:cs="Calibri"/>
          <w:color w:val="000000" w:themeColor="text1"/>
          <w:sz w:val="21"/>
          <w:szCs w:val="21"/>
        </w:rPr>
        <w:t>-</w:t>
      </w:r>
      <w:r w:rsidRPr="00160E3E">
        <w:rPr>
          <w:rFonts w:ascii="Calibri" w:eastAsia="Calibri" w:hAnsi="Calibri" w:cs="Calibri"/>
          <w:color w:val="000000" w:themeColor="text1"/>
          <w:sz w:val="21"/>
          <w:szCs w:val="21"/>
        </w:rPr>
        <w:t xml:space="preserve"> reflects the responsible-AI posture required for any real deployment in a payer/provider analytics context.</w:t>
      </w:r>
    </w:p>
    <w:p w14:paraId="4C9ECE8C" w14:textId="1893E622" w:rsidR="00160E3E" w:rsidRDefault="00160E3E">
      <w:pPr>
        <w:rPr>
          <w:rFonts w:ascii="Calibri" w:eastAsia="Calibri" w:hAnsi="Calibri" w:cs="Calibri"/>
          <w:color w:val="000000" w:themeColor="text1"/>
          <w:sz w:val="21"/>
          <w:szCs w:val="21"/>
        </w:rPr>
      </w:pPr>
      <w:r>
        <w:rPr>
          <w:rFonts w:ascii="Calibri" w:eastAsia="Calibri" w:hAnsi="Calibri" w:cs="Calibri"/>
          <w:color w:val="000000" w:themeColor="text1"/>
          <w:sz w:val="21"/>
          <w:szCs w:val="21"/>
        </w:rPr>
        <w:br w:type="page"/>
      </w:r>
    </w:p>
    <w:p w14:paraId="7CF070E7" w14:textId="77777777" w:rsidR="00160E3E" w:rsidRPr="00160E3E" w:rsidRDefault="00160E3E" w:rsidP="00160E3E">
      <w:pPr>
        <w:spacing w:after="120"/>
        <w:jc w:val="both"/>
        <w:rPr>
          <w:color w:val="000000" w:themeColor="text1"/>
        </w:rPr>
      </w:pPr>
    </w:p>
    <w:p w14:paraId="61345F31" w14:textId="77777777" w:rsidR="00392D49" w:rsidRPr="00160E3E" w:rsidRDefault="00000000" w:rsidP="00160E3E">
      <w:pPr>
        <w:pStyle w:val="Heading2"/>
        <w:spacing w:before="200" w:after="100"/>
        <w:jc w:val="both"/>
        <w:rPr>
          <w:b/>
          <w:bCs/>
          <w:color w:val="000000" w:themeColor="text1"/>
          <w:sz w:val="32"/>
          <w:szCs w:val="32"/>
        </w:rPr>
      </w:pPr>
      <w:r w:rsidRPr="00160E3E">
        <w:rPr>
          <w:rFonts w:ascii="Calibri" w:eastAsia="Calibri" w:hAnsi="Calibri" w:cs="Calibri"/>
          <w:b/>
          <w:bCs/>
          <w:color w:val="000000" w:themeColor="text1"/>
          <w:sz w:val="32"/>
          <w:szCs w:val="32"/>
        </w:rPr>
        <w:t>Bibliography</w:t>
      </w:r>
    </w:p>
    <w:p w14:paraId="3134D4DC" w14:textId="77777777" w:rsidR="00392D49" w:rsidRPr="00160E3E" w:rsidRDefault="00000000" w:rsidP="00160E3E">
      <w:pPr>
        <w:pStyle w:val="ListParagraph"/>
        <w:numPr>
          <w:ilvl w:val="0"/>
          <w:numId w:val="3"/>
        </w:numPr>
        <w:spacing w:after="100"/>
        <w:rPr>
          <w:color w:val="000000" w:themeColor="text1"/>
        </w:rPr>
      </w:pPr>
      <w:r w:rsidRPr="00160E3E">
        <w:rPr>
          <w:rFonts w:ascii="Calibri" w:eastAsia="Calibri" w:hAnsi="Calibri" w:cs="Calibri"/>
          <w:color w:val="000000" w:themeColor="text1"/>
          <w:sz w:val="19"/>
          <w:szCs w:val="19"/>
        </w:rPr>
        <w:t>Blazek, K., et al. (2025). A labeled medical records corpus for the timely detection of rare diseases using machine learning approaches. Scientific Reports. https://www.nature.com/articles/s41598-025-90450-0</w:t>
      </w:r>
    </w:p>
    <w:p w14:paraId="52D6D1A4" w14:textId="77777777" w:rsidR="00392D49" w:rsidRPr="00160E3E" w:rsidRDefault="00000000" w:rsidP="00160E3E">
      <w:pPr>
        <w:pStyle w:val="ListParagraph"/>
        <w:numPr>
          <w:ilvl w:val="0"/>
          <w:numId w:val="3"/>
        </w:numPr>
        <w:spacing w:after="100"/>
        <w:rPr>
          <w:color w:val="000000" w:themeColor="text1"/>
        </w:rPr>
      </w:pPr>
      <w:r w:rsidRPr="00160E3E">
        <w:rPr>
          <w:rFonts w:ascii="Calibri" w:eastAsia="Calibri" w:hAnsi="Calibri" w:cs="Calibri"/>
          <w:color w:val="000000" w:themeColor="text1"/>
          <w:sz w:val="19"/>
          <w:szCs w:val="19"/>
        </w:rPr>
        <w:t>Centers for Medicare &amp; Medicaid Services. (n.d.). Medicare Claims Synthetic Public Use Files (</w:t>
      </w:r>
      <w:proofErr w:type="spellStart"/>
      <w:r w:rsidRPr="00160E3E">
        <w:rPr>
          <w:rFonts w:ascii="Calibri" w:eastAsia="Calibri" w:hAnsi="Calibri" w:cs="Calibri"/>
          <w:color w:val="000000" w:themeColor="text1"/>
          <w:sz w:val="19"/>
          <w:szCs w:val="19"/>
        </w:rPr>
        <w:t>SynPUF</w:t>
      </w:r>
      <w:proofErr w:type="spellEnd"/>
      <w:r w:rsidRPr="00160E3E">
        <w:rPr>
          <w:rFonts w:ascii="Calibri" w:eastAsia="Calibri" w:hAnsi="Calibri" w:cs="Calibri"/>
          <w:color w:val="000000" w:themeColor="text1"/>
          <w:sz w:val="19"/>
          <w:szCs w:val="19"/>
        </w:rPr>
        <w:t>). U.S. Department of Health and Human Services. https://www.cms.gov/data-research/statistics-trends-reports/medicare-claims-synthetic-public-use-files</w:t>
      </w:r>
    </w:p>
    <w:p w14:paraId="163552A1" w14:textId="77777777" w:rsidR="00392D49" w:rsidRPr="00160E3E" w:rsidRDefault="00000000" w:rsidP="00160E3E">
      <w:pPr>
        <w:pStyle w:val="ListParagraph"/>
        <w:numPr>
          <w:ilvl w:val="0"/>
          <w:numId w:val="3"/>
        </w:numPr>
        <w:spacing w:after="100"/>
        <w:rPr>
          <w:color w:val="000000" w:themeColor="text1"/>
        </w:rPr>
      </w:pPr>
      <w:r w:rsidRPr="00160E3E">
        <w:rPr>
          <w:rFonts w:ascii="Calibri" w:eastAsia="Calibri" w:hAnsi="Calibri" w:cs="Calibri"/>
          <w:color w:val="000000" w:themeColor="text1"/>
          <w:sz w:val="19"/>
          <w:szCs w:val="19"/>
        </w:rPr>
        <w:t xml:space="preserve">Chen, T., &amp; </w:t>
      </w:r>
      <w:proofErr w:type="spellStart"/>
      <w:r w:rsidRPr="00160E3E">
        <w:rPr>
          <w:rFonts w:ascii="Calibri" w:eastAsia="Calibri" w:hAnsi="Calibri" w:cs="Calibri"/>
          <w:color w:val="000000" w:themeColor="text1"/>
          <w:sz w:val="19"/>
          <w:szCs w:val="19"/>
        </w:rPr>
        <w:t>Guestrin</w:t>
      </w:r>
      <w:proofErr w:type="spellEnd"/>
      <w:r w:rsidRPr="00160E3E">
        <w:rPr>
          <w:rFonts w:ascii="Calibri" w:eastAsia="Calibri" w:hAnsi="Calibri" w:cs="Calibri"/>
          <w:color w:val="000000" w:themeColor="text1"/>
          <w:sz w:val="19"/>
          <w:szCs w:val="19"/>
        </w:rPr>
        <w:t>, C. (2016). XGBoost: A scalable tree boosting system. Proceedings of the 22nd ACM SIGKDD International Conference on Knowledge Discovery and Data Mining, 785–794. https://doi.org/10.1145/2939672.2939785</w:t>
      </w:r>
    </w:p>
    <w:p w14:paraId="16AF99FF" w14:textId="77777777" w:rsidR="00392D49" w:rsidRPr="00160E3E" w:rsidRDefault="00000000" w:rsidP="00160E3E">
      <w:pPr>
        <w:pStyle w:val="ListParagraph"/>
        <w:numPr>
          <w:ilvl w:val="0"/>
          <w:numId w:val="3"/>
        </w:numPr>
        <w:spacing w:after="100"/>
        <w:rPr>
          <w:color w:val="000000" w:themeColor="text1"/>
        </w:rPr>
      </w:pPr>
      <w:r w:rsidRPr="00160E3E">
        <w:rPr>
          <w:rFonts w:ascii="Calibri" w:eastAsia="Calibri" w:hAnsi="Calibri" w:cs="Calibri"/>
          <w:color w:val="000000" w:themeColor="text1"/>
          <w:sz w:val="19"/>
          <w:szCs w:val="19"/>
        </w:rPr>
        <w:t>Lundberg, S. M., &amp; Lee, S.-I. (2017). A unified approach to interpreting model predictions. Advances in Neural Information Processing Systems, 30, 4765–4774.</w:t>
      </w:r>
    </w:p>
    <w:p w14:paraId="69B38541" w14:textId="77777777" w:rsidR="00392D49" w:rsidRPr="00160E3E" w:rsidRDefault="00000000" w:rsidP="00160E3E">
      <w:pPr>
        <w:pStyle w:val="ListParagraph"/>
        <w:numPr>
          <w:ilvl w:val="0"/>
          <w:numId w:val="3"/>
        </w:numPr>
        <w:spacing w:after="100"/>
        <w:rPr>
          <w:color w:val="000000" w:themeColor="text1"/>
        </w:rPr>
      </w:pPr>
      <w:r w:rsidRPr="00160E3E">
        <w:rPr>
          <w:rFonts w:ascii="Calibri" w:eastAsia="Calibri" w:hAnsi="Calibri" w:cs="Calibri"/>
          <w:color w:val="000000" w:themeColor="text1"/>
          <w:sz w:val="19"/>
          <w:szCs w:val="19"/>
        </w:rPr>
        <w:t>National Institute of Standards and Technology. (2023). Artificial intelligence risk management framework (AI RMF 1.0). U.S. Department of Commerce. https://doi.org/10.6028/NIST.AI.100-1</w:t>
      </w:r>
    </w:p>
    <w:p w14:paraId="270C029B" w14:textId="77777777" w:rsidR="00392D49" w:rsidRPr="00160E3E" w:rsidRDefault="00000000" w:rsidP="00160E3E">
      <w:pPr>
        <w:pStyle w:val="ListParagraph"/>
        <w:numPr>
          <w:ilvl w:val="0"/>
          <w:numId w:val="3"/>
        </w:numPr>
        <w:spacing w:after="100"/>
        <w:rPr>
          <w:color w:val="000000" w:themeColor="text1"/>
        </w:rPr>
      </w:pPr>
      <w:r w:rsidRPr="00160E3E">
        <w:rPr>
          <w:rFonts w:ascii="Calibri" w:eastAsia="Calibri" w:hAnsi="Calibri" w:cs="Calibri"/>
          <w:color w:val="000000" w:themeColor="text1"/>
          <w:sz w:val="19"/>
          <w:szCs w:val="19"/>
        </w:rPr>
        <w:t>Obermeyer, Z., Powers, B., Vogeli, C., &amp; Mullainathan, S. (2019). Dissecting racial bias in an algorithm used to manage the health of populations. Science, 366(6464), 447–453. https://doi.org/10.1126/science.aax2342</w:t>
      </w:r>
    </w:p>
    <w:p w14:paraId="12CCAEAE" w14:textId="77777777" w:rsidR="00392D49" w:rsidRPr="00160E3E" w:rsidRDefault="00000000" w:rsidP="00160E3E">
      <w:pPr>
        <w:pStyle w:val="ListParagraph"/>
        <w:numPr>
          <w:ilvl w:val="0"/>
          <w:numId w:val="3"/>
        </w:numPr>
        <w:spacing w:after="100"/>
        <w:rPr>
          <w:color w:val="000000" w:themeColor="text1"/>
        </w:rPr>
      </w:pPr>
      <w:r w:rsidRPr="00160E3E">
        <w:rPr>
          <w:rFonts w:ascii="Calibri" w:eastAsia="Calibri" w:hAnsi="Calibri" w:cs="Calibri"/>
          <w:color w:val="000000" w:themeColor="text1"/>
          <w:sz w:val="19"/>
          <w:szCs w:val="19"/>
        </w:rPr>
        <w:t>Unifying the odyssey: artificial intelligence for rare disease diagnosis and therapy. (2025). PMC. https://pmc.ncbi.nlm.nih.gov/articles/PMC13045663/</w:t>
      </w:r>
    </w:p>
    <w:p w14:paraId="51560FCB" w14:textId="77777777" w:rsidR="00392D49" w:rsidRPr="00160E3E" w:rsidRDefault="00000000" w:rsidP="00160E3E">
      <w:pPr>
        <w:pStyle w:val="ListParagraph"/>
        <w:numPr>
          <w:ilvl w:val="0"/>
          <w:numId w:val="3"/>
        </w:numPr>
        <w:spacing w:after="100"/>
        <w:rPr>
          <w:color w:val="000000" w:themeColor="text1"/>
        </w:rPr>
      </w:pPr>
      <w:r w:rsidRPr="00160E3E">
        <w:rPr>
          <w:rFonts w:ascii="Calibri" w:eastAsia="Calibri" w:hAnsi="Calibri" w:cs="Calibri"/>
          <w:color w:val="000000" w:themeColor="text1"/>
          <w:sz w:val="19"/>
          <w:szCs w:val="19"/>
        </w:rPr>
        <w:t>U.S. Food and Drug Administration. (2021). Artificial Intelligence/Machine Learning (AI/ML)-Based Software as a Medical Device (SaMD) Action Plan. U.S. Department of Health and Human Services. https://www.fda.gov/media/145022/download</w:t>
      </w:r>
    </w:p>
    <w:sectPr w:rsidR="00392D49" w:rsidRPr="00160E3E" w:rsidSect="00160E3E">
      <w:pgSz w:w="12240" w:h="15840"/>
      <w:pgMar w:top="567" w:right="620" w:bottom="900" w:left="6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7F7389"/>
    <w:multiLevelType w:val="hybridMultilevel"/>
    <w:tmpl w:val="2F6E1F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035FF6"/>
    <w:multiLevelType w:val="hybridMultilevel"/>
    <w:tmpl w:val="346ED570"/>
    <w:lvl w:ilvl="0" w:tplc="C4AC82A0">
      <w:start w:val="1"/>
      <w:numFmt w:val="bullet"/>
      <w:lvlText w:val="●"/>
      <w:lvlJc w:val="left"/>
      <w:pPr>
        <w:ind w:left="720" w:hanging="360"/>
      </w:pPr>
    </w:lvl>
    <w:lvl w:ilvl="1" w:tplc="9964F760">
      <w:start w:val="1"/>
      <w:numFmt w:val="bullet"/>
      <w:lvlText w:val="○"/>
      <w:lvlJc w:val="left"/>
      <w:pPr>
        <w:ind w:left="1440" w:hanging="360"/>
      </w:pPr>
    </w:lvl>
    <w:lvl w:ilvl="2" w:tplc="A67C5852">
      <w:start w:val="1"/>
      <w:numFmt w:val="bullet"/>
      <w:lvlText w:val="■"/>
      <w:lvlJc w:val="left"/>
      <w:pPr>
        <w:ind w:left="2160" w:hanging="360"/>
      </w:pPr>
    </w:lvl>
    <w:lvl w:ilvl="3" w:tplc="CAC0D8A4">
      <w:start w:val="1"/>
      <w:numFmt w:val="bullet"/>
      <w:lvlText w:val="●"/>
      <w:lvlJc w:val="left"/>
      <w:pPr>
        <w:ind w:left="2880" w:hanging="360"/>
      </w:pPr>
    </w:lvl>
    <w:lvl w:ilvl="4" w:tplc="CD3E46B8">
      <w:start w:val="1"/>
      <w:numFmt w:val="bullet"/>
      <w:lvlText w:val="○"/>
      <w:lvlJc w:val="left"/>
      <w:pPr>
        <w:ind w:left="3600" w:hanging="360"/>
      </w:pPr>
    </w:lvl>
    <w:lvl w:ilvl="5" w:tplc="4FBE9688">
      <w:start w:val="1"/>
      <w:numFmt w:val="bullet"/>
      <w:lvlText w:val="■"/>
      <w:lvlJc w:val="left"/>
      <w:pPr>
        <w:ind w:left="4320" w:hanging="360"/>
      </w:pPr>
    </w:lvl>
    <w:lvl w:ilvl="6" w:tplc="88905C74">
      <w:start w:val="1"/>
      <w:numFmt w:val="bullet"/>
      <w:lvlText w:val="●"/>
      <w:lvlJc w:val="left"/>
      <w:pPr>
        <w:ind w:left="5040" w:hanging="360"/>
      </w:pPr>
    </w:lvl>
    <w:lvl w:ilvl="7" w:tplc="557E1BBA">
      <w:start w:val="1"/>
      <w:numFmt w:val="bullet"/>
      <w:lvlText w:val="●"/>
      <w:lvlJc w:val="left"/>
      <w:pPr>
        <w:ind w:left="5760" w:hanging="360"/>
      </w:pPr>
    </w:lvl>
    <w:lvl w:ilvl="8" w:tplc="FFB685F8">
      <w:start w:val="1"/>
      <w:numFmt w:val="bullet"/>
      <w:lvlText w:val="●"/>
      <w:lvlJc w:val="left"/>
      <w:pPr>
        <w:ind w:left="6480" w:hanging="360"/>
      </w:pPr>
    </w:lvl>
  </w:abstractNum>
  <w:abstractNum w:abstractNumId="2" w15:restartNumberingAfterBreak="0">
    <w:nsid w:val="68D57947"/>
    <w:multiLevelType w:val="hybridMultilevel"/>
    <w:tmpl w:val="F8DCA2C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3209826">
    <w:abstractNumId w:val="1"/>
    <w:lvlOverride w:ilvl="0">
      <w:startOverride w:val="1"/>
    </w:lvlOverride>
  </w:num>
  <w:num w:numId="2" w16cid:durableId="1802575117">
    <w:abstractNumId w:val="0"/>
  </w:num>
  <w:num w:numId="3" w16cid:durableId="200273417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D49"/>
    <w:rsid w:val="00160E3E"/>
    <w:rsid w:val="00392D49"/>
    <w:rsid w:val="004E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68F18E"/>
  <w15:docId w15:val="{1D7F8079-4666-D246-A529-E8C9110AB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1491</Words>
  <Characters>8502</Characters>
  <Application>Microsoft Office Word</Application>
  <DocSecurity>0</DocSecurity>
  <Lines>70</Lines>
  <Paragraphs>19</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Saxena, Pranali</cp:lastModifiedBy>
  <cp:revision>2</cp:revision>
  <dcterms:created xsi:type="dcterms:W3CDTF">2026-08-10T21:05:00Z</dcterms:created>
  <dcterms:modified xsi:type="dcterms:W3CDTF">2026-08-12T23:36:00Z</dcterms:modified>
</cp:coreProperties>
</file>