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28"/>
          <w:szCs w:val="28"/>
        </w:rPr>
        <w:t xml:space="preserve">Clinical Decision Making &amp; Pattern Recognition in Health Care:</w:t>
      </w:r>
    </w:p>
    <w:p>
      <w:pPr>
        <w:spacing w:after="60"/>
        <w:jc w:val="center"/>
      </w:pPr>
      <w:r>
        <w:rPr>
          <w:rFonts w:ascii="Calibri" w:cs="Calibri" w:eastAsia="Calibri" w:hAnsi="Calibri"/>
          <w:b/>
          <w:bCs/>
          <w:sz w:val="28"/>
          <w:szCs w:val="28"/>
        </w:rPr>
        <w:t xml:space="preserve">CareTrace — A Claims-Based Diagnostic Odyssey Detection Prototype for Cotiviti</w:t>
      </w:r>
    </w:p>
    <w:p>
      <w:pPr>
        <w:spacing w:after="200"/>
        <w:jc w:val="center"/>
      </w:pPr>
      <w:r>
        <w:rPr>
          <w:rFonts w:ascii="Calibri" w:cs="Calibri" w:eastAsia="Calibri" w:hAnsi="Calibri"/>
          <w:i/>
          <w:iCs/>
          <w:sz w:val="19"/>
          <w:szCs w:val="19"/>
        </w:rPr>
        <w:t xml:space="preserve">Prepared for the Cotiviti Intern Technical Assessment  |  Pranali  |  M.S. Business Analytics &amp; AI, University of Texas at Dallas</w:t>
      </w:r>
    </w:p>
    <w:p>
      <w:pPr>
        <w:pStyle w:val="Heading2"/>
        <w:spacing w:after="100" w:before="200"/>
      </w:pPr>
      <w:r>
        <w:rPr>
          <w:rFonts w:ascii="Calibri" w:cs="Calibri" w:eastAsia="Calibri" w:hAnsi="Calibri"/>
        </w:rPr>
        <w:t xml:space="preserve">Executive Summary</w:t>
      </w:r>
    </w:p>
    <w:p>
      <w:pPr>
        <w:spacing w:after="120"/>
      </w:pPr>
      <w:r>
        <w:rPr>
          <w:rFonts w:ascii="Calibri" w:cs="Calibri" w:eastAsia="Calibri" w:hAnsi="Calibri"/>
          <w:sz w:val="21"/>
          <w:szCs w:val="21"/>
        </w:rPr>
        <w:t xml:space="preserve">Individual claims, referrals, and diagnostic tests routinely pass utilization review as clinically appropriate. What conventional, per-encounter analytics cannot see is a patient trapped in a </w:t>
      </w:r>
      <w:r>
        <w:rPr>
          <w:rFonts w:ascii="Calibri" w:cs="Calibri" w:eastAsia="Calibri" w:hAnsi="Calibri"/>
          <w:i/>
          <w:iCs/>
          <w:sz w:val="21"/>
          <w:szCs w:val="21"/>
        </w:rPr>
        <w:t xml:space="preserve">diagnostic odyssey</w:t>
      </w:r>
      <w:r>
        <w:rPr>
          <w:rFonts w:ascii="Calibri" w:cs="Calibri" w:eastAsia="Calibri" w:hAnsi="Calibri"/>
          <w:sz w:val="21"/>
          <w:szCs w:val="21"/>
        </w:rPr>
        <w:t xml:space="preserve"> — bouncing across specialists, accumulating diagnostic and imaging claims, and never converging on a stable diagnosis or a therapeutic claim. This report proposes and demonstrates </w:t>
      </w:r>
      <w:r>
        <w:rPr>
          <w:rFonts w:ascii="Calibri" w:cs="Calibri" w:eastAsia="Calibri" w:hAnsi="Calibri"/>
          <w:b/>
          <w:bCs/>
          <w:sz w:val="21"/>
          <w:szCs w:val="21"/>
        </w:rPr>
        <w:t xml:space="preserve">CareTrace</w:t>
      </w:r>
      <w:r>
        <w:rPr>
          <w:rFonts w:ascii="Calibri" w:cs="Calibri" w:eastAsia="Calibri" w:hAnsi="Calibri"/>
          <w:sz w:val="21"/>
          <w:szCs w:val="21"/>
        </w:rPr>
        <w:t xml:space="preserve">, a lightweight, explainable prototype that detects fragmented, non-converging care episodes directly from claims sequences — no clinical notes, imaging, or genomic data required. The system trains an XGBoost classifier against an independently simulated chart-audit outcome, explains every flag with SHAP, clusters at-risk episodes into named fragmentation typologies, and cross-checks flags against a separate provider-level coding-drift signal. On a held-out test set the classifier reaches ROC-AUC 0.899 (PR-AUC 0.502). This is a research/hackathon-stage decision-support prototype, not a diagnostic device.</w:t>
      </w:r>
    </w:p>
    <w:p>
      <w:pPr>
        <w:pStyle w:val="Heading2"/>
        <w:spacing w:after="100" w:before="200"/>
      </w:pPr>
      <w:r>
        <w:rPr>
          <w:rFonts w:ascii="Calibri" w:cs="Calibri" w:eastAsia="Calibri" w:hAnsi="Calibri"/>
        </w:rPr>
        <w:t xml:space="preserve">1. Clinical Decision Making &amp; Pattern Recognition</w:t>
      </w:r>
    </w:p>
    <w:p>
      <w:pPr>
        <w:spacing w:after="120"/>
      </w:pPr>
      <w:r>
        <w:rPr>
          <w:rFonts w:ascii="Calibri" w:cs="Calibri" w:eastAsia="Calibri" w:hAnsi="Calibri"/>
          <w:sz w:val="21"/>
          <w:szCs w:val="21"/>
        </w:rPr>
        <w:t xml:space="preserve">The literature on "diagnostic odysseys" is well established but concentrated in rare-disease genomics and imaging — patients average years and multiple specialist visits before diagnosis (Rare disease diagnostic-odyssey research; see Bibliography). That work uses facial-image and genomic multimodal models unavailable to a payer analytics environment. What is </w:t>
      </w:r>
      <w:r>
        <w:rPr>
          <w:rFonts w:ascii="Calibri" w:cs="Calibri" w:eastAsia="Calibri" w:hAnsi="Calibri"/>
          <w:i/>
          <w:iCs/>
          <w:sz w:val="21"/>
          <w:szCs w:val="21"/>
        </w:rPr>
        <w:t xml:space="preserve">less commonly explored</w:t>
      </w:r>
      <w:r>
        <w:rPr>
          <w:rFonts w:ascii="Calibri" w:cs="Calibri" w:eastAsia="Calibri" w:hAnsi="Calibri"/>
          <w:sz w:val="21"/>
          <w:szCs w:val="21"/>
        </w:rPr>
        <w:t xml:space="preserve"> is detecting the same fragmentation signature — specialist fan-out, diagnostic-heavy claim mix, referral "ping-pong," stalled diagnosis-code convergence — using only claims data, the input a payer/provider analytics organization actually has at scale. CareTrace's contribution is not the odyssey concept itself, but a claims-only, graph-and-sequence detection approach to it, framed as clinical decision </w:t>
      </w:r>
      <w:r>
        <w:rPr>
          <w:rFonts w:ascii="Calibri" w:cs="Calibri" w:eastAsia="Calibri" w:hAnsi="Calibri"/>
          <w:i/>
          <w:iCs/>
          <w:sz w:val="21"/>
          <w:szCs w:val="21"/>
        </w:rPr>
        <w:t xml:space="preserve">support</w:t>
      </w:r>
      <w:r>
        <w:rPr>
          <w:rFonts w:ascii="Calibri" w:cs="Calibri" w:eastAsia="Calibri" w:hAnsi="Calibri"/>
          <w:sz w:val="21"/>
          <w:szCs w:val="21"/>
        </w:rPr>
        <w:t xml:space="preserve">: the system flags a pattern and its rationale; a human coordinator retains full authority over any outreach or clinical action.</w:t>
      </w:r>
    </w:p>
    <w:p>
      <w:pPr>
        <w:pStyle w:val="Heading2"/>
        <w:spacing w:after="100" w:before="200"/>
      </w:pPr>
      <w:r>
        <w:rPr>
          <w:rFonts w:ascii="Calibri" w:cs="Calibri" w:eastAsia="Calibri" w:hAnsi="Calibri"/>
        </w:rPr>
        <w:t xml:space="preserve">2. Current Technology and Emerging Trends</w:t>
      </w:r>
    </w:p>
    <w:p>
      <w:pPr>
        <w:spacing w:after="120"/>
      </w:pPr>
      <w:r>
        <w:rPr>
          <w:rFonts w:ascii="Calibri" w:cs="Calibri" w:eastAsia="Calibri" w:hAnsi="Calibri"/>
          <w:sz w:val="21"/>
          <w:szCs w:val="21"/>
        </w:rPr>
        <w:t xml:space="preserve">Healthcare pattern-recognition tooling has moved from rule-based utilization thresholds, to statistical/tree-based risk scoring, to — most recently — graph and sequence analytics borrowed from fraud detection and network security, plus generative/agentic AI for synthesis tasks. CareTrace deliberately does </w:t>
      </w:r>
      <w:r>
        <w:rPr>
          <w:rFonts w:ascii="Calibri" w:cs="Calibri" w:eastAsia="Calibri" w:hAnsi="Calibri"/>
          <w:b/>
          <w:bCs/>
          <w:sz w:val="21"/>
          <w:szCs w:val="21"/>
        </w:rPr>
        <w:t xml:space="preserve">not</w:t>
      </w:r>
      <w:r>
        <w:rPr>
          <w:rFonts w:ascii="Calibri" w:cs="Calibri" w:eastAsia="Calibri" w:hAnsi="Calibri"/>
          <w:sz w:val="21"/>
          <w:szCs w:val="21"/>
        </w:rPr>
        <w:t xml:space="preserve"> use an LLM for detection: fragmentation scoring is a structured, auditable, reproducible sequence/graph problem, and an LLM would add cost and non-determinism without improving accuracy. Generative AI is used only in a bounded, downstream role — composing a plain-language case narrative from already-computed structured signals for the care coordinator — never to decide, diagnose, or act.</w:t>
      </w:r>
    </w:p>
    <w:p>
      <w:pPr>
        <w:pStyle w:val="Heading2"/>
        <w:spacing w:after="100" w:before="200"/>
      </w:pPr>
      <w:r>
        <w:rPr>
          <w:rFonts w:ascii="Calibri" w:cs="Calibri" w:eastAsia="Calibri" w:hAnsi="Calibri"/>
        </w:rPr>
        <w:t xml:space="preserve">3. Proposed AI/ML Approach</w:t>
      </w:r>
    </w:p>
    <w:p>
      <w:pPr>
        <w:pStyle w:val="ListParagraph"/>
        <w:numPr>
          <w:ilvl w:val="0"/>
          <w:numId w:val="1"/>
        </w:numPr>
        <w:spacing w:after="60"/>
      </w:pPr>
      <w:r>
        <w:rPr>
          <w:rFonts w:ascii="Calibri" w:cs="Calibri" w:eastAsia="Calibri" w:hAnsi="Calibri"/>
          <w:sz w:val="21"/>
          <w:szCs w:val="21"/>
        </w:rPr>
        <w:t xml:space="preserve">Episode reconstruction &amp; feature engineering: specialty fan-out ratio, diagnostic-to-therapeutic claim ratio, diagnosis-code churn, visit-interval irregularity, referral "ping-pong" rate, and top-provider visit share — computed per episode with no label logic mixed in.</w:t>
      </w:r>
    </w:p>
    <w:p>
      <w:pPr>
        <w:pStyle w:val="ListParagraph"/>
        <w:numPr>
          <w:ilvl w:val="0"/>
          <w:numId w:val="1"/>
        </w:numPr>
        <w:spacing w:after="60"/>
      </w:pPr>
      <w:r>
        <w:rPr>
          <w:rFonts w:ascii="Calibri" w:cs="Calibri" w:eastAsia="Calibri" w:hAnsi="Calibri"/>
          <w:sz w:val="21"/>
          <w:szCs w:val="21"/>
        </w:rPr>
        <w:t xml:space="preserve">Supervised classification (XGBoost): trained against a chart-audit outcome generated by a process independent of the visible features — a latent "care complexity" value shapes both, but the label adds its own noise and an unobserved signal, avoiding the classic trap of a label that is a deterministic function of the model's own inputs. Held-out test performance: ROC-AUC 0.899, PR-AUC 0.502, precision 0.52 / recall 0.61 at a 0.5 threshold.</w:t>
      </w:r>
    </w:p>
    <w:p>
      <w:pPr>
        <w:pStyle w:val="ListParagraph"/>
        <w:numPr>
          <w:ilvl w:val="0"/>
          <w:numId w:val="1"/>
        </w:numPr>
        <w:spacing w:after="60"/>
      </w:pPr>
      <w:r>
        <w:rPr>
          <w:rFonts w:ascii="Calibri" w:cs="Calibri" w:eastAsia="Calibri" w:hAnsi="Calibri"/>
          <w:sz w:val="21"/>
          <w:szCs w:val="21"/>
        </w:rPr>
        <w:t xml:space="preserve">Explainability: SHAP (TreeExplainer) decomposes every flagged episode into its top contributing features, signed by direction — not a black-box score.</w:t>
      </w:r>
    </w:p>
    <w:p>
      <w:pPr>
        <w:pStyle w:val="ListParagraph"/>
        <w:numPr>
          <w:ilvl w:val="0"/>
          <w:numId w:val="1"/>
        </w:numPr>
        <w:spacing w:after="60"/>
      </w:pPr>
      <w:r>
        <w:rPr>
          <w:rFonts w:ascii="Calibri" w:cs="Calibri" w:eastAsia="Calibri" w:hAnsi="Calibri"/>
          <w:sz w:val="21"/>
          <w:szCs w:val="21"/>
        </w:rPr>
        <w:t xml:space="preserve">Typology clustering (K-Means): among at-risk episodes, groups into named, distinct fragmentation types — Specialist Fan-Out, Referral Ping-Pong, Diagnostic Loop — so a coordinator can triage differently by type.</w:t>
      </w:r>
    </w:p>
    <w:p>
      <w:pPr>
        <w:pStyle w:val="ListParagraph"/>
        <w:numPr>
          <w:ilvl w:val="0"/>
          <w:numId w:val="1"/>
        </w:numPr>
        <w:spacing w:after="60"/>
      </w:pPr>
      <w:r>
        <w:rPr>
          <w:rFonts w:ascii="Calibri" w:cs="Calibri" w:eastAsia="Calibri" w:hAnsi="Calibri"/>
          <w:sz w:val="21"/>
          <w:szCs w:val="21"/>
        </w:rPr>
        <w:t xml:space="preserve">Provider-level time-series drift: a separate check on each provider's own monthly diagnostic-claim-share baseline, flagged as corroborating context (not an accusation) when a flagged episode touches a drifting provider.</w:t>
      </w:r>
    </w:p>
    <w:p>
      <w:pPr>
        <w:pStyle w:val="ListParagraph"/>
        <w:numPr>
          <w:ilvl w:val="0"/>
          <w:numId w:val="1"/>
        </w:numPr>
        <w:spacing w:after="60"/>
      </w:pPr>
      <w:r>
        <w:rPr>
          <w:rFonts w:ascii="Calibri" w:cs="Calibri" w:eastAsia="Calibri" w:hAnsi="Calibri"/>
          <w:sz w:val="21"/>
          <w:szCs w:val="21"/>
        </w:rPr>
        <w:t xml:space="preserve">Bounded agentic layer: a review-packet composer assembles the already-computed classifier probability, SHAP factors, typology, and drift context into a plain-language narrative for the care coordinator — template-based in this offline POC, swappable to an LLM API without other code changes, and never a source of new detection logic.</w:t>
      </w:r>
    </w:p>
    <w:p>
      <w:pPr>
        <w:pStyle w:val="Heading2"/>
        <w:spacing w:after="100" w:before="200"/>
      </w:pPr>
      <w:r>
        <w:rPr>
          <w:rFonts w:ascii="Calibri" w:cs="Calibri" w:eastAsia="Calibri" w:hAnsi="Calibri"/>
        </w:rPr>
        <w:t xml:space="preserve">4. Opportunities and Strategic Value for Cotiviti</w:t>
      </w:r>
    </w:p>
    <w:p>
      <w:pPr>
        <w:pStyle w:val="ListParagraph"/>
        <w:numPr>
          <w:ilvl w:val="0"/>
          <w:numId w:val="1"/>
        </w:numPr>
        <w:spacing w:after="60"/>
      </w:pPr>
      <w:r>
        <w:rPr>
          <w:rFonts w:ascii="Calibri" w:cs="Calibri" w:eastAsia="Calibri" w:hAnsi="Calibri"/>
          <w:sz w:val="21"/>
          <w:szCs w:val="21"/>
        </w:rPr>
        <w:t xml:space="preserve">Treatment: prioritizes care-navigation outreach toward patients most likely stuck in an unproductive diagnostic loop.</w:t>
      </w:r>
    </w:p>
    <w:p>
      <w:pPr>
        <w:pStyle w:val="ListParagraph"/>
        <w:numPr>
          <w:ilvl w:val="0"/>
          <w:numId w:val="1"/>
        </w:numPr>
        <w:spacing w:after="60"/>
      </w:pPr>
      <w:r>
        <w:rPr>
          <w:rFonts w:ascii="Calibri" w:cs="Calibri" w:eastAsia="Calibri" w:hAnsi="Calibri"/>
          <w:sz w:val="21"/>
          <w:szCs w:val="21"/>
        </w:rPr>
        <w:t xml:space="preserve">Payment: surfaces a pattern associated with low-value repeat diagnostic spend, complementing existing payment-integrity and utilization-review workflows.</w:t>
      </w:r>
    </w:p>
    <w:p>
      <w:pPr>
        <w:pStyle w:val="ListParagraph"/>
        <w:numPr>
          <w:ilvl w:val="0"/>
          <w:numId w:val="1"/>
        </w:numPr>
        <w:spacing w:after="60"/>
      </w:pPr>
      <w:r>
        <w:rPr>
          <w:rFonts w:ascii="Calibri" w:cs="Calibri" w:eastAsia="Calibri" w:hAnsi="Calibri"/>
          <w:sz w:val="21"/>
          <w:szCs w:val="21"/>
        </w:rPr>
        <w:t xml:space="preserve">Operations: gives utilization management and case management a shared, explainable, typology-differentiated prioritization signal instead of ad hoc judgment calls.</w:t>
      </w:r>
    </w:p>
    <w:p>
      <w:pPr>
        <w:spacing w:after="120"/>
      </w:pPr>
      <w:r>
        <w:rPr>
          <w:rFonts w:ascii="Calibri" w:cs="Calibri" w:eastAsia="Calibri" w:hAnsi="Calibri"/>
          <w:sz w:val="21"/>
          <w:szCs w:val="21"/>
        </w:rPr>
        <w:t xml:space="preserve">Cotiviti could explore integrating a validated version of this pattern-detection approach into existing quality-analytics and payment-integrity workflows, where an explainable fragmentation signal could complement — not replace — existing clinical and utilization review.</w:t>
      </w:r>
    </w:p>
    <w:p>
      <w:pPr>
        <w:pStyle w:val="Heading2"/>
        <w:spacing w:after="100" w:before="200"/>
      </w:pPr>
      <w:r>
        <w:rPr>
          <w:rFonts w:ascii="Calibri" w:cs="Calibri" w:eastAsia="Calibri" w:hAnsi="Calibri"/>
        </w:rPr>
        <w:t xml:space="preserve">5. Risks, Threats, and Responsible AI</w:t>
      </w:r>
    </w:p>
    <w:p>
      <w:pPr>
        <w:pStyle w:val="ListParagraph"/>
        <w:numPr>
          <w:ilvl w:val="0"/>
          <w:numId w:val="1"/>
        </w:numPr>
        <w:spacing w:after="60"/>
      </w:pPr>
      <w:r>
        <w:rPr>
          <w:rFonts w:ascii="Calibri" w:cs="Calibri" w:eastAsia="Calibri" w:hAnsi="Calibri"/>
          <w:sz w:val="21"/>
          <w:szCs w:val="21"/>
        </w:rPr>
        <w:t xml:space="preserve">Human oversight: outputs are recommendations only; the system never diagnoses or acts autonomously — every review packet ends with an explicit human-sign-off requirement.</w:t>
      </w:r>
    </w:p>
    <w:p>
      <w:pPr>
        <w:pStyle w:val="ListParagraph"/>
        <w:numPr>
          <w:ilvl w:val="0"/>
          <w:numId w:val="1"/>
        </w:numPr>
        <w:spacing w:after="60"/>
      </w:pPr>
      <w:r>
        <w:rPr>
          <w:rFonts w:ascii="Calibri" w:cs="Calibri" w:eastAsia="Calibri" w:hAnsi="Calibri"/>
          <w:sz w:val="21"/>
          <w:szCs w:val="21"/>
        </w:rPr>
        <w:t xml:space="preserve">Bias &amp; fairness: typology clusters and classifier scores can still under- or over-flag patients from smaller or under-represented complaint groups; a subgroup performance audit (age, geography, payer type) is required before any pilot, consistent with known failure modes in commercial health algorithms (Obermeyer et al., 2019).</w:t>
      </w:r>
    </w:p>
    <w:p>
      <w:pPr>
        <w:pStyle w:val="ListParagraph"/>
        <w:numPr>
          <w:ilvl w:val="0"/>
          <w:numId w:val="1"/>
        </w:numPr>
        <w:spacing w:after="60"/>
      </w:pPr>
      <w:r>
        <w:rPr>
          <w:rFonts w:ascii="Calibri" w:cs="Calibri" w:eastAsia="Calibri" w:hAnsi="Calibri"/>
          <w:sz w:val="21"/>
          <w:szCs w:val="21"/>
        </w:rPr>
        <w:t xml:space="preserve">Label validity: the training label is a simulated chart-audit outcome, not a real clinical determination — "diagnostic odyssey" is not a label coded at scale today. A real deployment requires bootstrapping an actual chart-review process before training against real outcomes.</w:t>
      </w:r>
    </w:p>
    <w:p>
      <w:pPr>
        <w:pStyle w:val="ListParagraph"/>
        <w:numPr>
          <w:ilvl w:val="0"/>
          <w:numId w:val="1"/>
        </w:numPr>
        <w:spacing w:after="60"/>
      </w:pPr>
      <w:r>
        <w:rPr>
          <w:rFonts w:ascii="Calibri" w:cs="Calibri" w:eastAsia="Calibri" w:hAnsi="Calibri"/>
          <w:sz w:val="21"/>
          <w:szCs w:val="21"/>
        </w:rPr>
        <w:t xml:space="preserve">Explainability: every flag ships with its SHAP-attributed contributing factors (Lundberg &amp; Lee, 2017), not just a probability.</w:t>
      </w:r>
    </w:p>
    <w:p>
      <w:pPr>
        <w:pStyle w:val="ListParagraph"/>
        <w:numPr>
          <w:ilvl w:val="0"/>
          <w:numId w:val="1"/>
        </w:numPr>
        <w:spacing w:after="60"/>
      </w:pPr>
      <w:r>
        <w:rPr>
          <w:rFonts w:ascii="Calibri" w:cs="Calibri" w:eastAsia="Calibri" w:hAnsi="Calibri"/>
          <w:sz w:val="21"/>
          <w:szCs w:val="21"/>
        </w:rPr>
        <w:t xml:space="preserve">Data quality &amp; drift: both the classifier and the provider-drift baselines must be monitored and periodically retrained as care patterns and coding practices shift, consistent with FDA Good Machine Learning Practice guidance (U.S. FDA, 2021) and the NIST AI Risk Management Framework (NIST, 2023).</w:t>
      </w:r>
    </w:p>
    <w:p>
      <w:pPr>
        <w:pStyle w:val="ListParagraph"/>
        <w:numPr>
          <w:ilvl w:val="0"/>
          <w:numId w:val="1"/>
        </w:numPr>
        <w:spacing w:after="60"/>
      </w:pPr>
      <w:r>
        <w:rPr>
          <w:rFonts w:ascii="Calibri" w:cs="Calibri" w:eastAsia="Calibri" w:hAnsi="Calibri"/>
          <w:sz w:val="21"/>
          <w:szCs w:val="21"/>
        </w:rPr>
        <w:t xml:space="preserve">False positives/negatives: the review threshold is an operational decision requiring care-management input, not a fixed default — this POC intentionally favors recall over precision, since a missed fragmented episode costs more than an unnecessary review.</w:t>
      </w:r>
    </w:p>
    <w:p>
      <w:pPr>
        <w:pStyle w:val="ListParagraph"/>
        <w:numPr>
          <w:ilvl w:val="0"/>
          <w:numId w:val="1"/>
        </w:numPr>
        <w:spacing w:after="60"/>
      </w:pPr>
      <w:r>
        <w:rPr>
          <w:rFonts w:ascii="Calibri" w:cs="Calibri" w:eastAsia="Calibri" w:hAnsi="Calibri"/>
          <w:sz w:val="21"/>
          <w:szCs w:val="21"/>
        </w:rPr>
        <w:t xml:space="preserve">Provider drift is corroborating context, not a fraud or abuse finding — every drift flag is explicitly labeled for independent review, never presented as a conclusion.</w:t>
      </w:r>
    </w:p>
    <w:p>
      <w:pPr>
        <w:spacing w:after="120"/>
      </w:pPr>
      <w:r>
        <w:rPr>
          <w:rFonts w:ascii="Calibri" w:cs="Calibri" w:eastAsia="Calibri" w:hAnsi="Calibri"/>
          <w:b/>
          <w:bCs/>
          <w:sz w:val="21"/>
          <w:szCs w:val="21"/>
        </w:rPr>
        <w:t xml:space="preserve">What this system must never do: </w:t>
      </w:r>
      <w:r>
        <w:rPr>
          <w:rFonts w:ascii="Calibri" w:cs="Calibri" w:eastAsia="Calibri" w:hAnsi="Calibri"/>
          <w:sz w:val="21"/>
          <w:szCs w:val="21"/>
        </w:rPr>
        <w:t xml:space="preserve">diagnose a condition, contact a patient autonomously, name a provider as fraudulent, or be treated as a substitute for clinical judgment. It is a prioritization aid for human review.</w:t>
      </w:r>
    </w:p>
    <w:p>
      <w:pPr>
        <w:pStyle w:val="Heading2"/>
        <w:spacing w:after="100" w:before="200"/>
      </w:pPr>
      <w:r>
        <w:rPr>
          <w:rFonts w:ascii="Calibri" w:cs="Calibri" w:eastAsia="Calibri" w:hAnsi="Calibri"/>
        </w:rPr>
        <w:t xml:space="preserve">6. Recommended Strategic Investment / Next Steps</w:t>
      </w:r>
    </w:p>
    <w:p>
      <w:pPr>
        <w:pStyle w:val="ListParagraph"/>
        <w:numPr>
          <w:ilvl w:val="0"/>
          <w:numId w:val="1"/>
        </w:numPr>
        <w:spacing w:after="60"/>
      </w:pPr>
      <w:r>
        <w:rPr>
          <w:rFonts w:ascii="Calibri" w:cs="Calibri" w:eastAsia="Calibri" w:hAnsi="Calibri"/>
          <w:sz w:val="21"/>
          <w:szCs w:val="21"/>
        </w:rPr>
        <w:t xml:space="preserve">Validate the pipeline against real, de-identified claims data and real case-manager-confirmed chart-review outcomes under appropriate governance.</w:t>
      </w:r>
    </w:p>
    <w:p>
      <w:pPr>
        <w:pStyle w:val="ListParagraph"/>
        <w:numPr>
          <w:ilvl w:val="0"/>
          <w:numId w:val="1"/>
        </w:numPr>
        <w:spacing w:after="60"/>
      </w:pPr>
      <w:r>
        <w:rPr>
          <w:rFonts w:ascii="Calibri" w:cs="Calibri" w:eastAsia="Calibri" w:hAnsi="Calibri"/>
          <w:sz w:val="21"/>
          <w:szCs w:val="21"/>
        </w:rPr>
        <w:t xml:space="preserve">Run a subgroup fairness audit before any pilot.</w:t>
      </w:r>
    </w:p>
    <w:p>
      <w:pPr>
        <w:pStyle w:val="ListParagraph"/>
        <w:numPr>
          <w:ilvl w:val="0"/>
          <w:numId w:val="1"/>
        </w:numPr>
        <w:spacing w:after="60"/>
      </w:pPr>
      <w:r>
        <w:rPr>
          <w:rFonts w:ascii="Calibri" w:cs="Calibri" w:eastAsia="Calibri" w:hAnsi="Calibri"/>
          <w:sz w:val="21"/>
          <w:szCs w:val="21"/>
        </w:rPr>
        <w:t xml:space="preserve">Pilot with a care-management team on a small population, with a clear human-in-the-loop escalation protocol.</w:t>
      </w:r>
    </w:p>
    <w:p>
      <w:pPr>
        <w:pStyle w:val="ListParagraph"/>
        <w:numPr>
          <w:ilvl w:val="0"/>
          <w:numId w:val="1"/>
        </w:numPr>
        <w:spacing w:after="60"/>
      </w:pPr>
      <w:r>
        <w:rPr>
          <w:rFonts w:ascii="Calibri" w:cs="Calibri" w:eastAsia="Calibri" w:hAnsi="Calibri"/>
          <w:sz w:val="21"/>
          <w:szCs w:val="21"/>
        </w:rPr>
        <w:t xml:space="preserve">Establish periodic retraining of both the classifier and provider-drift baselines to track shifts in care and coding patterns.</w:t>
      </w:r>
    </w:p>
    <w:p>
      <w:pPr>
        <w:pStyle w:val="Heading2"/>
        <w:spacing w:after="100" w:before="200"/>
      </w:pPr>
      <w:r>
        <w:rPr>
          <w:rFonts w:ascii="Calibri" w:cs="Calibri" w:eastAsia="Calibri" w:hAnsi="Calibri"/>
        </w:rPr>
        <w:t xml:space="preserve">Conclusion</w:t>
      </w:r>
    </w:p>
    <w:p>
      <w:pPr>
        <w:spacing w:after="120"/>
      </w:pPr>
      <w:r>
        <w:rPr>
          <w:rFonts w:ascii="Calibri" w:cs="Calibri" w:eastAsia="Calibri" w:hAnsi="Calibri"/>
          <w:sz w:val="21"/>
          <w:szCs w:val="21"/>
        </w:rPr>
        <w:t xml:space="preserve">CareTrace demonstrates that claims-only sequence and graph features can train an explainable classifier that surfaces a clinically and financially meaningful signal — care fragmentation — that per-encounter review and single-score risk models structurally cannot see. The approach shown here — a leakage-checked label design, SHAP explainability, interpretable typology clustering, an independent provider-drift cross-check, and a strictly bounded role for generative AI — reflects the responsible-AI posture required for any real deployment in a payer/provider analytics context.</w:t>
      </w:r>
    </w:p>
    <w:p>
      <w:pPr>
        <w:pStyle w:val="Heading2"/>
        <w:spacing w:after="100" w:before="200"/>
      </w:pPr>
      <w:r>
        <w:rPr>
          <w:rFonts w:ascii="Calibri" w:cs="Calibri" w:eastAsia="Calibri" w:hAnsi="Calibri"/>
        </w:rPr>
        <w:t xml:space="preserve">Bibliography</w:t>
      </w:r>
    </w:p>
    <w:p>
      <w:pPr>
        <w:spacing w:after="100"/>
      </w:pPr>
      <w:r>
        <w:rPr>
          <w:rFonts w:ascii="Calibri" w:cs="Calibri" w:eastAsia="Calibri" w:hAnsi="Calibri"/>
          <w:sz w:val="19"/>
          <w:szCs w:val="19"/>
        </w:rPr>
        <w:t xml:space="preserve">Blazek, K., et al. (2025). A labeled medical records corpus for the timely detection of rare diseases using machine learning approaches. Scientific Reports. https://www.nature.com/articles/s41598-025-90450-0</w:t>
      </w:r>
    </w:p>
    <w:p>
      <w:pPr>
        <w:spacing w:after="100"/>
      </w:pPr>
      <w:r>
        <w:rPr>
          <w:rFonts w:ascii="Calibri" w:cs="Calibri" w:eastAsia="Calibri" w:hAnsi="Calibri"/>
          <w:sz w:val="19"/>
          <w:szCs w:val="19"/>
        </w:rPr>
        <w:t xml:space="preserve">Centers for Medicare &amp; Medicaid Services. (n.d.). Medicare Claims Synthetic Public Use Files (SynPUF). U.S. Department of Health and Human Services. https://www.cms.gov/data-research/statistics-trends-reports/medicare-claims-synthetic-public-use-files</w:t>
      </w:r>
    </w:p>
    <w:p>
      <w:pPr>
        <w:spacing w:after="100"/>
      </w:pPr>
      <w:r>
        <w:rPr>
          <w:rFonts w:ascii="Calibri" w:cs="Calibri" w:eastAsia="Calibri" w:hAnsi="Calibri"/>
          <w:sz w:val="19"/>
          <w:szCs w:val="19"/>
        </w:rPr>
        <w:t xml:space="preserve">Chen, T., &amp; Guestrin, C. (2016). XGBoost: A scalable tree boosting system. Proceedings of the 22nd ACM SIGKDD International Conference on Knowledge Discovery and Data Mining, 785–794. https://doi.org/10.1145/2939672.2939785</w:t>
      </w:r>
    </w:p>
    <w:p>
      <w:pPr>
        <w:spacing w:after="100"/>
      </w:pPr>
      <w:r>
        <w:rPr>
          <w:rFonts w:ascii="Calibri" w:cs="Calibri" w:eastAsia="Calibri" w:hAnsi="Calibri"/>
          <w:sz w:val="19"/>
          <w:szCs w:val="19"/>
        </w:rPr>
        <w:t xml:space="preserve">Lundberg, S. M., &amp; Lee, S.-I. (2017). A unified approach to interpreting model predictions. Advances in Neural Information Processing Systems, 30, 4765–4774.</w:t>
      </w:r>
    </w:p>
    <w:p>
      <w:pPr>
        <w:spacing w:after="100"/>
      </w:pPr>
      <w:r>
        <w:rPr>
          <w:rFonts w:ascii="Calibri" w:cs="Calibri" w:eastAsia="Calibri" w:hAnsi="Calibri"/>
          <w:sz w:val="19"/>
          <w:szCs w:val="19"/>
        </w:rPr>
        <w:t xml:space="preserve">National Institute of Standards and Technology. (2023). Artificial intelligence risk management framework (AI RMF 1.0). U.S. Department of Commerce. https://doi.org/10.6028/NIST.AI.100-1</w:t>
      </w:r>
    </w:p>
    <w:p>
      <w:pPr>
        <w:spacing w:after="100"/>
      </w:pPr>
      <w:r>
        <w:rPr>
          <w:rFonts w:ascii="Calibri" w:cs="Calibri" w:eastAsia="Calibri" w:hAnsi="Calibri"/>
          <w:sz w:val="19"/>
          <w:szCs w:val="19"/>
        </w:rPr>
        <w:t xml:space="preserve">Obermeyer, Z., Powers, B., Vogeli, C., &amp; Mullainathan, S. (2019). Dissecting racial bias in an algorithm used to manage the health of populations. Science, 366(6464), 447–453. https://doi.org/10.1126/science.aax2342</w:t>
      </w:r>
    </w:p>
    <w:p>
      <w:pPr>
        <w:spacing w:after="100"/>
      </w:pPr>
      <w:r>
        <w:rPr>
          <w:rFonts w:ascii="Calibri" w:cs="Calibri" w:eastAsia="Calibri" w:hAnsi="Calibri"/>
          <w:sz w:val="19"/>
          <w:szCs w:val="19"/>
        </w:rPr>
        <w:t xml:space="preserve">Unifying the odyssey: artificial intelligence for rare disease diagnosis and therapy. (2025). PMC. https://pmc.ncbi.nlm.nih.gov/articles/PMC13045663/</w:t>
      </w:r>
    </w:p>
    <w:p>
      <w:pPr>
        <w:spacing w:after="100"/>
      </w:pPr>
      <w:r>
        <w:rPr>
          <w:rFonts w:ascii="Calibri" w:cs="Calibri" w:eastAsia="Calibri" w:hAnsi="Calibri"/>
          <w:sz w:val="19"/>
          <w:szCs w:val="19"/>
        </w:rPr>
        <w:t xml:space="preserve">U.S. Food and Drug Administration. (2021). Artificial Intelligence/Machine Learning (AI/ML)-Based Software as a Medical Device (SaMD) Action Plan. U.S. Department of Health and Human Services. https://www.fda.gov/media/145022/download</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2026-08-10T21:05:28.151Z</dcterms:created>
  <dcterms:modified xsi:type="dcterms:W3CDTF">2026-08-10T21:05:28.151Z</dcterms:modified>
</cp:coreProperties>
</file>

<file path=docProps/custom.xml><?xml version="1.0" encoding="utf-8"?>
<Properties xmlns="http://schemas.openxmlformats.org/officeDocument/2006/custom-properties" xmlns:vt="http://schemas.openxmlformats.org/officeDocument/2006/docPropsVTypes"/>
</file>