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500"/>
        <w:jc w:val="center"/>
      </w:pPr>
      <w:r>
        <w:drawing>
          <wp:inline distT="0" distB="0" distL="0" distR="0">
            <wp:extent cx="2857500" cy="1428750"/>
            <wp:effectExtent t="0" r="0" b="0" l="0"/>
            <wp:docPr id="1" name="logo" descr="Logo IALAB" title="IA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428750"/>
                    </a:xfrm>
                    <a:prstGeom prst="rect">
                      <a:avLst/>
                    </a:prstGeom>
                  </pic:spPr>
                </pic:pic>
              </a:graphicData>
            </a:graphic>
          </wp:inline>
        </w:drawing>
      </w:r>
    </w:p>
    <w:p>
      <w:pPr>
        <w:spacing w:after="120"/>
        <w:jc w:val="center"/>
      </w:pPr>
      <w:r>
        <w:rPr>
          <w:rFonts w:ascii="Roboto" w:cs="Roboto" w:eastAsia="Roboto" w:hAnsi="Roboto"/>
          <w:b/>
          <w:bCs/>
          <w:color w:val="0B2545"/>
          <w:sz w:val="44"/>
          <w:szCs w:val="44"/>
        </w:rPr>
        <w:t xml:space="preserve">Etapa 2 — Vinculación contextual</w:t>
      </w:r>
    </w:p>
    <w:p>
      <w:pPr>
        <w:spacing w:after="200"/>
        <w:jc w:val="center"/>
      </w:pPr>
      <w:r>
        <w:rPr>
          <w:rFonts w:ascii="Calibri" w:cs="Calibri" w:eastAsia="Calibri" w:hAnsi="Calibri"/>
          <w:color w:val="445A84"/>
          <w:sz w:val="26"/>
          <w:szCs w:val="26"/>
        </w:rPr>
        <w:t xml:space="preserve">Capa semántica, conjunto etiquetado y aprendizaje sobre grafos</w:t>
      </w:r>
    </w:p>
    <w:p>
      <w:pPr>
        <w:pBdr>
          <w:bottom w:val="single" w:color="A8B6C9" w:sz="8" w:space="8"/>
        </w:pBdr>
        <w:spacing w:after="260"/>
        <w:jc w:val="center"/>
      </w:pPr>
    </w:p>
    <w:p>
      <w:pPr>
        <w:spacing w:after="40"/>
        <w:jc w:val="center"/>
      </w:pPr>
      <w:r>
        <w:rPr>
          <w:rFonts w:ascii="Calibri" w:cs="Calibri" w:eastAsia="Calibri" w:hAnsi="Calibri"/>
          <w:color w:val="445A84"/>
          <w:sz w:val="20"/>
          <w:szCs w:val="20"/>
        </w:rPr>
        <w:t xml:space="preserve">Bóveda CIJ — módulo de grafos</w:t>
      </w:r>
    </w:p>
    <w:p>
      <w:pPr>
        <w:spacing w:after="40"/>
        <w:jc w:val="center"/>
      </w:pPr>
      <w:r>
        <w:rPr>
          <w:rFonts w:ascii="Calibri" w:cs="Calibri" w:eastAsia="Calibri" w:hAnsi="Calibri"/>
          <w:color w:val="445A84"/>
          <w:sz w:val="20"/>
          <w:szCs w:val="20"/>
        </w:rPr>
        <w:t xml:space="preserve">IALAB — Facultad de Derecho, Universidad de Buenos Aires</w:t>
      </w:r>
    </w:p>
    <w:p>
      <w:pPr>
        <w:spacing w:after="40"/>
        <w:jc w:val="center"/>
      </w:pPr>
      <w:r>
        <w:rPr>
          <w:rFonts w:ascii="Calibri" w:cs="Calibri" w:eastAsia="Calibri" w:hAnsi="Calibri"/>
          <w:color w:val="445A84"/>
          <w:sz w:val="20"/>
          <w:szCs w:val="20"/>
        </w:rPr>
        <w:t xml:space="preserve">Documento de arquitectura e ingeniería · Versión 1.0</w:t>
      </w:r>
    </w:p>
    <w:p>
      <w:pPr>
        <w:spacing w:after="40"/>
        <w:jc w:val="center"/>
      </w:pPr>
      <w:r>
        <w:rPr>
          <w:rFonts w:ascii="Calibri" w:cs="Calibri" w:eastAsia="Calibri" w:hAnsi="Calibri"/>
          <w:color w:val="445A84"/>
          <w:sz w:val="20"/>
          <w:szCs w:val="20"/>
        </w:rPr>
        <w:t xml:space="preserve">Ontología de referencia: 0.3.0</w:t>
      </w:r>
    </w:p>
    <w:p>
      <w:r>
        <w:br w:type="page"/>
      </w:r>
    </w:p>
    <w:p>
      <w:pPr>
        <w:spacing w:after="160" w:line="288"/>
        <w:jc w:val="both"/>
      </w:pPr>
      <w:r>
        <w:rPr>
          <w:rFonts w:ascii="Calibri" w:cs="Calibri" w:eastAsia="Calibri" w:hAnsi="Calibri"/>
          <w:color w:val="242424"/>
          <w:sz w:val="22"/>
          <w:szCs w:val="22"/>
        </w:rPr>
        <w:t xml:space="preserve">Este documento define qué se construye en la Etapa 2, en qué orden, con qué tecnologías, bajo qué criterios se acepta cada pieza y cómo se integra con el circuito de decisión que ya opera.</w:t>
      </w:r>
    </w:p>
    <w:p>
      <w:pPr>
        <w:pStyle w:val="Heading1"/>
        <w:keepNext/>
        <w:spacing w:after="140" w:before="340"/>
      </w:pPr>
      <w:r>
        <w:rPr>
          <w:rFonts w:ascii="Roboto" w:cs="Roboto" w:eastAsia="Roboto" w:hAnsi="Roboto"/>
          <w:b/>
          <w:bCs/>
          <w:color w:val="0B2545"/>
          <w:sz w:val="30"/>
          <w:szCs w:val="30"/>
        </w:rPr>
        <w:t xml:space="preserve">1. Objeto</w:t>
      </w:r>
    </w:p>
    <w:p>
      <w:pPr>
        <w:spacing w:after="160" w:line="288"/>
        <w:jc w:val="both"/>
      </w:pPr>
      <w:r>
        <w:rPr>
          <w:rFonts w:ascii="Calibri" w:cs="Calibri" w:eastAsia="Calibri" w:hAnsi="Calibri"/>
          <w:color w:val="242424"/>
          <w:sz w:val="22"/>
          <w:szCs w:val="22"/>
        </w:rPr>
        <w:t xml:space="preserve">La Etapa 1 vincula reportes cuando comparten un identificador: una cuenta, un dispositivo, un teléfono, un hash de archivo, una dirección IP dentro de la ventana de reasignación de su prestador. Son reglas deterministas, auditables y explicables en prosa, y resuelven el caso en que el dato objetivo existe y coincide.</w:t>
      </w:r>
    </w:p>
    <w:p>
      <w:pPr>
        <w:spacing w:after="160" w:line="288"/>
        <w:jc w:val="both"/>
      </w:pPr>
      <w:r>
        <w:rPr>
          <w:rFonts w:ascii="Calibri" w:cs="Calibri" w:eastAsia="Calibri" w:hAnsi="Calibri"/>
          <w:color w:val="242424"/>
          <w:sz w:val="22"/>
          <w:szCs w:val="22"/>
        </w:rPr>
        <w:t xml:space="preserve">La Etapa 2 aborda el caso en que </w:t>
      </w:r>
      <w:r>
        <w:rPr>
          <w:rFonts w:ascii="Calibri" w:cs="Calibri" w:eastAsia="Calibri" w:hAnsi="Calibri"/>
          <w:b/>
          <w:bCs/>
          <w:color w:val="242424"/>
          <w:sz w:val="22"/>
          <w:szCs w:val="22"/>
        </w:rPr>
        <w:t xml:space="preserve">no existe ese dato objetivo y la relación igual está</w:t>
      </w:r>
      <w:r>
        <w:rPr>
          <w:rFonts w:ascii="Calibri" w:cs="Calibri" w:eastAsia="Calibri" w:hAnsi="Calibri"/>
          <w:color w:val="242424"/>
          <w:sz w:val="22"/>
          <w:szCs w:val="22"/>
        </w:rPr>
        <w:t xml:space="preserve">: dos reportes que describen la misma forma de operar, el mismo guion de aproximación, el mismo tipo de material, la misma franja etaria de las víctimas, la misma secuencia de plataformas. Un operador con experiencia los relaciona leyéndolos. El sistema, hoy, no. Esa es la vinculación contextual, y este documento define cómo se construye.</w:t>
      </w:r>
    </w:p>
    <w:p>
      <w:pPr>
        <w:spacing w:after="160" w:line="288"/>
        <w:jc w:val="both"/>
      </w:pPr>
      <w:r>
        <w:rPr>
          <w:rFonts w:ascii="Calibri" w:cs="Calibri" w:eastAsia="Calibri" w:hAnsi="Calibri"/>
          <w:color w:val="242424"/>
          <w:sz w:val="22"/>
          <w:szCs w:val="22"/>
        </w:rPr>
        <w:t xml:space="preserve">El objetivo operativo es concreto y medible: </w:t>
      </w:r>
      <w:r>
        <w:rPr>
          <w:rFonts w:ascii="Calibri" w:cs="Calibri" w:eastAsia="Calibri" w:hAnsi="Calibri"/>
          <w:b/>
          <w:bCs/>
          <w:color w:val="242424"/>
          <w:sz w:val="22"/>
          <w:szCs w:val="22"/>
        </w:rPr>
        <w:t xml:space="preserve">reducir el trabajo de un operador para encontrar antecedentes relevantes</w:t>
      </w:r>
      <w:r>
        <w:rPr>
          <w:rFonts w:ascii="Calibri" w:cs="Calibri" w:eastAsia="Calibri" w:hAnsi="Calibri"/>
          <w:color w:val="242424"/>
          <w:sz w:val="22"/>
          <w:szCs w:val="22"/>
        </w:rPr>
        <w:t xml:space="preserve">, elevando a su atención pares de reportes que merecen revisión y que ninguna regla determinista habría propuesto. El objetivo no es reemplazar el criterio humano ni producir conclusiones automáticas: toda salida de esta capa entra al circuito con el mismo estatuto que cualquier otra hipótesis, como propuesta pendiente de validación y con su fundamento a la vista.</w:t>
      </w:r>
    </w:p>
    <w:p>
      <w:pPr>
        <w:pStyle w:val="Heading1"/>
        <w:keepNext/>
        <w:spacing w:after="140" w:before="340"/>
      </w:pPr>
      <w:r>
        <w:rPr>
          <w:rFonts w:ascii="Roboto" w:cs="Roboto" w:eastAsia="Roboto" w:hAnsi="Roboto"/>
          <w:b/>
          <w:bCs/>
          <w:color w:val="0B2545"/>
          <w:sz w:val="30"/>
          <w:szCs w:val="30"/>
        </w:rPr>
        <w:t xml:space="preserve">2. El problema</w:t>
      </w:r>
    </w:p>
    <w:p>
      <w:pPr>
        <w:pStyle w:val="Heading2"/>
        <w:keepNext/>
        <w:spacing w:after="100" w:before="240"/>
      </w:pPr>
      <w:r>
        <w:rPr>
          <w:rFonts w:ascii="Roboto" w:cs="Roboto" w:eastAsia="Roboto" w:hAnsi="Roboto"/>
          <w:b/>
          <w:bCs/>
          <w:color w:val="0B2545"/>
          <w:sz w:val="25"/>
          <w:szCs w:val="25"/>
        </w:rPr>
        <w:t xml:space="preserve">2.1 Formulación técnica</w:t>
      </w:r>
    </w:p>
    <w:p>
      <w:pPr>
        <w:spacing w:after="160" w:line="288"/>
        <w:jc w:val="both"/>
      </w:pPr>
      <w:r>
        <w:rPr>
          <w:rFonts w:ascii="Calibri" w:cs="Calibri" w:eastAsia="Calibri" w:hAnsi="Calibri"/>
          <w:color w:val="242424"/>
          <w:sz w:val="22"/>
          <w:szCs w:val="22"/>
        </w:rPr>
        <w:t xml:space="preserve">Dado el conjunto de reportes y un reporte en análisis, se trata de producir un ranking de los reportes restantes por probabilidad de que exista una relación sustantiva entre ambos, junto con la evidencia que sostiene esa probabilidad. Es un problema de predicción de enlaces sobre un grafo heterogéneo con atributos textuales, con tres condiciones que lo separan del caso académico habitual.</w:t>
      </w:r>
    </w:p>
    <w:p>
      <w:pPr>
        <w:pStyle w:val="ListParagraph"/>
        <w:numPr>
          <w:ilvl w:val="0"/>
          <w:numId w:val="2"/>
        </w:numPr>
        <w:spacing w:after="80" w:line="284"/>
        <w:jc w:val="both"/>
      </w:pPr>
      <w:r>
        <w:rPr>
          <w:rFonts w:ascii="Calibri" w:cs="Calibri" w:eastAsia="Calibri" w:hAnsi="Calibri"/>
          <w:b/>
          <w:bCs/>
          <w:color w:val="242424"/>
          <w:sz w:val="22"/>
          <w:szCs w:val="22"/>
        </w:rPr>
        <w:t xml:space="preserve">Los negativos no están observados. </w:t>
      </w:r>
      <w:r>
        <w:rPr>
          <w:rFonts w:ascii="Calibri" w:cs="Calibri" w:eastAsia="Calibri" w:hAnsi="Calibri"/>
          <w:color w:val="242424"/>
          <w:sz w:val="22"/>
          <w:szCs w:val="22"/>
        </w:rPr>
        <w:t xml:space="preserve">Que dos reportes no estén vinculados no significa que no se relacionen: significa que nadie encontró el vínculo o que la evidencia no alcanzó. Tratar cada par no vinculado como un ejemplo negativo produce un modelo que aprende a reproducir las omisiones del archivo.</w:t>
      </w:r>
    </w:p>
    <w:p>
      <w:pPr>
        <w:pStyle w:val="ListParagraph"/>
        <w:numPr>
          <w:ilvl w:val="0"/>
          <w:numId w:val="2"/>
        </w:numPr>
        <w:spacing w:after="80" w:line="284"/>
        <w:jc w:val="both"/>
      </w:pPr>
      <w:r>
        <w:rPr>
          <w:rFonts w:ascii="Calibri" w:cs="Calibri" w:eastAsia="Calibri" w:hAnsi="Calibri"/>
          <w:b/>
          <w:bCs/>
          <w:color w:val="242424"/>
          <w:sz w:val="22"/>
          <w:szCs w:val="22"/>
        </w:rPr>
        <w:t xml:space="preserve">El costo de los errores es asimétrico. </w:t>
      </w:r>
      <w:r>
        <w:rPr>
          <w:rFonts w:ascii="Calibri" w:cs="Calibri" w:eastAsia="Calibri" w:hAnsi="Calibri"/>
          <w:color w:val="242424"/>
          <w:sz w:val="22"/>
          <w:szCs w:val="22"/>
        </w:rPr>
        <w:t xml:space="preserve">Un falso negativo cuesta un antecedente que no se revisó. Un falso positivo cuesta tiempo de un operador y, si se presenta mal, contamina una actuación con una relación que no existe.</w:t>
      </w:r>
    </w:p>
    <w:p>
      <w:pPr>
        <w:pStyle w:val="ListParagraph"/>
        <w:numPr>
          <w:ilvl w:val="0"/>
          <w:numId w:val="2"/>
        </w:numPr>
        <w:spacing w:after="80" w:line="284"/>
        <w:jc w:val="both"/>
      </w:pPr>
      <w:r>
        <w:rPr>
          <w:rFonts w:ascii="Calibri" w:cs="Calibri" w:eastAsia="Calibri" w:hAnsi="Calibri"/>
          <w:b/>
          <w:bCs/>
          <w:color w:val="242424"/>
          <w:sz w:val="22"/>
          <w:szCs w:val="22"/>
        </w:rPr>
        <w:t xml:space="preserve">Una propuesta sin fundamento no sirve. </w:t>
      </w:r>
      <w:r>
        <w:rPr>
          <w:rFonts w:ascii="Calibri" w:cs="Calibri" w:eastAsia="Calibri" w:hAnsi="Calibri"/>
          <w:color w:val="242424"/>
          <w:sz w:val="22"/>
          <w:szCs w:val="22"/>
        </w:rPr>
        <w:t xml:space="preserve">Un ranking sin explicación no es accionable: quien lo recibe no puede decidir si seguirlo, y menos aún incorporarlo a un expediente.</w:t>
      </w:r>
    </w:p>
    <w:p>
      <w:pPr>
        <w:pStyle w:val="Heading2"/>
        <w:keepNext/>
        <w:spacing w:after="100" w:before="240"/>
      </w:pPr>
      <w:r>
        <w:rPr>
          <w:rFonts w:ascii="Roboto" w:cs="Roboto" w:eastAsia="Roboto" w:hAnsi="Roboto"/>
          <w:b/>
          <w:bCs/>
          <w:color w:val="0B2545"/>
          <w:sz w:val="25"/>
          <w:szCs w:val="25"/>
        </w:rPr>
        <w:t xml:space="preserve">2.2 Qué se considera una relación sustantiva</w:t>
      </w:r>
    </w:p>
    <w:p>
      <w:pPr>
        <w:spacing w:after="160" w:line="288"/>
        <w:jc w:val="both"/>
      </w:pPr>
      <w:r>
        <w:rPr>
          <w:rFonts w:ascii="Calibri" w:cs="Calibri" w:eastAsia="Calibri" w:hAnsi="Calibri"/>
          <w:color w:val="242424"/>
          <w:sz w:val="22"/>
          <w:szCs w:val="22"/>
        </w:rPr>
        <w:t xml:space="preserve">La vinculación contextual amplía el vocabulario de relaciones. Se definen cuatro tipos, que se etiquetan por separado porque tienen valor probatorio distinto.</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800"/>
        <w:gridCol w:w="3272"/>
      </w:tblGrid>
      <w:tr>
        <w:trPr>
          <w:tblHeader/>
        </w:trPr>
        <w:tc>
          <w:tcPr>
            <w:tcW w:type="dxa" w:w="20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Tipo</w:t>
            </w:r>
          </w:p>
        </w:tc>
        <w:tc>
          <w:tcPr>
            <w:tcW w:type="dxa" w:w="38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Definición operativa</w:t>
            </w:r>
          </w:p>
        </w:tc>
        <w:tc>
          <w:tcPr>
            <w:tcW w:type="dxa" w:w="32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Ejemplo</w:t>
            </w:r>
          </w:p>
        </w:tc>
      </w:tr>
      <w:tr>
        <w:tc>
          <w:tcPr>
            <w:tcW w:type="dxa" w:w="2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Mismo autor</w:t>
            </w:r>
          </w:p>
        </w:tc>
        <w:tc>
          <w:tcPr>
            <w:tcW w:type="dxa" w:w="3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Los reportes describen conductas atribuibles a la misma persona, sin identificador compartido</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Mismo guion de aproximación, misma franja horaria, misma zona, mismo perfil de víctima</w:t>
            </w:r>
          </w:p>
        </w:tc>
      </w:tr>
      <w:tr>
        <w:tc>
          <w:tcPr>
            <w:tcW w:type="dxa" w:w="2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Misma víctima</w:t>
            </w:r>
          </w:p>
        </w:tc>
        <w:tc>
          <w:tcPr>
            <w:tcW w:type="dxa" w:w="3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Los reportes refieren a la misma persona menor de edad</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Descripciones convergentes en dos plataformas distintas</w:t>
            </w:r>
          </w:p>
        </w:tc>
      </w:tr>
      <w:tr>
        <w:tc>
          <w:tcPr>
            <w:tcW w:type="dxa" w:w="2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Mismo material</w:t>
            </w:r>
          </w:p>
        </w:tc>
        <w:tc>
          <w:tcPr>
            <w:tcW w:type="dxa" w:w="3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Los reportes involucran contenido de origen común sin hash coincidente</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Recorte, recodificación o captura de pantalla del mismo material</w:t>
            </w:r>
          </w:p>
        </w:tc>
      </w:tr>
      <w:tr>
        <w:tc>
          <w:tcPr>
            <w:tcW w:type="dxa" w:w="2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Mismo modus operandi</w:t>
            </w:r>
          </w:p>
        </w:tc>
        <w:tc>
          <w:tcPr>
            <w:tcW w:type="dxa" w:w="3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Patrón de conducta compartido sin atribución a la misma persona</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Técnica de captación replicada por actores distintos</w:t>
            </w:r>
          </w:p>
        </w:tc>
      </w:tr>
    </w:tbl>
    <w:p>
      <w:pPr>
        <w:spacing w:after="160" w:line="288"/>
        <w:jc w:val="both"/>
      </w:pPr>
      <w:r>
        <w:rPr>
          <w:rFonts w:ascii="Calibri" w:cs="Calibri" w:eastAsia="Calibri" w:hAnsi="Calibri"/>
          <w:color w:val="242424"/>
          <w:sz w:val="22"/>
          <w:szCs w:val="22"/>
        </w:rPr>
        <w:t xml:space="preserve">El cuarto tipo merece atención particular: </w:t>
      </w:r>
      <w:r>
        <w:rPr>
          <w:rFonts w:ascii="Calibri" w:cs="Calibri" w:eastAsia="Calibri" w:hAnsi="Calibri"/>
          <w:b/>
          <w:bCs/>
          <w:color w:val="242424"/>
          <w:sz w:val="22"/>
          <w:szCs w:val="22"/>
        </w:rPr>
        <w:t xml:space="preserve">es el más frecuente y el de menor valor atributivo</w:t>
      </w:r>
      <w:r>
        <w:rPr>
          <w:rFonts w:ascii="Calibri" w:cs="Calibri" w:eastAsia="Calibri" w:hAnsi="Calibri"/>
          <w:color w:val="242424"/>
          <w:sz w:val="22"/>
          <w:szCs w:val="22"/>
        </w:rPr>
        <w:t xml:space="preserve">. Que dos reportes compartan modus operandi es información útil para el análisis criminal y no acredita relación entre las personas involucradas. Se etiqueta y se propone, pero se presenta con esa distinción explícita.</w:t>
      </w:r>
    </w:p>
    <w:p>
      <w:pPr>
        <w:pStyle w:val="Heading1"/>
        <w:keepNext/>
        <w:spacing w:after="140" w:before="340"/>
      </w:pPr>
      <w:r>
        <w:rPr>
          <w:rFonts w:ascii="Roboto" w:cs="Roboto" w:eastAsia="Roboto" w:hAnsi="Roboto"/>
          <w:b/>
          <w:bCs/>
          <w:color w:val="0B2545"/>
          <w:sz w:val="30"/>
          <w:szCs w:val="30"/>
        </w:rPr>
        <w:t xml:space="preserve">3. Sustrato disponible</w:t>
      </w:r>
    </w:p>
    <w:p>
      <w:pPr>
        <w:spacing w:after="160" w:line="288"/>
        <w:jc w:val="both"/>
      </w:pPr>
      <w:r>
        <w:rPr>
          <w:rFonts w:ascii="Calibri" w:cs="Calibri" w:eastAsia="Calibri" w:hAnsi="Calibri"/>
          <w:color w:val="242424"/>
          <w:sz w:val="22"/>
          <w:szCs w:val="22"/>
        </w:rPr>
        <w:t xml:space="preserve">La Etapa 2 no parte de cero: construye sobre cinco piezas que ya existen y funcionan.</w:t>
      </w:r>
    </w:p>
    <w:p>
      <w:pPr>
        <w:pStyle w:val="Heading2"/>
        <w:keepNext/>
        <w:spacing w:after="100" w:before="240"/>
      </w:pPr>
      <w:r>
        <w:rPr>
          <w:rFonts w:ascii="Roboto" w:cs="Roboto" w:eastAsia="Roboto" w:hAnsi="Roboto"/>
          <w:b/>
          <w:bCs/>
          <w:color w:val="0B2545"/>
          <w:sz w:val="25"/>
          <w:szCs w:val="25"/>
        </w:rPr>
        <w:t xml:space="preserve">3.1 El grafo</w:t>
      </w:r>
    </w:p>
    <w:p>
      <w:pPr>
        <w:spacing w:after="160" w:line="288"/>
        <w:jc w:val="both"/>
      </w:pPr>
      <w:r>
        <w:rPr>
          <w:rFonts w:ascii="Calibri" w:cs="Calibri" w:eastAsia="Calibri" w:hAnsi="Calibri"/>
          <w:color w:val="242424"/>
          <w:sz w:val="22"/>
          <w:szCs w:val="22"/>
        </w:rPr>
        <w:t xml:space="preserve">Un grafo dirigido y multirelacional con dieciséis tipos de nodo y veinticuatro tipos de relación, donde cada arista lleva su bloque de procedencia completo: fuente, ubicación exacta dentro de esa fuente, método, versión del método, versión de ontología, momento del hecho, momento del cálculo y explicación en prosa. Es el sustrato estructural sobre el que opera la red. La heterogeneidad no es un accidente sino información: que dos reportes se conecten a través de un dispositivo no significa lo mismo que a través de una ubicación estimada, y el modelo tiene que poder distinguirlo.</w:t>
      </w:r>
    </w:p>
    <w:p>
      <w:pPr>
        <w:pStyle w:val="Heading2"/>
        <w:keepNext/>
        <w:spacing w:after="100" w:before="240"/>
      </w:pPr>
      <w:r>
        <w:rPr>
          <w:rFonts w:ascii="Roboto" w:cs="Roboto" w:eastAsia="Roboto" w:hAnsi="Roboto"/>
          <w:b/>
          <w:bCs/>
          <w:color w:val="0B2545"/>
          <w:sz w:val="25"/>
          <w:szCs w:val="25"/>
        </w:rPr>
        <w:t xml:space="preserve">3.2 La separación epistemológica</w:t>
      </w:r>
    </w:p>
    <w:p>
      <w:pPr>
        <w:spacing w:after="160" w:line="288"/>
        <w:jc w:val="both"/>
      </w:pPr>
      <w:r>
        <w:rPr>
          <w:rFonts w:ascii="Calibri" w:cs="Calibri" w:eastAsia="Calibri" w:hAnsi="Calibri"/>
          <w:color w:val="242424"/>
          <w:sz w:val="22"/>
          <w:szCs w:val="22"/>
        </w:rPr>
        <w:t xml:space="preserve">Cada relación declara cómo se obtuvo, y las clases no se mezclan: observada, cuando consta textualmente en un campo de la fuente; derivada, cuando resulta de una regla determinista y reproducible; inferida, cuando surge de similitud o de un modelo y es siempre una hipótesis pendiente; y afirmada, cuando la estableció una persona por su propio criterio.</w:t>
      </w:r>
    </w:p>
    <w:p>
      <w:pPr>
        <w:spacing w:after="160" w:line="288"/>
        <w:jc w:val="both"/>
      </w:pPr>
      <w:r>
        <w:rPr>
          <w:rFonts w:ascii="Calibri" w:cs="Calibri" w:eastAsia="Calibri" w:hAnsi="Calibri"/>
          <w:color w:val="242424"/>
          <w:sz w:val="22"/>
          <w:szCs w:val="22"/>
        </w:rPr>
        <w:t xml:space="preserve">Toda salida de la Etapa 2 es </w:t>
      </w:r>
      <w:r>
        <w:rPr>
          <w:rFonts w:ascii="Calibri" w:cs="Calibri" w:eastAsia="Calibri" w:hAnsi="Calibri"/>
          <w:b/>
          <w:bCs/>
          <w:color w:val="242424"/>
          <w:sz w:val="22"/>
          <w:szCs w:val="22"/>
        </w:rPr>
        <w:t xml:space="preserve">inferida</w:t>
      </w:r>
      <w:r>
        <w:rPr>
          <w:rFonts w:ascii="Calibri" w:cs="Calibri" w:eastAsia="Calibri" w:hAnsi="Calibri"/>
          <w:color w:val="242424"/>
          <w:sz w:val="22"/>
          <w:szCs w:val="22"/>
        </w:rPr>
        <w:t xml:space="preserve">. Esta separación es la que permite incorporar un modelo sin contaminar lo que consta en la evidencia, y la que permite retirarlo sin pérdida si no rinde.</w:t>
      </w:r>
    </w:p>
    <w:p>
      <w:pPr>
        <w:pStyle w:val="Heading2"/>
        <w:keepNext/>
        <w:spacing w:after="100" w:before="240"/>
      </w:pPr>
      <w:r>
        <w:rPr>
          <w:rFonts w:ascii="Roboto" w:cs="Roboto" w:eastAsia="Roboto" w:hAnsi="Roboto"/>
          <w:b/>
          <w:bCs/>
          <w:color w:val="0B2545"/>
          <w:sz w:val="25"/>
          <w:szCs w:val="25"/>
        </w:rPr>
        <w:t xml:space="preserve">3.3 El baseline determinista</w:t>
      </w:r>
    </w:p>
    <w:p>
      <w:pPr>
        <w:spacing w:after="160" w:line="288"/>
        <w:jc w:val="both"/>
      </w:pPr>
      <w:r>
        <w:rPr>
          <w:rFonts w:ascii="Calibri" w:cs="Calibri" w:eastAsia="Calibri" w:hAnsi="Calibri"/>
          <w:color w:val="242424"/>
          <w:sz w:val="22"/>
          <w:szCs w:val="22"/>
        </w:rPr>
        <w:t xml:space="preserve">El sistema ya produce un ranking de pares de reportes que merecerían revisión, calculado con Adamic–Adar sobre la proyección reporte–reporte. No materializa aristas: ordena y explica cuáles son los vecinos comunes que sostienen cada candidato.</w:t>
      </w:r>
    </w:p>
    <w:p>
      <w:pPr>
        <w:spacing w:after="160" w:line="288"/>
        <w:jc w:val="both"/>
      </w:pPr>
      <w:r>
        <w:rPr>
          <w:rFonts w:ascii="Calibri" w:cs="Calibri" w:eastAsia="Calibri" w:hAnsi="Calibri"/>
          <w:color w:val="242424"/>
          <w:sz w:val="22"/>
          <w:szCs w:val="22"/>
        </w:rPr>
        <w:t xml:space="preserve">Es el punto de comparación obligatorio. </w:t>
      </w:r>
      <w:r>
        <w:rPr>
          <w:rFonts w:ascii="Calibri" w:cs="Calibri" w:eastAsia="Calibri" w:hAnsi="Calibri"/>
          <w:b/>
          <w:bCs/>
          <w:color w:val="242424"/>
          <w:sz w:val="22"/>
          <w:szCs w:val="22"/>
        </w:rPr>
        <w:t xml:space="preserve">Un modelo que no supera este baseline sobre la misma partición no se incorpora</w:t>
      </w:r>
      <w:r>
        <w:rPr>
          <w:rFonts w:ascii="Calibri" w:cs="Calibri" w:eastAsia="Calibri" w:hAnsi="Calibri"/>
          <w:color w:val="242424"/>
          <w:sz w:val="22"/>
          <w:szCs w:val="22"/>
        </w:rPr>
        <w:t xml:space="preserve">, por sofisticado que sea.</w:t>
      </w:r>
    </w:p>
    <w:p>
      <w:pPr>
        <w:pStyle w:val="Heading2"/>
        <w:keepNext/>
        <w:spacing w:after="100" w:before="240"/>
      </w:pPr>
      <w:r>
        <w:rPr>
          <w:rFonts w:ascii="Roboto" w:cs="Roboto" w:eastAsia="Roboto" w:hAnsi="Roboto"/>
          <w:b/>
          <w:bCs/>
          <w:color w:val="0B2545"/>
          <w:sz w:val="25"/>
          <w:szCs w:val="25"/>
        </w:rPr>
        <w:t xml:space="preserve">3.4 El texto retenido</w:t>
      </w:r>
    </w:p>
    <w:p>
      <w:pPr>
        <w:spacing w:after="160" w:line="288"/>
        <w:jc w:val="both"/>
      </w:pPr>
      <w:r>
        <w:rPr>
          <w:rFonts w:ascii="Calibri" w:cs="Calibri" w:eastAsia="Calibri" w:hAnsi="Calibri"/>
          <w:color w:val="242424"/>
          <w:sz w:val="22"/>
          <w:szCs w:val="22"/>
        </w:rPr>
        <w:t xml:space="preserve">Las transcripciones de chat, las biografías de perfil y las notas de analistas no entran al grafo: se conservan aparte, indexadas por hash, con su locator y su reporte de origen. Cada entrada registra el tipo de texto, su tamaño y su procedencia.</w:t>
      </w:r>
    </w:p>
    <w:p>
      <w:pPr>
        <w:spacing w:after="160" w:line="288"/>
        <w:jc w:val="both"/>
      </w:pPr>
      <w:r>
        <w:rPr>
          <w:rFonts w:ascii="Calibri" w:cs="Calibri" w:eastAsia="Calibri" w:hAnsi="Calibri"/>
          <w:b/>
          <w:bCs/>
          <w:color w:val="242424"/>
          <w:sz w:val="22"/>
          <w:szCs w:val="22"/>
        </w:rPr>
        <w:t xml:space="preserve">Ese repositorio es la materia prima de la capa semántica. </w:t>
      </w:r>
      <w:r>
        <w:rPr>
          <w:rFonts w:ascii="Calibri" w:cs="Calibri" w:eastAsia="Calibri" w:hAnsi="Calibri"/>
          <w:color w:val="242424"/>
          <w:sz w:val="22"/>
          <w:szCs w:val="22"/>
        </w:rPr>
        <w:t xml:space="preserve">Está separado por diseño desde el primer día, con su trazabilidad intacta, y es exactamente lo que hay que vectorizar.</w:t>
      </w:r>
    </w:p>
    <w:p>
      <w:pPr>
        <w:pStyle w:val="Heading2"/>
        <w:keepNext/>
        <w:spacing w:after="100" w:before="240"/>
      </w:pPr>
      <w:r>
        <w:rPr>
          <w:rFonts w:ascii="Roboto" w:cs="Roboto" w:eastAsia="Roboto" w:hAnsi="Roboto"/>
          <w:b/>
          <w:bCs/>
          <w:color w:val="0B2545"/>
          <w:sz w:val="25"/>
          <w:szCs w:val="25"/>
        </w:rPr>
        <w:t xml:space="preserve">3.5 Las decisiones humanas registradas</w:t>
      </w:r>
    </w:p>
    <w:p>
      <w:pPr>
        <w:spacing w:after="160" w:line="288"/>
        <w:jc w:val="both"/>
      </w:pPr>
      <w:r>
        <w:rPr>
          <w:rFonts w:ascii="Calibri" w:cs="Calibri" w:eastAsia="Calibri" w:hAnsi="Calibri"/>
          <w:color w:val="242424"/>
          <w:sz w:val="22"/>
          <w:szCs w:val="22"/>
        </w:rPr>
        <w:t xml:space="preserve">Cada validación, cada rechazo, cada unificación de identidad aprobada y cada vinculación establecida a mano queda en libros append-only encadenados por hash, con quién la dispuso, cuándo y con qué fundamento.</w:t>
      </w:r>
    </w:p>
    <w:p>
      <w:pPr>
        <w:spacing w:after="160" w:line="288"/>
        <w:jc w:val="both"/>
      </w:pPr>
      <w:r>
        <w:rPr>
          <w:rFonts w:ascii="Calibri" w:cs="Calibri" w:eastAsia="Calibri" w:hAnsi="Calibri"/>
          <w:b/>
          <w:bCs/>
          <w:color w:val="242424"/>
          <w:sz w:val="22"/>
          <w:szCs w:val="22"/>
        </w:rPr>
        <w:t xml:space="preserve">Ese registro es el conjunto etiquetado en formación. </w:t>
      </w:r>
      <w:r>
        <w:rPr>
          <w:rFonts w:ascii="Calibri" w:cs="Calibri" w:eastAsia="Calibri" w:hAnsi="Calibri"/>
          <w:color w:val="242424"/>
          <w:sz w:val="22"/>
          <w:szCs w:val="22"/>
        </w:rPr>
        <w:t xml:space="preserve">Cada decisión que toma un operador produce una etiqueta con su justificación en lenguaje natural. El capítulo 6 define cómo se convierte ese flujo en un conjunto de entrenamiento.</w:t>
      </w:r>
    </w:p>
    <w:p>
      <w:pPr>
        <w:pStyle w:val="Heading1"/>
        <w:keepNext/>
        <w:spacing w:after="140" w:before="340"/>
      </w:pPr>
      <w:r>
        <w:rPr>
          <w:rFonts w:ascii="Roboto" w:cs="Roboto" w:eastAsia="Roboto" w:hAnsi="Roboto"/>
          <w:b/>
          <w:bCs/>
          <w:color w:val="0B2545"/>
          <w:sz w:val="30"/>
          <w:szCs w:val="30"/>
        </w:rPr>
        <w:t xml:space="preserve">4. Arquitectura general</w:t>
      </w:r>
    </w:p>
    <w:p>
      <w:pPr>
        <w:spacing w:after="0" w:line="240"/>
        <w:ind w:left="340"/>
        <w:jc w:val="left"/>
      </w:pPr>
      <w:r>
        <w:rPr>
          <w:rFonts w:ascii="Consolas" w:cs="Consolas" w:eastAsia="Consolas" w:hAnsi="Consolas"/>
          <w:color w:val="242424"/>
          <w:sz w:val="17"/>
          <w:szCs w:val="17"/>
        </w:rPr>
        <w:t xml:space="preserve">  Reportes ─┬─► Extracción estructurada ──► Grafo heterogéneo ──┐</w:t>
      </w:r>
    </w:p>
    <w:p>
      <w:pPr>
        <w:spacing w:after="0" w:line="240"/>
        <w:ind w:left="340"/>
        <w:jc w:val="left"/>
      </w:pPr>
      <w:r>
        <w:rPr>
          <w:rFonts w:ascii="Consolas" w:cs="Consolas" w:eastAsia="Consolas" w:hAnsi="Consolas"/>
          <w:color w:val="242424"/>
          <w:sz w:val="17"/>
          <w:szCs w:val="17"/>
        </w:rPr>
        <w:t xml:space="preserve">            │                                                    │</w:t>
      </w:r>
    </w:p>
    <w:p>
      <w:pPr>
        <w:spacing w:after="0" w:line="240"/>
        <w:ind w:left="340"/>
        <w:jc w:val="left"/>
      </w:pPr>
      <w:r>
        <w:rPr>
          <w:rFonts w:ascii="Consolas" w:cs="Consolas" w:eastAsia="Consolas" w:hAnsi="Consolas"/>
          <w:color w:val="242424"/>
          <w:sz w:val="17"/>
          <w:szCs w:val="17"/>
        </w:rPr>
        <w:t xml:space="preserve">            └─► Texto retenido ──► Fragmentación ──► Embeddings ─┤</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Atributos de nodo ───────┤</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Features de entrada</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Decisiones humanas ──► Conjunto etiquetado          │</w:t>
      </w:r>
    </w:p>
    <w:p>
      <w:pPr>
        <w:spacing w:after="0" w:line="240"/>
        <w:ind w:left="340"/>
        <w:jc w:val="left"/>
      </w:pPr>
      <w:r>
        <w:rPr>
          <w:rFonts w:ascii="Consolas" w:cs="Consolas" w:eastAsia="Consolas" w:hAnsi="Consolas"/>
          <w:color w:val="242424"/>
          <w:sz w:val="17"/>
          <w:szCs w:val="17"/>
        </w:rPr>
        <w:t xml:space="preserve">                        │                                        │</w:t>
      </w:r>
    </w:p>
    <w:p>
      <w:pPr>
        <w:spacing w:after="0" w:line="240"/>
        <w:ind w:left="340"/>
        <w:jc w:val="left"/>
      </w:pPr>
      <w:r>
        <w:rPr>
          <w:rFonts w:ascii="Consolas" w:cs="Consolas" w:eastAsia="Consolas" w:hAnsi="Consolas"/>
          <w:color w:val="242424"/>
          <w:sz w:val="17"/>
          <w:szCs w:val="17"/>
        </w:rPr>
        <w:t xml:space="preserve">                        ▼                                        ▼</w:t>
      </w:r>
    </w:p>
    <w:p>
      <w:pPr>
        <w:spacing w:after="0" w:line="240"/>
        <w:ind w:left="340"/>
        <w:jc w:val="left"/>
      </w:pPr>
      <w:r>
        <w:rPr>
          <w:rFonts w:ascii="Consolas" w:cs="Consolas" w:eastAsia="Consolas" w:hAnsi="Consolas"/>
          <w:color w:val="242424"/>
          <w:sz w:val="17"/>
          <w:szCs w:val="17"/>
        </w:rPr>
        <w:t xml:space="preserve">                  Partición temporal ─────────────────► Entrenamiento GNN</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Ranking + subgrafo justificante</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Relación INFERIDA, pendiente de validación</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w:t>
      </w:r>
    </w:p>
    <w:p>
      <w:pPr>
        <w:spacing w:after="0" w:line="240"/>
        <w:ind w:left="340"/>
        <w:jc w:val="left"/>
      </w:pPr>
      <w:r>
        <w:rPr>
          <w:rFonts w:ascii="Consolas" w:cs="Consolas" w:eastAsia="Consolas" w:hAnsi="Consolas"/>
          <w:color w:val="242424"/>
          <w:sz w:val="17"/>
          <w:szCs w:val="17"/>
        </w:rPr>
        <w:t xml:space="preserve">                                          Decisión del operador ──► etiqueta nueva</w:t>
      </w:r>
    </w:p>
    <w:p>
      <w:pPr>
        <w:spacing w:after="180"/>
      </w:pPr>
    </w:p>
    <w:p>
      <w:pPr>
        <w:spacing w:after="160" w:line="288"/>
        <w:jc w:val="both"/>
      </w:pPr>
      <w:r>
        <w:rPr>
          <w:rFonts w:ascii="Calibri" w:cs="Calibri" w:eastAsia="Calibri" w:hAnsi="Calibri"/>
          <w:color w:val="242424"/>
          <w:sz w:val="22"/>
          <w:szCs w:val="22"/>
        </w:rPr>
        <w:t xml:space="preserve">El circuito </w:t>
      </w:r>
      <w:r>
        <w:rPr>
          <w:rFonts w:ascii="Calibri" w:cs="Calibri" w:eastAsia="Calibri" w:hAnsi="Calibri"/>
          <w:b/>
          <w:bCs/>
          <w:color w:val="242424"/>
          <w:sz w:val="22"/>
          <w:szCs w:val="22"/>
        </w:rPr>
        <w:t xml:space="preserve">se realimenta</w:t>
      </w:r>
      <w:r>
        <w:rPr>
          <w:rFonts w:ascii="Calibri" w:cs="Calibri" w:eastAsia="Calibri" w:hAnsi="Calibri"/>
          <w:color w:val="242424"/>
          <w:sz w:val="22"/>
          <w:szCs w:val="22"/>
        </w:rPr>
        <w:t xml:space="preserve">: cada decisión sobre una propuesta del modelo produce una etiqueta que mejora el modelo siguiente. Esa realimentación es la razón por la que el conjunto etiquetado no se construye una vez, sino que se acumula. Cuatro invariantes gobiernan la arquitectura.</w:t>
      </w:r>
    </w:p>
    <w:p>
      <w:pPr>
        <w:pStyle w:val="ListParagraph"/>
        <w:numPr>
          <w:ilvl w:val="0"/>
          <w:numId w:val="3"/>
        </w:numPr>
        <w:spacing w:after="80" w:line="284"/>
        <w:jc w:val="both"/>
      </w:pPr>
      <w:r>
        <w:rPr>
          <w:rFonts w:ascii="Calibri" w:cs="Calibri" w:eastAsia="Calibri" w:hAnsi="Calibri"/>
          <w:b/>
          <w:bCs/>
          <w:color w:val="242424"/>
          <w:sz w:val="22"/>
          <w:szCs w:val="22"/>
        </w:rPr>
        <w:t xml:space="preserve">Los embeddings son un índice derivado. </w:t>
      </w:r>
      <w:r>
        <w:rPr>
          <w:rFonts w:ascii="Calibri" w:cs="Calibri" w:eastAsia="Calibri" w:hAnsi="Calibri"/>
          <w:color w:val="242424"/>
          <w:sz w:val="22"/>
          <w:szCs w:val="22"/>
        </w:rPr>
        <w:t xml:space="preserve">Se reconstruyen desde el texto original. No son la fuente de verdad y no se versionan como tal.</w:t>
      </w:r>
    </w:p>
    <w:p>
      <w:pPr>
        <w:pStyle w:val="ListParagraph"/>
        <w:numPr>
          <w:ilvl w:val="0"/>
          <w:numId w:val="3"/>
        </w:numPr>
        <w:spacing w:after="80" w:line="284"/>
        <w:jc w:val="both"/>
      </w:pPr>
      <w:r>
        <w:rPr>
          <w:rFonts w:ascii="Calibri" w:cs="Calibri" w:eastAsia="Calibri" w:hAnsi="Calibri"/>
          <w:b/>
          <w:bCs/>
          <w:color w:val="242424"/>
          <w:sz w:val="22"/>
          <w:szCs w:val="22"/>
        </w:rPr>
        <w:t xml:space="preserve">El grafo es una proyección reconstruible. </w:t>
      </w:r>
      <w:r>
        <w:rPr>
          <w:rFonts w:ascii="Calibri" w:cs="Calibri" w:eastAsia="Calibri" w:hAnsi="Calibri"/>
          <w:color w:val="242424"/>
          <w:sz w:val="22"/>
          <w:szCs w:val="22"/>
        </w:rPr>
        <w:t xml:space="preserve">El modelo se entrena sobre él, no lo modifica.</w:t>
      </w:r>
    </w:p>
    <w:p>
      <w:pPr>
        <w:pStyle w:val="ListParagraph"/>
        <w:numPr>
          <w:ilvl w:val="0"/>
          <w:numId w:val="3"/>
        </w:numPr>
        <w:spacing w:after="80" w:line="284"/>
        <w:jc w:val="both"/>
      </w:pPr>
      <w:r>
        <w:rPr>
          <w:rFonts w:ascii="Calibri" w:cs="Calibri" w:eastAsia="Calibri" w:hAnsi="Calibri"/>
          <w:b/>
          <w:bCs/>
          <w:color w:val="242424"/>
          <w:sz w:val="22"/>
          <w:szCs w:val="22"/>
        </w:rPr>
        <w:t xml:space="preserve">Las inferencias viven en tablas separadas y versionadas. </w:t>
      </w:r>
      <w:r>
        <w:rPr>
          <w:rFonts w:ascii="Calibri" w:cs="Calibri" w:eastAsia="Calibri" w:hAnsi="Calibri"/>
          <w:color w:val="242424"/>
          <w:sz w:val="22"/>
          <w:szCs w:val="22"/>
        </w:rPr>
        <w:t xml:space="preserve">Nunca se escriben junto a los hechos.</w:t>
      </w:r>
    </w:p>
    <w:p>
      <w:pPr>
        <w:pStyle w:val="ListParagraph"/>
        <w:numPr>
          <w:ilvl w:val="0"/>
          <w:numId w:val="3"/>
        </w:numPr>
        <w:spacing w:after="80" w:line="284"/>
        <w:jc w:val="both"/>
      </w:pPr>
      <w:r>
        <w:rPr>
          <w:rFonts w:ascii="Calibri" w:cs="Calibri" w:eastAsia="Calibri" w:hAnsi="Calibri"/>
          <w:b/>
          <w:bCs/>
          <w:color w:val="242424"/>
          <w:sz w:val="22"/>
          <w:szCs w:val="22"/>
        </w:rPr>
        <w:t xml:space="preserve">Nada sale del entorno. </w:t>
      </w:r>
      <w:r>
        <w:rPr>
          <w:rFonts w:ascii="Calibri" w:cs="Calibri" w:eastAsia="Calibri" w:hAnsi="Calibri"/>
          <w:color w:val="242424"/>
          <w:sz w:val="22"/>
          <w:szCs w:val="22"/>
        </w:rPr>
        <w:t xml:space="preserve">Modelos locales, inferencia local, entrenamiento local.</w:t>
      </w:r>
    </w:p>
    <w:p>
      <w:pPr>
        <w:pStyle w:val="Heading1"/>
        <w:keepNext/>
        <w:spacing w:after="140" w:before="340"/>
      </w:pPr>
      <w:r>
        <w:rPr>
          <w:rFonts w:ascii="Roboto" w:cs="Roboto" w:eastAsia="Roboto" w:hAnsi="Roboto"/>
          <w:b/>
          <w:bCs/>
          <w:color w:val="0B2545"/>
          <w:sz w:val="30"/>
          <w:szCs w:val="30"/>
        </w:rPr>
        <w:t xml:space="preserve">5. Capa de embeddings</w:t>
      </w:r>
    </w:p>
    <w:p>
      <w:pPr>
        <w:pStyle w:val="Heading2"/>
        <w:keepNext/>
        <w:spacing w:after="100" w:before="240"/>
      </w:pPr>
      <w:r>
        <w:rPr>
          <w:rFonts w:ascii="Roboto" w:cs="Roboto" w:eastAsia="Roboto" w:hAnsi="Roboto"/>
          <w:b/>
          <w:bCs/>
          <w:color w:val="0B2545"/>
          <w:sz w:val="25"/>
          <w:szCs w:val="25"/>
        </w:rPr>
        <w:t xml:space="preserve">5.1 Qué se vectoriza</w:t>
      </w:r>
    </w:p>
    <w:p>
      <w:pPr>
        <w:spacing w:after="160" w:line="288"/>
        <w:jc w:val="both"/>
      </w:pPr>
      <w:r>
        <w:rPr>
          <w:rFonts w:ascii="Calibri" w:cs="Calibri" w:eastAsia="Calibri" w:hAnsi="Calibri"/>
          <w:color w:val="242424"/>
          <w:sz w:val="22"/>
          <w:szCs w:val="22"/>
        </w:rPr>
        <w:t xml:space="preserve">Tres familias, con tratamiento distinto.</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4200"/>
        <w:gridCol w:w="3172"/>
      </w:tblGrid>
      <w:tr>
        <w:trPr>
          <w:tblHeader/>
        </w:trPr>
        <w:tc>
          <w:tcPr>
            <w:tcW w:type="dxa" w:w="17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Familia</w:t>
            </w:r>
          </w:p>
        </w:tc>
        <w:tc>
          <w:tcPr>
            <w:tcW w:type="dxa" w:w="42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Contenido</w:t>
            </w:r>
          </w:p>
        </w:tc>
        <w:tc>
          <w:tcPr>
            <w:tcW w:type="dxa" w:w="31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Unidad de vectorización</w:t>
            </w:r>
          </w:p>
        </w:tc>
      </w:tr>
      <w:tr>
        <w:tc>
          <w:tcPr>
            <w:tcW w:type="dxa" w:w="17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Texto narrativo</w:t>
            </w:r>
          </w:p>
        </w:tc>
        <w:tc>
          <w:tcPr>
            <w:tcW w:type="dxa" w:w="4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Transcripciones de chat, biografías de perfil, notas y resúmenes de analistas, descripciones de incidente</w:t>
            </w:r>
          </w:p>
        </w:tc>
        <w:tc>
          <w:tcPr>
            <w:tcW w:type="dxa" w:w="31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Fragmento de 256 a 512 tokens con solapamiento de 64</w:t>
            </w:r>
          </w:p>
        </w:tc>
      </w:tr>
      <w:tr>
        <w:tc>
          <w:tcPr>
            <w:tcW w:type="dxa" w:w="17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Entidad</w:t>
            </w:r>
          </w:p>
        </w:tc>
        <w:tc>
          <w:tcPr>
            <w:tcW w:type="dxa" w:w="4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Alias, nombres visibles, nombres de archivo, descripciones de material</w:t>
            </w:r>
          </w:p>
        </w:tc>
        <w:tc>
          <w:tcPr>
            <w:tcW w:type="dxa" w:w="31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Cadena completa, sin fragmentar</w:t>
            </w:r>
          </w:p>
        </w:tc>
      </w:tr>
      <w:tr>
        <w:tc>
          <w:tcPr>
            <w:tcW w:type="dxa" w:w="17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Reporte</w:t>
            </w:r>
          </w:p>
        </w:tc>
        <w:tc>
          <w:tcPr>
            <w:tcW w:type="dxa" w:w="4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Representación agregada del reporte completo</w:t>
            </w:r>
          </w:p>
        </w:tc>
        <w:tc>
          <w:tcPr>
            <w:tcW w:type="dxa" w:w="31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Promedio ponderado de sus fragmentos, más atributos categóricos</w:t>
            </w:r>
          </w:p>
        </w:tc>
      </w:tr>
    </w:tbl>
    <w:p>
      <w:pPr>
        <w:spacing w:after="160" w:line="288"/>
        <w:jc w:val="both"/>
      </w:pPr>
      <w:r>
        <w:rPr>
          <w:rFonts w:ascii="Calibri" w:cs="Calibri" w:eastAsia="Calibri" w:hAnsi="Calibri"/>
          <w:color w:val="242424"/>
          <w:sz w:val="22"/>
          <w:szCs w:val="22"/>
        </w:rPr>
        <w:t xml:space="preserve">La fragmentación del texto narrativo respeta límites de turno de conversación cuando existen. Un fragmento que corta un intercambio a la mitad produce un vector que no representa ninguna interacción completa.</w:t>
      </w:r>
    </w:p>
    <w:p>
      <w:pPr>
        <w:pStyle w:val="Heading2"/>
        <w:keepNext/>
        <w:spacing w:after="100" w:before="240"/>
      </w:pPr>
      <w:r>
        <w:rPr>
          <w:rFonts w:ascii="Roboto" w:cs="Roboto" w:eastAsia="Roboto" w:hAnsi="Roboto"/>
          <w:b/>
          <w:bCs/>
          <w:color w:val="0B2545"/>
          <w:sz w:val="25"/>
          <w:szCs w:val="25"/>
        </w:rPr>
        <w:t xml:space="preserve">5.2 Modelo</w:t>
      </w:r>
    </w:p>
    <w:p>
      <w:pPr>
        <w:spacing w:after="160" w:line="288"/>
        <w:jc w:val="both"/>
      </w:pPr>
      <w:r>
        <w:rPr>
          <w:rFonts w:ascii="Calibri" w:cs="Calibri" w:eastAsia="Calibri" w:hAnsi="Calibri"/>
          <w:color w:val="242424"/>
          <w:sz w:val="22"/>
          <w:szCs w:val="22"/>
        </w:rPr>
        <w:t xml:space="preserve">Los requisitos no son negociables: </w:t>
      </w:r>
      <w:r>
        <w:rPr>
          <w:rFonts w:ascii="Calibri" w:cs="Calibri" w:eastAsia="Calibri" w:hAnsi="Calibri"/>
          <w:b/>
          <w:bCs/>
          <w:color w:val="242424"/>
          <w:sz w:val="22"/>
          <w:szCs w:val="22"/>
        </w:rPr>
        <w:t xml:space="preserve">ejecución local</w:t>
      </w:r>
      <w:r>
        <w:rPr>
          <w:rFonts w:ascii="Calibri" w:cs="Calibri" w:eastAsia="Calibri" w:hAnsi="Calibri"/>
          <w:color w:val="242424"/>
          <w:sz w:val="22"/>
          <w:szCs w:val="22"/>
        </w:rPr>
        <w:t xml:space="preserve">, </w:t>
      </w:r>
      <w:r>
        <w:rPr>
          <w:rFonts w:ascii="Calibri" w:cs="Calibri" w:eastAsia="Calibri" w:hAnsi="Calibri"/>
          <w:b/>
          <w:bCs/>
          <w:color w:val="242424"/>
          <w:sz w:val="22"/>
          <w:szCs w:val="22"/>
        </w:rPr>
        <w:t xml:space="preserve">rendimiento comprobado en castellano rioplatense</w:t>
      </w:r>
      <w:r>
        <w:rPr>
          <w:rFonts w:ascii="Calibri" w:cs="Calibri" w:eastAsia="Calibri" w:hAnsi="Calibri"/>
          <w:color w:val="242424"/>
          <w:sz w:val="22"/>
          <w:szCs w:val="22"/>
        </w:rPr>
        <w:t xml:space="preserve"> y </w:t>
      </w:r>
      <w:r>
        <w:rPr>
          <w:rFonts w:ascii="Calibri" w:cs="Calibri" w:eastAsia="Calibri" w:hAnsi="Calibri"/>
          <w:b/>
          <w:bCs/>
          <w:color w:val="242424"/>
          <w:sz w:val="22"/>
          <w:szCs w:val="22"/>
        </w:rPr>
        <w:t xml:space="preserve">licencia compatible con uso institucional</w:t>
      </w:r>
      <w:r>
        <w:rPr>
          <w:rFonts w:ascii="Calibri" w:cs="Calibri" w:eastAsia="Calibri" w:hAnsi="Calibri"/>
          <w:color w:val="242424"/>
          <w:sz w:val="22"/>
          <w:szCs w:val="22"/>
        </w:rPr>
        <w:t xml:space="preserve">.</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1400"/>
        <w:gridCol w:w="4272"/>
      </w:tblGrid>
      <w:tr>
        <w:trPr>
          <w:tblHeader/>
        </w:trPr>
        <w:tc>
          <w:tcPr>
            <w:tcW w:type="dxa" w:w="34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Candidato</w:t>
            </w:r>
          </w:p>
        </w:tc>
        <w:tc>
          <w:tcPr>
            <w:tcW w:type="dxa" w:w="14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Dimensión</w:t>
            </w:r>
          </w:p>
        </w:tc>
        <w:tc>
          <w:tcPr>
            <w:tcW w:type="dxa" w:w="42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Observaciones</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multilingual-e5-large</w:t>
            </w:r>
          </w:p>
        </w:tc>
        <w:tc>
          <w:tcPr>
            <w:tcW w:type="dxa" w:w="1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1024</w:t>
            </w:r>
          </w:p>
        </w:tc>
        <w:tc>
          <w:tcPr>
            <w:tcW w:type="dxa" w:w="4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Buen rendimiento en recuperación multilingüe; requiere prefijos de consulta y pasaje</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bge-m3</w:t>
            </w:r>
          </w:p>
        </w:tc>
        <w:tc>
          <w:tcPr>
            <w:tcW w:type="dxa" w:w="1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1024</w:t>
            </w:r>
          </w:p>
        </w:tc>
        <w:tc>
          <w:tcPr>
            <w:tcW w:type="dxa" w:w="4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Denso, disperso y multivector en un mismo modelo; útil para combinar recuperación léxica y semántica</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paraphrase-multilingual-mpnet-base-v2</w:t>
            </w:r>
          </w:p>
        </w:tc>
        <w:tc>
          <w:tcPr>
            <w:tcW w:type="dxa" w:w="1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768</w:t>
            </w:r>
          </w:p>
        </w:tc>
        <w:tc>
          <w:tcPr>
            <w:tcW w:type="dxa" w:w="4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Más liviano, menor calidad en textos largos</w:t>
            </w:r>
          </w:p>
        </w:tc>
      </w:tr>
    </w:tbl>
    <w:p>
      <w:pPr>
        <w:spacing w:after="160" w:line="288"/>
        <w:jc w:val="both"/>
      </w:pPr>
      <w:r>
        <w:rPr>
          <w:rFonts w:ascii="Calibri" w:cs="Calibri" w:eastAsia="Calibri" w:hAnsi="Calibri"/>
          <w:color w:val="242424"/>
          <w:sz w:val="22"/>
          <w:szCs w:val="22"/>
        </w:rPr>
        <w:t xml:space="preserve">La elección se resuelve </w:t>
      </w:r>
      <w:r>
        <w:rPr>
          <w:rFonts w:ascii="Calibri" w:cs="Calibri" w:eastAsia="Calibri" w:hAnsi="Calibri"/>
          <w:b/>
          <w:bCs/>
          <w:color w:val="242424"/>
          <w:sz w:val="22"/>
          <w:szCs w:val="22"/>
        </w:rPr>
        <w:t xml:space="preserve">midiendo sobre el corpus propio</w:t>
      </w:r>
      <w:r>
        <w:rPr>
          <w:rFonts w:ascii="Calibri" w:cs="Calibri" w:eastAsia="Calibri" w:hAnsi="Calibri"/>
          <w:color w:val="242424"/>
          <w:sz w:val="22"/>
          <w:szCs w:val="22"/>
        </w:rPr>
        <w:t xml:space="preserve">, no por reputación: se arma un conjunto de doscientos pares de fragmentos con relación conocida y se compara la recuperación en los primeros diez resultados. El modelo elegido queda registrado con su identificador exacto y su hash de pesos.</w:t>
      </w:r>
    </w:p>
    <w:p>
      <w:pPr>
        <w:spacing w:after="160" w:line="288"/>
        <w:jc w:val="both"/>
      </w:pPr>
      <w:r>
        <w:rPr>
          <w:rFonts w:ascii="Calibri" w:cs="Calibri" w:eastAsia="Calibri" w:hAnsi="Calibri"/>
          <w:color w:val="242424"/>
          <w:sz w:val="22"/>
          <w:szCs w:val="22"/>
        </w:rPr>
        <w:t xml:space="preserve">El lenguaje de estos reportes tiene particularidades —jerga, errores de tipeo deliberados, sustituciones de caracteres, mezcla de idiomas— que degradan a cualquier modelo entrenado en texto general. </w:t>
      </w:r>
      <w:r>
        <w:rPr>
          <w:rFonts w:ascii="Calibri" w:cs="Calibri" w:eastAsia="Calibri" w:hAnsi="Calibri"/>
          <w:b/>
          <w:bCs/>
          <w:color w:val="242424"/>
          <w:sz w:val="22"/>
          <w:szCs w:val="22"/>
        </w:rPr>
        <w:t xml:space="preserve">La evaluación sobre corpus propio es la única forma de saber cuánto</w:t>
      </w:r>
      <w:r>
        <w:rPr>
          <w:rFonts w:ascii="Calibri" w:cs="Calibri" w:eastAsia="Calibri" w:hAnsi="Calibri"/>
          <w:color w:val="242424"/>
          <w:sz w:val="22"/>
          <w:szCs w:val="22"/>
        </w:rPr>
        <w:t xml:space="preserve">.</w:t>
      </w:r>
    </w:p>
    <w:p>
      <w:pPr>
        <w:pStyle w:val="Heading2"/>
        <w:keepNext/>
        <w:spacing w:after="100" w:before="240"/>
      </w:pPr>
      <w:r>
        <w:rPr>
          <w:rFonts w:ascii="Roboto" w:cs="Roboto" w:eastAsia="Roboto" w:hAnsi="Roboto"/>
          <w:b/>
          <w:bCs/>
          <w:color w:val="0B2545"/>
          <w:sz w:val="25"/>
          <w:szCs w:val="25"/>
        </w:rPr>
        <w:t xml:space="preserve">5.3 Almacenamiento e indexación</w:t>
      </w:r>
    </w:p>
    <w:p>
      <w:pPr>
        <w:spacing w:after="160" w:line="288"/>
        <w:jc w:val="both"/>
      </w:pPr>
      <w:r>
        <w:rPr>
          <w:rFonts w:ascii="Calibri" w:cs="Calibri" w:eastAsia="Calibri" w:hAnsi="Calibri"/>
          <w:color w:val="242424"/>
          <w:sz w:val="22"/>
          <w:szCs w:val="22"/>
        </w:rPr>
        <w:t xml:space="preserve">PostgreSQL con la extensión pgvector: la misma base que ya sostiene el registro transaccional, sin agregar un servicio más.</w:t>
      </w:r>
    </w:p>
    <w:p>
      <w:pPr>
        <w:spacing w:after="0" w:line="240"/>
        <w:ind w:left="340"/>
        <w:jc w:val="left"/>
      </w:pPr>
      <w:r>
        <w:rPr>
          <w:rFonts w:ascii="Consolas" w:cs="Consolas" w:eastAsia="Consolas" w:hAnsi="Consolas"/>
          <w:color w:val="242424"/>
          <w:sz w:val="17"/>
          <w:szCs w:val="17"/>
        </w:rPr>
        <w:t xml:space="preserve">CREATE TABLE embedding_fragmento (</w:t>
      </w:r>
    </w:p>
    <w:p>
      <w:pPr>
        <w:spacing w:after="0" w:line="240"/>
        <w:ind w:left="340"/>
        <w:jc w:val="left"/>
      </w:pPr>
      <w:r>
        <w:rPr>
          <w:rFonts w:ascii="Consolas" w:cs="Consolas" w:eastAsia="Consolas" w:hAnsi="Consolas"/>
          <w:color w:val="242424"/>
          <w:sz w:val="17"/>
          <w:szCs w:val="17"/>
        </w:rPr>
        <w:t xml:space="preserve">    id              bigserial PRIMARY KEY,</w:t>
      </w:r>
    </w:p>
    <w:p>
      <w:pPr>
        <w:spacing w:after="0" w:line="240"/>
        <w:ind w:left="340"/>
        <w:jc w:val="left"/>
      </w:pPr>
      <w:r>
        <w:rPr>
          <w:rFonts w:ascii="Consolas" w:cs="Consolas" w:eastAsia="Consolas" w:hAnsi="Consolas"/>
          <w:color w:val="242424"/>
          <w:sz w:val="17"/>
          <w:szCs w:val="17"/>
        </w:rPr>
        <w:t xml:space="preserve">    hash_texto      text        NOT NULL,   -- vincula con el texto retenido</w:t>
      </w:r>
    </w:p>
    <w:p>
      <w:pPr>
        <w:spacing w:after="0" w:line="240"/>
        <w:ind w:left="340"/>
        <w:jc w:val="left"/>
      </w:pPr>
      <w:r>
        <w:rPr>
          <w:rFonts w:ascii="Consolas" w:cs="Consolas" w:eastAsia="Consolas" w:hAnsi="Consolas"/>
          <w:color w:val="242424"/>
          <w:sz w:val="17"/>
          <w:szCs w:val="17"/>
        </w:rPr>
        <w:t xml:space="preserve">    reporte         text        NOT NULL,</w:t>
      </w:r>
    </w:p>
    <w:p>
      <w:pPr>
        <w:spacing w:after="0" w:line="240"/>
        <w:ind w:left="340"/>
        <w:jc w:val="left"/>
      </w:pPr>
      <w:r>
        <w:rPr>
          <w:rFonts w:ascii="Consolas" w:cs="Consolas" w:eastAsia="Consolas" w:hAnsi="Consolas"/>
          <w:color w:val="242424"/>
          <w:sz w:val="17"/>
          <w:szCs w:val="17"/>
        </w:rPr>
        <w:t xml:space="preserve">    locator         text        NOT NULL,   -- campo exacto dentro de la fuente</w:t>
      </w:r>
    </w:p>
    <w:p>
      <w:pPr>
        <w:spacing w:after="0" w:line="240"/>
        <w:ind w:left="340"/>
        <w:jc w:val="left"/>
      </w:pPr>
      <w:r>
        <w:rPr>
          <w:rFonts w:ascii="Consolas" w:cs="Consolas" w:eastAsia="Consolas" w:hAnsi="Consolas"/>
          <w:color w:val="242424"/>
          <w:sz w:val="17"/>
          <w:szCs w:val="17"/>
        </w:rPr>
        <w:t xml:space="preserve">    tipo_texto      text        NOT NULL,   -- chat | bio | nota | descripcion</w:t>
      </w:r>
    </w:p>
    <w:p>
      <w:pPr>
        <w:spacing w:after="0" w:line="240"/>
        <w:ind w:left="340"/>
        <w:jc w:val="left"/>
      </w:pPr>
      <w:r>
        <w:rPr>
          <w:rFonts w:ascii="Consolas" w:cs="Consolas" w:eastAsia="Consolas" w:hAnsi="Consolas"/>
          <w:color w:val="242424"/>
          <w:sz w:val="17"/>
          <w:szCs w:val="17"/>
        </w:rPr>
        <w:t xml:space="preserve">    fragmento_idx   int         NOT NULL,</w:t>
      </w:r>
    </w:p>
    <w:p>
      <w:pPr>
        <w:spacing w:after="0" w:line="240"/>
        <w:ind w:left="340"/>
        <w:jc w:val="left"/>
      </w:pPr>
      <w:r>
        <w:rPr>
          <w:rFonts w:ascii="Consolas" w:cs="Consolas" w:eastAsia="Consolas" w:hAnsi="Consolas"/>
          <w:color w:val="242424"/>
          <w:sz w:val="17"/>
          <w:szCs w:val="17"/>
        </w:rPr>
        <w:t xml:space="preserve">    texto_len       int         NOT NULL,</w:t>
      </w:r>
    </w:p>
    <w:p>
      <w:pPr>
        <w:spacing w:after="0" w:line="240"/>
        <w:ind w:left="340"/>
        <w:jc w:val="left"/>
      </w:pPr>
      <w:r>
        <w:rPr>
          <w:rFonts w:ascii="Consolas" w:cs="Consolas" w:eastAsia="Consolas" w:hAnsi="Consolas"/>
          <w:color w:val="242424"/>
          <w:sz w:val="17"/>
          <w:szCs w:val="17"/>
        </w:rPr>
        <w:t xml:space="preserve">    modelo          text        NOT NULL,   -- identificador exacto del modelo</w:t>
      </w:r>
    </w:p>
    <w:p>
      <w:pPr>
        <w:spacing w:after="0" w:line="240"/>
        <w:ind w:left="340"/>
        <w:jc w:val="left"/>
      </w:pPr>
      <w:r>
        <w:rPr>
          <w:rFonts w:ascii="Consolas" w:cs="Consolas" w:eastAsia="Consolas" w:hAnsi="Consolas"/>
          <w:color w:val="242424"/>
          <w:sz w:val="17"/>
          <w:szCs w:val="17"/>
        </w:rPr>
        <w:t xml:space="preserve">    modelo_version  text        NOT NULL,</w:t>
      </w:r>
    </w:p>
    <w:p>
      <w:pPr>
        <w:spacing w:after="0" w:line="240"/>
        <w:ind w:left="340"/>
        <w:jc w:val="left"/>
      </w:pPr>
      <w:r>
        <w:rPr>
          <w:rFonts w:ascii="Consolas" w:cs="Consolas" w:eastAsia="Consolas" w:hAnsi="Consolas"/>
          <w:color w:val="242424"/>
          <w:sz w:val="17"/>
          <w:szCs w:val="17"/>
        </w:rPr>
        <w:t xml:space="preserve">    dim             int         NOT NULL,</w:t>
      </w:r>
    </w:p>
    <w:p>
      <w:pPr>
        <w:spacing w:after="0" w:line="240"/>
        <w:ind w:left="340"/>
        <w:jc w:val="left"/>
      </w:pPr>
      <w:r>
        <w:rPr>
          <w:rFonts w:ascii="Consolas" w:cs="Consolas" w:eastAsia="Consolas" w:hAnsi="Consolas"/>
          <w:color w:val="242424"/>
          <w:sz w:val="17"/>
          <w:szCs w:val="17"/>
        </w:rPr>
        <w:t xml:space="preserve">    generado_en     timestamptz NOT NULL,</w:t>
      </w:r>
    </w:p>
    <w:p>
      <w:pPr>
        <w:spacing w:after="0" w:line="240"/>
        <w:ind w:left="340"/>
        <w:jc w:val="left"/>
      </w:pPr>
      <w:r>
        <w:rPr>
          <w:rFonts w:ascii="Consolas" w:cs="Consolas" w:eastAsia="Consolas" w:hAnsi="Consolas"/>
          <w:color w:val="242424"/>
          <w:sz w:val="17"/>
          <w:szCs w:val="17"/>
        </w:rPr>
        <w:t xml:space="preserve">    vector          vector(1024) NOT NULL,</w:t>
      </w:r>
    </w:p>
    <w:p>
      <w:pPr>
        <w:spacing w:after="0" w:line="240"/>
        <w:ind w:left="340"/>
        <w:jc w:val="left"/>
      </w:pPr>
      <w:r>
        <w:rPr>
          <w:rFonts w:ascii="Consolas" w:cs="Consolas" w:eastAsia="Consolas" w:hAnsi="Consolas"/>
          <w:color w:val="242424"/>
          <w:sz w:val="17"/>
          <w:szCs w:val="17"/>
        </w:rPr>
        <w:t xml:space="preserve">    UNIQUE (hash_texto, fragmento_idx, modelo, modelo_version)</w:t>
      </w:r>
    </w:p>
    <w:p>
      <w:pPr>
        <w:spacing w:after="0" w:line="240"/>
        <w:ind w:left="340"/>
        <w:jc w:val="left"/>
      </w:pPr>
      <w:r>
        <w:rPr>
          <w:rFonts w:ascii="Consolas" w:cs="Consolas" w:eastAsia="Consolas" w:hAnsi="Consolas"/>
          <w:color w:val="242424"/>
          <w:sz w:val="17"/>
          <w:szCs w:val="17"/>
        </w:rPr>
        <w:t xml:space="preserve">);</w:t>
      </w:r>
    </w:p>
    <w:p>
      <w:pPr>
        <w:spacing w:after="0" w:line="240"/>
        <w:ind w:left="340"/>
        <w:jc w:val="left"/>
      </w:pPr>
      <w:r>
        <w:rPr>
          <w:rFonts w:ascii="Consolas" w:cs="Consolas" w:eastAsia="Consolas" w:hAnsi="Consolas"/>
          <w:color w:val="242424"/>
          <w:sz w:val="17"/>
          <w:szCs w:val="17"/>
        </w:rPr>
        <w:t xml:space="preserve"/>
      </w:r>
    </w:p>
    <w:p>
      <w:pPr>
        <w:spacing w:after="0" w:line="240"/>
        <w:ind w:left="340"/>
        <w:jc w:val="left"/>
      </w:pPr>
      <w:r>
        <w:rPr>
          <w:rFonts w:ascii="Consolas" w:cs="Consolas" w:eastAsia="Consolas" w:hAnsi="Consolas"/>
          <w:color w:val="242424"/>
          <w:sz w:val="17"/>
          <w:szCs w:val="17"/>
        </w:rPr>
        <w:t xml:space="preserve">CREATE INDEX ON embedding_fragmento</w:t>
      </w:r>
    </w:p>
    <w:p>
      <w:pPr>
        <w:spacing w:after="0" w:line="240"/>
        <w:ind w:left="340"/>
        <w:jc w:val="left"/>
      </w:pPr>
      <w:r>
        <w:rPr>
          <w:rFonts w:ascii="Consolas" w:cs="Consolas" w:eastAsia="Consolas" w:hAnsi="Consolas"/>
          <w:color w:val="242424"/>
          <w:sz w:val="17"/>
          <w:szCs w:val="17"/>
        </w:rPr>
        <w:t xml:space="preserve">    USING hnsw (vector vector_cosine_ops)</w:t>
      </w:r>
    </w:p>
    <w:p>
      <w:pPr>
        <w:spacing w:after="0" w:line="240"/>
        <w:ind w:left="340"/>
        <w:jc w:val="left"/>
      </w:pPr>
      <w:r>
        <w:rPr>
          <w:rFonts w:ascii="Consolas" w:cs="Consolas" w:eastAsia="Consolas" w:hAnsi="Consolas"/>
          <w:color w:val="242424"/>
          <w:sz w:val="17"/>
          <w:szCs w:val="17"/>
        </w:rPr>
        <w:t xml:space="preserve">    WITH (m = 16, ef_construction = 64);</w:t>
      </w:r>
    </w:p>
    <w:p>
      <w:pPr>
        <w:spacing w:after="180"/>
      </w:pPr>
    </w:p>
    <w:p>
      <w:pPr>
        <w:spacing w:after="160" w:line="288"/>
        <w:jc w:val="both"/>
      </w:pPr>
      <w:r>
        <w:rPr>
          <w:rFonts w:ascii="Calibri" w:cs="Calibri" w:eastAsia="Calibri" w:hAnsi="Calibri"/>
          <w:color w:val="242424"/>
          <w:sz w:val="22"/>
          <w:szCs w:val="22"/>
        </w:rPr>
        <w:t xml:space="preserve">Cada fila conserva su locator: </w:t>
      </w:r>
      <w:r>
        <w:rPr>
          <w:rFonts w:ascii="Calibri" w:cs="Calibri" w:eastAsia="Calibri" w:hAnsi="Calibri"/>
          <w:b/>
          <w:bCs/>
          <w:color w:val="242424"/>
          <w:sz w:val="22"/>
          <w:szCs w:val="22"/>
        </w:rPr>
        <w:t xml:space="preserve">un fragmento siempre puede volver a su campo de origen en el reporte original</w:t>
      </w:r>
      <w:r>
        <w:rPr>
          <w:rFonts w:ascii="Calibri" w:cs="Calibri" w:eastAsia="Calibri" w:hAnsi="Calibri"/>
          <w:color w:val="242424"/>
          <w:sz w:val="22"/>
          <w:szCs w:val="22"/>
        </w:rPr>
        <w:t xml:space="preserve">. Un resultado de búsqueda semántica que no puede citar de dónde salió no entra a un informe.</w:t>
      </w:r>
    </w:p>
    <w:p>
      <w:pPr>
        <w:pStyle w:val="Heading2"/>
        <w:keepNext/>
        <w:spacing w:after="100" w:before="240"/>
      </w:pPr>
      <w:r>
        <w:rPr>
          <w:rFonts w:ascii="Roboto" w:cs="Roboto" w:eastAsia="Roboto" w:hAnsi="Roboto"/>
          <w:b/>
          <w:bCs/>
          <w:color w:val="0B2545"/>
          <w:sz w:val="25"/>
          <w:szCs w:val="25"/>
        </w:rPr>
        <w:t xml:space="preserve">5.4 Versionado</w:t>
      </w:r>
    </w:p>
    <w:p>
      <w:pPr>
        <w:spacing w:after="160" w:line="288"/>
        <w:jc w:val="both"/>
      </w:pPr>
      <w:r>
        <w:rPr>
          <w:rFonts w:ascii="Calibri" w:cs="Calibri" w:eastAsia="Calibri" w:hAnsi="Calibri"/>
          <w:color w:val="242424"/>
          <w:sz w:val="22"/>
          <w:szCs w:val="22"/>
        </w:rPr>
        <w:t xml:space="preserve">Cambiar de modelo de embeddings </w:t>
      </w:r>
      <w:r>
        <w:rPr>
          <w:rFonts w:ascii="Calibri" w:cs="Calibri" w:eastAsia="Calibri" w:hAnsi="Calibri"/>
          <w:b/>
          <w:bCs/>
          <w:color w:val="242424"/>
          <w:sz w:val="22"/>
          <w:szCs w:val="22"/>
        </w:rPr>
        <w:t xml:space="preserve">no es una migración: es un índice nuevo</w:t>
      </w:r>
      <w:r>
        <w:rPr>
          <w:rFonts w:ascii="Calibri" w:cs="Calibri" w:eastAsia="Calibri" w:hAnsi="Calibri"/>
          <w:color w:val="242424"/>
          <w:sz w:val="22"/>
          <w:szCs w:val="22"/>
        </w:rPr>
        <w:t xml:space="preserve">. Se generan las filas con el nuevo modelo y versión conviviendo con las anteriores, se comparan sobre el conjunto de evaluación, y recién entonces se retira el índice viejo. Nunca se sobrescribe un vector en su lugar: un vector sobrescrito hace irreproducible cualquier resultado anterior que se haya apoyado en él.</w:t>
      </w:r>
    </w:p>
    <w:p>
      <w:pPr>
        <w:pStyle w:val="Heading2"/>
        <w:keepNext/>
        <w:spacing w:after="100" w:before="240"/>
      </w:pPr>
      <w:r>
        <w:rPr>
          <w:rFonts w:ascii="Roboto" w:cs="Roboto" w:eastAsia="Roboto" w:hAnsi="Roboto"/>
          <w:b/>
          <w:bCs/>
          <w:color w:val="0B2545"/>
          <w:sz w:val="25"/>
          <w:szCs w:val="25"/>
        </w:rPr>
        <w:t xml:space="preserve">5.5 Tratamiento del texto sensible</w:t>
      </w:r>
    </w:p>
    <w:p>
      <w:pPr>
        <w:spacing w:after="160" w:line="288"/>
        <w:jc w:val="both"/>
      </w:pPr>
      <w:r>
        <w:rPr>
          <w:rFonts w:ascii="Calibri" w:cs="Calibri" w:eastAsia="Calibri" w:hAnsi="Calibri"/>
          <w:color w:val="242424"/>
          <w:sz w:val="22"/>
          <w:szCs w:val="22"/>
        </w:rPr>
        <w:t xml:space="preserve">El texto que se vectoriza es, por definición, el más sensible del sistema.</w:t>
      </w:r>
    </w:p>
    <w:p>
      <w:pPr>
        <w:pStyle w:val="ListParagraph"/>
        <w:numPr>
          <w:ilvl w:val="0"/>
          <w:numId w:val="4"/>
        </w:numPr>
        <w:spacing w:after="80" w:line="284"/>
        <w:jc w:val="both"/>
      </w:pPr>
      <w:r>
        <w:rPr>
          <w:rFonts w:ascii="Calibri" w:cs="Calibri" w:eastAsia="Calibri" w:hAnsi="Calibri"/>
          <w:b/>
          <w:bCs/>
          <w:color w:val="242424"/>
          <w:sz w:val="22"/>
          <w:szCs w:val="22"/>
        </w:rPr>
        <w:t xml:space="preserve">El vector no sale del entorno. </w:t>
      </w:r>
      <w:r>
        <w:rPr>
          <w:rFonts w:ascii="Calibri" w:cs="Calibri" w:eastAsia="Calibri" w:hAnsi="Calibri"/>
          <w:color w:val="242424"/>
          <w:sz w:val="22"/>
          <w:szCs w:val="22"/>
        </w:rPr>
        <w:t xml:space="preserve">El modelo corre local; no hay llamada a ningún servicio externo en generación ni en consulta.</w:t>
      </w:r>
    </w:p>
    <w:p>
      <w:pPr>
        <w:pStyle w:val="ListParagraph"/>
        <w:numPr>
          <w:ilvl w:val="0"/>
          <w:numId w:val="4"/>
        </w:numPr>
        <w:spacing w:after="80" w:line="284"/>
        <w:jc w:val="both"/>
      </w:pPr>
      <w:r>
        <w:rPr>
          <w:rFonts w:ascii="Calibri" w:cs="Calibri" w:eastAsia="Calibri" w:hAnsi="Calibri"/>
          <w:b/>
          <w:bCs/>
          <w:color w:val="242424"/>
          <w:sz w:val="22"/>
          <w:szCs w:val="22"/>
        </w:rPr>
        <w:t xml:space="preserve">El vector no es anónimo. </w:t>
      </w:r>
      <w:r>
        <w:rPr>
          <w:rFonts w:ascii="Calibri" w:cs="Calibri" w:eastAsia="Calibri" w:hAnsi="Calibri"/>
          <w:color w:val="242424"/>
          <w:sz w:val="22"/>
          <w:szCs w:val="22"/>
        </w:rPr>
        <w:t xml:space="preserve">Un embedding de dimensión 1024 sobre un fragmento corto permite reconstrucción aproximada del texto con un modelo adversario. Se trata con el mismo control de acceso que el texto original, no con el del grafo.</w:t>
      </w:r>
    </w:p>
    <w:p>
      <w:pPr>
        <w:pStyle w:val="ListParagraph"/>
        <w:numPr>
          <w:ilvl w:val="0"/>
          <w:numId w:val="4"/>
        </w:numPr>
        <w:spacing w:after="80" w:line="284"/>
        <w:jc w:val="both"/>
      </w:pPr>
      <w:r>
        <w:rPr>
          <w:rFonts w:ascii="Calibri" w:cs="Calibri" w:eastAsia="Calibri" w:hAnsi="Calibri"/>
          <w:b/>
          <w:bCs/>
          <w:color w:val="242424"/>
          <w:sz w:val="22"/>
          <w:szCs w:val="22"/>
        </w:rPr>
        <w:t xml:space="preserve">La seudonimización se aplica antes de cualquier envío a un modelo generativo. </w:t>
      </w:r>
      <w:r>
        <w:rPr>
          <w:rFonts w:ascii="Calibri" w:cs="Calibri" w:eastAsia="Calibri" w:hAnsi="Calibri"/>
          <w:color w:val="242424"/>
          <w:sz w:val="22"/>
          <w:szCs w:val="22"/>
        </w:rPr>
        <w:t xml:space="preserve">Los identificadores se reemplazan por etiquetas estables y se restituyen localmente sobre el texto devuelto. Este mecanismo ya existe y se extiende a la capa semántica sin cambios.</w:t>
      </w:r>
    </w:p>
    <w:p>
      <w:pPr>
        <w:pStyle w:val="ListParagraph"/>
        <w:numPr>
          <w:ilvl w:val="0"/>
          <w:numId w:val="4"/>
        </w:numPr>
        <w:spacing w:after="80" w:line="284"/>
        <w:jc w:val="both"/>
      </w:pPr>
      <w:r>
        <w:rPr>
          <w:rFonts w:ascii="Calibri" w:cs="Calibri" w:eastAsia="Calibri" w:hAnsi="Calibri"/>
          <w:b/>
          <w:bCs/>
          <w:color w:val="242424"/>
          <w:sz w:val="22"/>
          <w:szCs w:val="22"/>
        </w:rPr>
        <w:t xml:space="preserve">Retención. </w:t>
      </w:r>
      <w:r>
        <w:rPr>
          <w:rFonts w:ascii="Calibri" w:cs="Calibri" w:eastAsia="Calibri" w:hAnsi="Calibri"/>
          <w:color w:val="242424"/>
          <w:sz w:val="22"/>
          <w:szCs w:val="22"/>
        </w:rPr>
        <w:t xml:space="preserve">Al eliminarse un reporte del sistema, se eliminan sus fragmentos y sus vectores en la misma operación. El índice derivado no sobrevive a la fuente.</w:t>
      </w:r>
    </w:p>
    <w:p>
      <w:pPr>
        <w:pStyle w:val="Heading1"/>
        <w:keepNext/>
        <w:spacing w:after="140" w:before="340"/>
      </w:pPr>
      <w:r>
        <w:rPr>
          <w:rFonts w:ascii="Roboto" w:cs="Roboto" w:eastAsia="Roboto" w:hAnsi="Roboto"/>
          <w:b/>
          <w:bCs/>
          <w:color w:val="0B2545"/>
          <w:sz w:val="30"/>
          <w:szCs w:val="30"/>
        </w:rPr>
        <w:t xml:space="preserve">6. Conjunto etiquetado</w:t>
      </w:r>
    </w:p>
    <w:p>
      <w:pPr>
        <w:spacing w:after="160" w:line="288"/>
        <w:jc w:val="both"/>
      </w:pPr>
      <w:r>
        <w:rPr>
          <w:rFonts w:ascii="Calibri" w:cs="Calibri" w:eastAsia="Calibri" w:hAnsi="Calibri"/>
          <w:color w:val="242424"/>
          <w:sz w:val="22"/>
          <w:szCs w:val="22"/>
        </w:rPr>
        <w:t xml:space="preserve">Es la pieza que determina si la Etapa 2 rinde. Un modelo sobre un conjunto etiquetado pobre produce resultados que parecen buenos y no lo son.</w:t>
      </w:r>
    </w:p>
    <w:p>
      <w:pPr>
        <w:pStyle w:val="Heading2"/>
        <w:keepNext/>
        <w:spacing w:after="100" w:before="240"/>
      </w:pPr>
      <w:r>
        <w:rPr>
          <w:rFonts w:ascii="Roboto" w:cs="Roboto" w:eastAsia="Roboto" w:hAnsi="Roboto"/>
          <w:b/>
          <w:bCs/>
          <w:color w:val="0B2545"/>
          <w:sz w:val="25"/>
          <w:szCs w:val="25"/>
        </w:rPr>
        <w:t xml:space="preserve">6.1 Las tres fuentes de etiqueta</w:t>
      </w:r>
    </w:p>
    <w:p>
      <w:pPr>
        <w:spacing w:after="160" w:line="288"/>
        <w:jc w:val="both"/>
      </w:pPr>
      <w:r>
        <w:rPr>
          <w:rFonts w:ascii="Calibri" w:cs="Calibri" w:eastAsia="Calibri" w:hAnsi="Calibri"/>
          <w:b/>
          <w:bCs/>
          <w:color w:val="242424"/>
          <w:sz w:val="22"/>
          <w:szCs w:val="22"/>
        </w:rPr>
        <w:t xml:space="preserve">Fuente A — Decisiones ya registradas. </w:t>
      </w:r>
      <w:r>
        <w:rPr>
          <w:rFonts w:ascii="Calibri" w:cs="Calibri" w:eastAsia="Calibri" w:hAnsi="Calibri"/>
          <w:color w:val="242424"/>
          <w:sz w:val="22"/>
          <w:szCs w:val="22"/>
        </w:rPr>
        <w:t xml:space="preserve">Cada vínculo validado por un operador es un positivo con fundamento escrito. Cada vínculo rechazado es un negativo con motivo. Cada vinculación establecida a mano es un positivo especialmente valioso: es un caso que las reglas no detectaron y una persona sí. Estas etiquetas se acumulan solas mientras el sistema se usa, y traen algo que ningún conjunto anotado a posteriori tiene: se produjeron en el curso del trabajo real, sobre casos reales, por quien tenía el expediente delante.</w:t>
      </w:r>
    </w:p>
    <w:p>
      <w:pPr>
        <w:spacing w:after="160" w:line="288"/>
        <w:jc w:val="both"/>
      </w:pPr>
      <w:r>
        <w:rPr>
          <w:rFonts w:ascii="Calibri" w:cs="Calibri" w:eastAsia="Calibri" w:hAnsi="Calibri"/>
          <w:b/>
          <w:bCs/>
          <w:color w:val="242424"/>
          <w:sz w:val="22"/>
          <w:szCs w:val="22"/>
        </w:rPr>
        <w:t xml:space="preserve">Fuente B — Anotación dirigida. </w:t>
      </w:r>
      <w:r>
        <w:rPr>
          <w:rFonts w:ascii="Calibri" w:cs="Calibri" w:eastAsia="Calibri" w:hAnsi="Calibri"/>
          <w:color w:val="242424"/>
          <w:sz w:val="22"/>
          <w:szCs w:val="22"/>
        </w:rPr>
        <w:t xml:space="preserve">Un conjunto construido a propósito sobre casos ya cerrados, donde se conoce el desenlace. Es lo que permite medir recuperación: sin él solo se puede medir precisión sobre lo que el sistema ya propuso.</w:t>
      </w:r>
    </w:p>
    <w:p>
      <w:pPr>
        <w:spacing w:after="160" w:line="288"/>
        <w:jc w:val="both"/>
      </w:pPr>
      <w:r>
        <w:rPr>
          <w:rFonts w:ascii="Calibri" w:cs="Calibri" w:eastAsia="Calibri" w:hAnsi="Calibri"/>
          <w:b/>
          <w:bCs/>
          <w:color w:val="242424"/>
          <w:sz w:val="22"/>
          <w:szCs w:val="22"/>
        </w:rPr>
        <w:t xml:space="preserve">Fuente C — Pares descartados. </w:t>
      </w:r>
      <w:r>
        <w:rPr>
          <w:rFonts w:ascii="Calibri" w:cs="Calibri" w:eastAsia="Calibri" w:hAnsi="Calibri"/>
          <w:color w:val="242424"/>
          <w:sz w:val="22"/>
          <w:szCs w:val="22"/>
        </w:rPr>
        <w:t xml:space="preserve">El sistema registra cada par que evaluó y no alcanzó el umbral, con qué comparten y por qué no prosperó. Son negativos difíciles: comparten algo, y aun así no se vincularon. Un modelo entrenado solo con negativos aleatorios aprende a distinguir pares obviamente no relacionados, que no es el problema.</w:t>
      </w:r>
    </w:p>
    <w:p>
      <w:pPr>
        <w:pStyle w:val="Heading2"/>
        <w:keepNext/>
        <w:spacing w:after="100" w:before="240"/>
      </w:pPr>
      <w:r>
        <w:rPr>
          <w:rFonts w:ascii="Roboto" w:cs="Roboto" w:eastAsia="Roboto" w:hAnsi="Roboto"/>
          <w:b/>
          <w:bCs/>
          <w:color w:val="0B2545"/>
          <w:sz w:val="25"/>
          <w:szCs w:val="25"/>
        </w:rPr>
        <w:t xml:space="preserve">6.2 Unidad etiquetada</w:t>
      </w:r>
    </w:p>
    <w:p>
      <w:pPr>
        <w:spacing w:after="160" w:line="288"/>
        <w:jc w:val="both"/>
      </w:pPr>
      <w:r>
        <w:rPr>
          <w:rFonts w:ascii="Calibri" w:cs="Calibri" w:eastAsia="Calibri" w:hAnsi="Calibri"/>
          <w:color w:val="242424"/>
          <w:sz w:val="22"/>
          <w:szCs w:val="22"/>
        </w:rPr>
        <w:t xml:space="preserve">La unidad es el par de reportes, no el reporte. Cada par lleva la siguiente estructura.</w:t>
      </w:r>
    </w:p>
    <w:p>
      <w:pPr>
        <w:spacing w:after="0" w:line="240"/>
        <w:ind w:left="340"/>
        <w:jc w:val="left"/>
      </w:pPr>
      <w:r>
        <w:rPr>
          <w:rFonts w:ascii="Consolas" w:cs="Consolas" w:eastAsia="Consolas" w:hAnsi="Consolas"/>
          <w:color w:val="242424"/>
          <w:sz w:val="17"/>
          <w:szCs w:val="17"/>
        </w:rPr>
        <w:t xml:space="preserve">{</w:t>
      </w:r>
    </w:p>
    <w:p>
      <w:pPr>
        <w:spacing w:after="0" w:line="240"/>
        <w:ind w:left="340"/>
        <w:jc w:val="left"/>
      </w:pPr>
      <w:r>
        <w:rPr>
          <w:rFonts w:ascii="Consolas" w:cs="Consolas" w:eastAsia="Consolas" w:hAnsi="Consolas"/>
          <w:color w:val="242424"/>
          <w:sz w:val="17"/>
          <w:szCs w:val="17"/>
        </w:rPr>
        <w:t xml:space="preserve">  "reporte_a": "…",</w:t>
      </w:r>
    </w:p>
    <w:p>
      <w:pPr>
        <w:spacing w:after="0" w:line="240"/>
        <w:ind w:left="340"/>
        <w:jc w:val="left"/>
      </w:pPr>
      <w:r>
        <w:rPr>
          <w:rFonts w:ascii="Consolas" w:cs="Consolas" w:eastAsia="Consolas" w:hAnsi="Consolas"/>
          <w:color w:val="242424"/>
          <w:sz w:val="17"/>
          <w:szCs w:val="17"/>
        </w:rPr>
        <w:t xml:space="preserve">  "reporte_b": "…",</w:t>
      </w:r>
    </w:p>
    <w:p>
      <w:pPr>
        <w:spacing w:after="0" w:line="240"/>
        <w:ind w:left="340"/>
        <w:jc w:val="left"/>
      </w:pPr>
      <w:r>
        <w:rPr>
          <w:rFonts w:ascii="Consolas" w:cs="Consolas" w:eastAsia="Consolas" w:hAnsi="Consolas"/>
          <w:color w:val="242424"/>
          <w:sz w:val="17"/>
          <w:szCs w:val="17"/>
        </w:rPr>
        <w:t xml:space="preserve">  "relacion": "mismo_autor | misma_victima | mismo_material | mismo_modus | ninguna",</w:t>
      </w:r>
    </w:p>
    <w:p>
      <w:pPr>
        <w:spacing w:after="0" w:line="240"/>
        <w:ind w:left="340"/>
        <w:jc w:val="left"/>
      </w:pPr>
      <w:r>
        <w:rPr>
          <w:rFonts w:ascii="Consolas" w:cs="Consolas" w:eastAsia="Consolas" w:hAnsi="Consolas"/>
          <w:color w:val="242424"/>
          <w:sz w:val="17"/>
          <w:szCs w:val="17"/>
        </w:rPr>
        <w:t xml:space="preserve">  "confianza_anotador": "cierta | probable | insuficiente",</w:t>
      </w:r>
    </w:p>
    <w:p>
      <w:pPr>
        <w:spacing w:after="0" w:line="240"/>
        <w:ind w:left="340"/>
        <w:jc w:val="left"/>
      </w:pPr>
      <w:r>
        <w:rPr>
          <w:rFonts w:ascii="Consolas" w:cs="Consolas" w:eastAsia="Consolas" w:hAnsi="Consolas"/>
          <w:color w:val="242424"/>
          <w:sz w:val="17"/>
          <w:szCs w:val="17"/>
        </w:rPr>
        <w:t xml:space="preserve">  "fundamento": "texto libre del anotador",</w:t>
      </w:r>
    </w:p>
    <w:p>
      <w:pPr>
        <w:spacing w:after="0" w:line="240"/>
        <w:ind w:left="340"/>
        <w:jc w:val="left"/>
      </w:pPr>
      <w:r>
        <w:rPr>
          <w:rFonts w:ascii="Consolas" w:cs="Consolas" w:eastAsia="Consolas" w:hAnsi="Consolas"/>
          <w:color w:val="242424"/>
          <w:sz w:val="17"/>
          <w:szCs w:val="17"/>
        </w:rPr>
        <w:t xml:space="preserve">  "evidencia": ["locator del fragmento o campo en que se apoya", "…"],</w:t>
      </w:r>
    </w:p>
    <w:p>
      <w:pPr>
        <w:spacing w:after="0" w:line="240"/>
        <w:ind w:left="340"/>
        <w:jc w:val="left"/>
      </w:pPr>
      <w:r>
        <w:rPr>
          <w:rFonts w:ascii="Consolas" w:cs="Consolas" w:eastAsia="Consolas" w:hAnsi="Consolas"/>
          <w:color w:val="242424"/>
          <w:sz w:val="17"/>
          <w:szCs w:val="17"/>
        </w:rPr>
        <w:t xml:space="preserve">  "anotador": "…",</w:t>
      </w:r>
    </w:p>
    <w:p>
      <w:pPr>
        <w:spacing w:after="0" w:line="240"/>
        <w:ind w:left="340"/>
        <w:jc w:val="left"/>
      </w:pPr>
      <w:r>
        <w:rPr>
          <w:rFonts w:ascii="Consolas" w:cs="Consolas" w:eastAsia="Consolas" w:hAnsi="Consolas"/>
          <w:color w:val="242424"/>
          <w:sz w:val="17"/>
          <w:szCs w:val="17"/>
        </w:rPr>
        <w:t xml:space="preserve">  "fecha": "…",</w:t>
      </w:r>
    </w:p>
    <w:p>
      <w:pPr>
        <w:spacing w:after="0" w:line="240"/>
        <w:ind w:left="340"/>
        <w:jc w:val="left"/>
      </w:pPr>
      <w:r>
        <w:rPr>
          <w:rFonts w:ascii="Consolas" w:cs="Consolas" w:eastAsia="Consolas" w:hAnsi="Consolas"/>
          <w:color w:val="242424"/>
          <w:sz w:val="17"/>
          <w:szCs w:val="17"/>
        </w:rPr>
        <w:t xml:space="preserve">  "fuente_etiqueta": "decision_operativa | anotacion_dirigida | descarte_del_sistema",</w:t>
      </w:r>
    </w:p>
    <w:p>
      <w:pPr>
        <w:spacing w:after="0" w:line="240"/>
        <w:ind w:left="340"/>
        <w:jc w:val="left"/>
      </w:pPr>
      <w:r>
        <w:rPr>
          <w:rFonts w:ascii="Consolas" w:cs="Consolas" w:eastAsia="Consolas" w:hAnsi="Consolas"/>
          <w:color w:val="242424"/>
          <w:sz w:val="17"/>
          <w:szCs w:val="17"/>
        </w:rPr>
        <w:t xml:space="preserve">  "version_guia": "…"</w:t>
      </w:r>
    </w:p>
    <w:p>
      <w:pPr>
        <w:spacing w:after="0" w:line="240"/>
        <w:ind w:left="340"/>
        <w:jc w:val="left"/>
      </w:pPr>
      <w:r>
        <w:rPr>
          <w:rFonts w:ascii="Consolas" w:cs="Consolas" w:eastAsia="Consolas" w:hAnsi="Consolas"/>
          <w:color w:val="242424"/>
          <w:sz w:val="17"/>
          <w:szCs w:val="17"/>
        </w:rPr>
        <w:t xml:space="preserve">}</w:t>
      </w:r>
    </w:p>
    <w:p>
      <w:pPr>
        <w:spacing w:after="180"/>
      </w:pPr>
    </w:p>
    <w:p>
      <w:pPr>
        <w:spacing w:after="160" w:line="288"/>
        <w:jc w:val="both"/>
      </w:pPr>
      <w:r>
        <w:rPr>
          <w:rFonts w:ascii="Calibri" w:cs="Calibri" w:eastAsia="Calibri" w:hAnsi="Calibri"/>
          <w:color w:val="242424"/>
          <w:sz w:val="22"/>
          <w:szCs w:val="22"/>
        </w:rPr>
        <w:t xml:space="preserve">Tres campos merecen atención.</w:t>
      </w:r>
    </w:p>
    <w:p>
      <w:pPr>
        <w:spacing w:after="160" w:line="288"/>
        <w:jc w:val="both"/>
      </w:pPr>
      <w:r>
        <w:rPr>
          <w:rFonts w:ascii="Calibri" w:cs="Calibri" w:eastAsia="Calibri" w:hAnsi="Calibri"/>
          <w:color w:val="242424"/>
          <w:sz w:val="22"/>
          <w:szCs w:val="22"/>
        </w:rPr>
        <w:t xml:space="preserve">El campo de confianza tiene tres valores, no dos. </w:t>
      </w:r>
      <w:r>
        <w:rPr>
          <w:rFonts w:ascii="Calibri" w:cs="Calibri" w:eastAsia="Calibri" w:hAnsi="Calibri"/>
          <w:b/>
          <w:bCs/>
          <w:color w:val="242424"/>
          <w:sz w:val="22"/>
          <w:szCs w:val="22"/>
        </w:rPr>
        <w:t xml:space="preserve">«Insuficiente» no es «ninguna»</w:t>
      </w:r>
      <w:r>
        <w:rPr>
          <w:rFonts w:ascii="Calibri" w:cs="Calibri" w:eastAsia="Calibri" w:hAnsi="Calibri"/>
          <w:color w:val="242424"/>
          <w:sz w:val="22"/>
          <w:szCs w:val="22"/>
        </w:rPr>
        <w:t xml:space="preserve">. Un par sobre el que el anotador no puede pronunciarse se excluye del entrenamiento en lugar de contarse como negativo. Colapsar ambos es la forma más común de envenenar un conjunto etiquetado en este dominio.</w:t>
      </w:r>
    </w:p>
    <w:p>
      <w:pPr>
        <w:spacing w:after="160" w:line="288"/>
        <w:jc w:val="both"/>
      </w:pPr>
      <w:r>
        <w:rPr>
          <w:rFonts w:ascii="Calibri" w:cs="Calibri" w:eastAsia="Calibri" w:hAnsi="Calibri"/>
          <w:color w:val="242424"/>
          <w:sz w:val="22"/>
          <w:szCs w:val="22"/>
        </w:rPr>
        <w:t xml:space="preserve">El campo de evidencia lleva los locators. Obliga al anotador a señalar en qué se apoyó, y habilita después una evaluación de explicabilidad: se puede comparar lo que el modelo señala con lo que señaló la persona.</w:t>
      </w:r>
    </w:p>
    <w:p>
      <w:pPr>
        <w:spacing w:after="160" w:line="288"/>
        <w:jc w:val="both"/>
      </w:pPr>
      <w:r>
        <w:rPr>
          <w:rFonts w:ascii="Calibri" w:cs="Calibri" w:eastAsia="Calibri" w:hAnsi="Calibri"/>
          <w:color w:val="242424"/>
          <w:sz w:val="22"/>
          <w:szCs w:val="22"/>
        </w:rPr>
        <w:t xml:space="preserve">El campo de versión de guía existe porque las guías de anotación cambian. Una etiqueta producida bajo la primera versión y otra bajo la tercera no son directamente comparables, y hay que poder segmentarlas.</w:t>
      </w:r>
    </w:p>
    <w:p>
      <w:pPr>
        <w:pStyle w:val="Heading2"/>
        <w:keepNext/>
        <w:spacing w:after="100" w:before="240"/>
      </w:pPr>
      <w:r>
        <w:rPr>
          <w:rFonts w:ascii="Roboto" w:cs="Roboto" w:eastAsia="Roboto" w:hAnsi="Roboto"/>
          <w:b/>
          <w:bCs/>
          <w:color w:val="0B2545"/>
          <w:sz w:val="25"/>
          <w:szCs w:val="25"/>
        </w:rPr>
        <w:t xml:space="preserve">6.3 Protocolo de anotación</w:t>
      </w:r>
    </w:p>
    <w:p>
      <w:pPr>
        <w:pStyle w:val="ListParagraph"/>
        <w:numPr>
          <w:ilvl w:val="0"/>
          <w:numId w:val="5"/>
        </w:numPr>
        <w:spacing w:after="80" w:line="284"/>
        <w:jc w:val="both"/>
      </w:pPr>
      <w:r>
        <w:rPr>
          <w:rFonts w:ascii="Calibri" w:cs="Calibri" w:eastAsia="Calibri" w:hAnsi="Calibri"/>
          <w:b/>
          <w:bCs/>
          <w:color w:val="242424"/>
          <w:sz w:val="22"/>
          <w:szCs w:val="22"/>
        </w:rPr>
        <w:t xml:space="preserve">Guía escrita, con casos límite resueltos. </w:t>
      </w:r>
      <w:r>
        <w:rPr>
          <w:rFonts w:ascii="Calibri" w:cs="Calibri" w:eastAsia="Calibri" w:hAnsi="Calibri"/>
          <w:color w:val="242424"/>
          <w:sz w:val="22"/>
          <w:szCs w:val="22"/>
        </w:rPr>
        <w:t xml:space="preserve">No una definición abstracta: diez ejemplos por cada tipo de relación, incluyendo cinco que parecen entrar y no entran.</w:t>
      </w:r>
    </w:p>
    <w:p>
      <w:pPr>
        <w:pStyle w:val="ListParagraph"/>
        <w:numPr>
          <w:ilvl w:val="0"/>
          <w:numId w:val="5"/>
        </w:numPr>
        <w:spacing w:after="80" w:line="284"/>
        <w:jc w:val="both"/>
      </w:pPr>
      <w:r>
        <w:rPr>
          <w:rFonts w:ascii="Calibri" w:cs="Calibri" w:eastAsia="Calibri" w:hAnsi="Calibri"/>
          <w:b/>
          <w:bCs/>
          <w:color w:val="242424"/>
          <w:sz w:val="22"/>
          <w:szCs w:val="22"/>
        </w:rPr>
        <w:t xml:space="preserve">Doble anotación ciega </w:t>
      </w:r>
      <w:r>
        <w:rPr>
          <w:rFonts w:ascii="Calibri" w:cs="Calibri" w:eastAsia="Calibri" w:hAnsi="Calibri"/>
          <w:color w:val="242424"/>
          <w:sz w:val="22"/>
          <w:szCs w:val="22"/>
        </w:rPr>
        <w:t xml:space="preserve">sobre el veinte por ciento de los pares. Los dos anotadores no ven la decisión del otro.</w:t>
      </w:r>
    </w:p>
    <w:p>
      <w:pPr>
        <w:pStyle w:val="ListParagraph"/>
        <w:numPr>
          <w:ilvl w:val="0"/>
          <w:numId w:val="5"/>
        </w:numPr>
        <w:spacing w:after="80" w:line="284"/>
        <w:jc w:val="both"/>
      </w:pPr>
      <w:r>
        <w:rPr>
          <w:rFonts w:ascii="Calibri" w:cs="Calibri" w:eastAsia="Calibri" w:hAnsi="Calibri"/>
          <w:b/>
          <w:bCs/>
          <w:color w:val="242424"/>
          <w:sz w:val="22"/>
          <w:szCs w:val="22"/>
        </w:rPr>
        <w:t xml:space="preserve">Medición de acuerdo </w:t>
      </w:r>
      <w:r>
        <w:rPr>
          <w:rFonts w:ascii="Calibri" w:cs="Calibri" w:eastAsia="Calibri" w:hAnsi="Calibri"/>
          <w:color w:val="242424"/>
          <w:sz w:val="22"/>
          <w:szCs w:val="22"/>
        </w:rPr>
        <w:t xml:space="preserve">con el coeficiente kappa de Cohen sobre ese solapamiento.</w:t>
      </w:r>
    </w:p>
    <w:p>
      <w:pPr>
        <w:pStyle w:val="ListParagraph"/>
        <w:numPr>
          <w:ilvl w:val="0"/>
          <w:numId w:val="5"/>
        </w:numPr>
        <w:spacing w:after="80" w:line="284"/>
        <w:jc w:val="both"/>
      </w:pPr>
      <w:r>
        <w:rPr>
          <w:rFonts w:ascii="Calibri" w:cs="Calibri" w:eastAsia="Calibri" w:hAnsi="Calibri"/>
          <w:b/>
          <w:bCs/>
          <w:color w:val="242424"/>
          <w:sz w:val="22"/>
          <w:szCs w:val="22"/>
        </w:rPr>
        <w:t xml:space="preserve">Adjudicación </w:t>
      </w:r>
      <w:r>
        <w:rPr>
          <w:rFonts w:ascii="Calibri" w:cs="Calibri" w:eastAsia="Calibri" w:hAnsi="Calibri"/>
          <w:color w:val="242424"/>
          <w:sz w:val="22"/>
          <w:szCs w:val="22"/>
        </w:rPr>
        <w:t xml:space="preserve">de los desacuerdos por una tercera persona, y actualización de la guía con el caso.</w:t>
      </w:r>
    </w:p>
    <w:p>
      <w:pPr>
        <w:pStyle w:val="ListParagraph"/>
        <w:numPr>
          <w:ilvl w:val="0"/>
          <w:numId w:val="5"/>
        </w:numPr>
        <w:spacing w:after="80" w:line="284"/>
        <w:jc w:val="both"/>
      </w:pPr>
      <w:r>
        <w:rPr>
          <w:rFonts w:ascii="Calibri" w:cs="Calibri" w:eastAsia="Calibri" w:hAnsi="Calibri"/>
          <w:b/>
          <w:bCs/>
          <w:color w:val="242424"/>
          <w:sz w:val="22"/>
          <w:szCs w:val="22"/>
        </w:rPr>
        <w:t xml:space="preserve">Anotación simple </w:t>
      </w:r>
      <w:r>
        <w:rPr>
          <w:rFonts w:ascii="Calibri" w:cs="Calibri" w:eastAsia="Calibri" w:hAnsi="Calibri"/>
          <w:color w:val="242424"/>
          <w:sz w:val="22"/>
          <w:szCs w:val="22"/>
        </w:rPr>
        <w:t xml:space="preserve">del resto, una vez alcanzado el umbral de acuerdo.</w:t>
      </w:r>
    </w:p>
    <w:p>
      <w:pPr>
        <w:spacing w:after="160" w:line="288"/>
        <w:jc w:val="both"/>
      </w:pPr>
      <w:r>
        <w:rPr>
          <w:rFonts w:ascii="Calibri" w:cs="Calibri" w:eastAsia="Calibri" w:hAnsi="Calibri"/>
          <w:b/>
          <w:bCs/>
          <w:color w:val="242424"/>
          <w:sz w:val="22"/>
          <w:szCs w:val="22"/>
        </w:rPr>
        <w:t xml:space="preserve">Criterio de avance: kappa mayor o igual a 0,70 antes de escalar la anotación. </w:t>
      </w:r>
      <w:r>
        <w:rPr>
          <w:rFonts w:ascii="Calibri" w:cs="Calibri" w:eastAsia="Calibri" w:hAnsi="Calibri"/>
          <w:color w:val="242424"/>
          <w:sz w:val="22"/>
          <w:szCs w:val="22"/>
        </w:rPr>
        <w:t xml:space="preserve">Por debajo de ese valor el desacuerdo no está en los casos difíciles: está en la definición. Anotar en volumen antes de resolverlo produce un conjunto que mide el ruido entre anotadores y no el fenómeno.</w:t>
      </w:r>
    </w:p>
    <w:p>
      <w:pPr>
        <w:pStyle w:val="Heading2"/>
        <w:keepNext/>
        <w:spacing w:after="100" w:before="240"/>
      </w:pPr>
      <w:r>
        <w:rPr>
          <w:rFonts w:ascii="Roboto" w:cs="Roboto" w:eastAsia="Roboto" w:hAnsi="Roboto"/>
          <w:b/>
          <w:bCs/>
          <w:color w:val="0B2545"/>
          <w:sz w:val="25"/>
          <w:szCs w:val="25"/>
        </w:rPr>
        <w:t xml:space="preserve">6.4 Los archivados no son negativos</w:t>
      </w:r>
    </w:p>
    <w:p>
      <w:pPr>
        <w:spacing w:after="160" w:line="288"/>
        <w:jc w:val="both"/>
      </w:pPr>
      <w:r>
        <w:rPr>
          <w:rFonts w:ascii="Calibri" w:cs="Calibri" w:eastAsia="Calibri" w:hAnsi="Calibri"/>
          <w:color w:val="242424"/>
          <w:sz w:val="22"/>
          <w:szCs w:val="22"/>
        </w:rPr>
        <w:t xml:space="preserve">Un reporte archivado por insuficiencia de evidencia describe </w:t>
      </w:r>
      <w:r>
        <w:rPr>
          <w:rFonts w:ascii="Calibri" w:cs="Calibri" w:eastAsia="Calibri" w:hAnsi="Calibri"/>
          <w:b/>
          <w:bCs/>
          <w:color w:val="242424"/>
          <w:sz w:val="22"/>
          <w:szCs w:val="22"/>
        </w:rPr>
        <w:t xml:space="preserve">una limitación del momento del archivo</w:t>
      </w:r>
      <w:r>
        <w:rPr>
          <w:rFonts w:ascii="Calibri" w:cs="Calibri" w:eastAsia="Calibri" w:hAnsi="Calibri"/>
          <w:color w:val="242424"/>
          <w:sz w:val="22"/>
          <w:szCs w:val="22"/>
        </w:rPr>
        <w:t xml:space="preserve">, no la inexistencia del hecho. Usarlo como ejemplo negativo enseña al modelo a replicar exactamente aquello que el sistema existe para corregir.</w:t>
      </w:r>
    </w:p>
    <w:p>
      <w:pPr>
        <w:spacing w:after="160" w:line="288"/>
        <w:jc w:val="both"/>
      </w:pPr>
      <w:r>
        <w:rPr>
          <w:rFonts w:ascii="Calibri" w:cs="Calibri" w:eastAsia="Calibri" w:hAnsi="Calibri"/>
          <w:color w:val="242424"/>
          <w:sz w:val="22"/>
          <w:szCs w:val="22"/>
        </w:rPr>
        <w:t xml:space="preserve">El tratamiento correcto es el aprendizaje positivo–no etiquetado: se dispone de positivos confirmados y de un conjunto no etiquetado que contiene positivos desconocidos y negativos. Hay dos estrategias aplicables.</w:t>
      </w:r>
    </w:p>
    <w:p>
      <w:pPr>
        <w:pStyle w:val="ListParagraph"/>
        <w:numPr>
          <w:ilvl w:val="0"/>
          <w:numId w:val="4"/>
        </w:numPr>
        <w:spacing w:after="80" w:line="284"/>
        <w:jc w:val="both"/>
      </w:pPr>
      <w:r>
        <w:rPr>
          <w:rFonts w:ascii="Calibri" w:cs="Calibri" w:eastAsia="Calibri" w:hAnsi="Calibri"/>
          <w:b/>
          <w:bCs/>
          <w:color w:val="242424"/>
          <w:sz w:val="22"/>
          <w:szCs w:val="22"/>
        </w:rPr>
        <w:t xml:space="preserve">Estimación de la prevalencia </w:t>
      </w:r>
      <w:r>
        <w:rPr>
          <w:rFonts w:ascii="Calibri" w:cs="Calibri" w:eastAsia="Calibri" w:hAnsi="Calibri"/>
          <w:color w:val="242424"/>
          <w:sz w:val="22"/>
          <w:szCs w:val="22"/>
        </w:rPr>
        <w:t xml:space="preserve">de positivos en el conjunto no etiquetado a partir de una muestra anotada exhaustivamente, y corrección del sesgo del clasificador con esa estimación.</w:t>
      </w:r>
    </w:p>
    <w:p>
      <w:pPr>
        <w:pStyle w:val="ListParagraph"/>
        <w:numPr>
          <w:ilvl w:val="0"/>
          <w:numId w:val="4"/>
        </w:numPr>
        <w:spacing w:after="80" w:line="284"/>
        <w:jc w:val="both"/>
      </w:pPr>
      <w:r>
        <w:rPr>
          <w:rFonts w:ascii="Calibri" w:cs="Calibri" w:eastAsia="Calibri" w:hAnsi="Calibri"/>
          <w:b/>
          <w:bCs/>
          <w:color w:val="242424"/>
          <w:sz w:val="22"/>
          <w:szCs w:val="22"/>
        </w:rPr>
        <w:t xml:space="preserve">Bagging de negativos confiables: </w:t>
      </w:r>
      <w:r>
        <w:rPr>
          <w:rFonts w:ascii="Calibri" w:cs="Calibri" w:eastAsia="Calibri" w:hAnsi="Calibri"/>
          <w:color w:val="242424"/>
          <w:sz w:val="22"/>
          <w:szCs w:val="22"/>
        </w:rPr>
        <w:t xml:space="preserve">entrenar múltiples clasificadores sobre submuestras del conjunto no etiquetado, y considerar negativos confiables solo aquellos pares que todos los clasificadores rechazan consistentemente.</w:t>
      </w:r>
    </w:p>
    <w:p>
      <w:pPr>
        <w:spacing w:after="160" w:line="288"/>
        <w:jc w:val="both"/>
      </w:pPr>
      <w:r>
        <w:rPr>
          <w:rFonts w:ascii="Calibri" w:cs="Calibri" w:eastAsia="Calibri" w:hAnsi="Calibri"/>
          <w:color w:val="242424"/>
          <w:sz w:val="22"/>
          <w:szCs w:val="22"/>
        </w:rPr>
        <w:t xml:space="preserve">Los negativos que sí se pueden usar con confianza son los de la fuente C, es decir los pares que un operador evaluó y descartó explícitamente, y los pares anotados como sin relación con confianza cierta.</w:t>
      </w:r>
    </w:p>
    <w:p>
      <w:pPr>
        <w:pStyle w:val="Heading2"/>
        <w:keepNext/>
        <w:spacing w:after="100" w:before="240"/>
      </w:pPr>
      <w:r>
        <w:rPr>
          <w:rFonts w:ascii="Roboto" w:cs="Roboto" w:eastAsia="Roboto" w:hAnsi="Roboto"/>
          <w:b/>
          <w:bCs/>
          <w:color w:val="0B2545"/>
          <w:sz w:val="25"/>
          <w:szCs w:val="25"/>
        </w:rPr>
        <w:t xml:space="preserve">6.5 Volumen objetivo</w:t>
      </w:r>
    </w:p>
    <w:p>
      <w:pPr>
        <w:spacing w:after="160" w:line="288"/>
        <w:jc w:val="both"/>
      </w:pPr>
      <w:r>
        <w:rPr>
          <w:rFonts w:ascii="Calibri" w:cs="Calibri" w:eastAsia="Calibri" w:hAnsi="Calibri"/>
          <w:color w:val="242424"/>
          <w:sz w:val="22"/>
          <w:szCs w:val="22"/>
        </w:rPr>
        <w:t xml:space="preserve">El volumen se dimensiona por tipo de relación, no en total.</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200"/>
        <w:gridCol w:w="4472"/>
      </w:tblGrid>
      <w:tr>
        <w:trPr>
          <w:tblHeader/>
        </w:trPr>
        <w:tc>
          <w:tcPr>
            <w:tcW w:type="dxa" w:w="24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Etapa</w:t>
            </w:r>
          </w:p>
        </w:tc>
        <w:tc>
          <w:tcPr>
            <w:tcW w:type="dxa" w:w="22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Positivos por tipo</w:t>
            </w:r>
          </w:p>
        </w:tc>
        <w:tc>
          <w:tcPr>
            <w:tcW w:type="dxa" w:w="44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Para qué alcanza</w:t>
            </w:r>
          </w:p>
        </w:tc>
      </w:tr>
      <w:tr>
        <w:tc>
          <w:tcPr>
            <w:tcW w:type="dxa" w:w="2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Mínimo viable</w:t>
            </w:r>
          </w:p>
        </w:tc>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150</w:t>
            </w:r>
          </w:p>
        </w:tc>
        <w:tc>
          <w:tcPr>
            <w:tcW w:type="dxa" w:w="4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Medir si la señal existe; no entrenar</w:t>
            </w:r>
          </w:p>
        </w:tc>
      </w:tr>
      <w:tr>
        <w:tc>
          <w:tcPr>
            <w:tcW w:type="dxa" w:w="2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Baseline semántico</w:t>
            </w:r>
          </w:p>
        </w:tc>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400</w:t>
            </w:r>
          </w:p>
        </w:tc>
        <w:tc>
          <w:tcPr>
            <w:tcW w:type="dxa" w:w="4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Ajustar umbrales de similitud y evaluar recuperación</w:t>
            </w:r>
          </w:p>
        </w:tc>
      </w:tr>
      <w:tr>
        <w:tc>
          <w:tcPr>
            <w:tcW w:type="dxa" w:w="2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GNN experimental</w:t>
            </w:r>
          </w:p>
        </w:tc>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1.000</w:t>
            </w:r>
          </w:p>
        </w:tc>
        <w:tc>
          <w:tcPr>
            <w:tcW w:type="dxa" w:w="4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Entrenar con validación cruzada estable</w:t>
            </w:r>
          </w:p>
        </w:tc>
      </w:tr>
      <w:tr>
        <w:tc>
          <w:tcPr>
            <w:tcW w:type="dxa" w:w="2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GNN en circuito</w:t>
            </w:r>
          </w:p>
        </w:tc>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2.500 o más</w:t>
            </w:r>
          </w:p>
        </w:tc>
        <w:tc>
          <w:tcPr>
            <w:tcW w:type="dxa" w:w="4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Evaluación por subgrupos y detección de sesgo</w:t>
            </w:r>
          </w:p>
        </w:tc>
      </w:tr>
    </w:tbl>
    <w:p>
      <w:pPr>
        <w:spacing w:after="160" w:line="288"/>
        <w:jc w:val="both"/>
      </w:pPr>
      <w:r>
        <w:rPr>
          <w:rFonts w:ascii="Calibri" w:cs="Calibri" w:eastAsia="Calibri" w:hAnsi="Calibri"/>
          <w:color w:val="242424"/>
          <w:sz w:val="22"/>
          <w:szCs w:val="22"/>
        </w:rPr>
        <w:t xml:space="preserve">La relación de modus operandi admite volúmenes menores por tipo porque es más frecuente; la de misma víctima exigirá el esfuerzo mayor por ser la más escasa y la más sensible.</w:t>
      </w:r>
    </w:p>
    <w:p>
      <w:pPr>
        <w:spacing w:after="160" w:line="288"/>
        <w:jc w:val="both"/>
      </w:pPr>
      <w:r>
        <w:rPr>
          <w:rFonts w:ascii="Calibri" w:cs="Calibri" w:eastAsia="Calibri" w:hAnsi="Calibri"/>
          <w:color w:val="242424"/>
          <w:sz w:val="22"/>
          <w:szCs w:val="22"/>
        </w:rPr>
        <w:t xml:space="preserve">Estos números son órdenes de magnitud para planificar, y se ajustan con la primera medición de curva de aprendizaje: se entrena con el veinticinco, el cincuenta, el setenta y cinco y el cien por ciento del conjunto disponible y se observa si la métrica sigue subiendo. Si sigue subiendo, falta conjunto.</w:t>
      </w:r>
    </w:p>
    <w:p>
      <w:pPr>
        <w:pStyle w:val="Heading2"/>
        <w:keepNext/>
        <w:spacing w:after="100" w:before="240"/>
      </w:pPr>
      <w:r>
        <w:rPr>
          <w:rFonts w:ascii="Roboto" w:cs="Roboto" w:eastAsia="Roboto" w:hAnsi="Roboto"/>
          <w:b/>
          <w:bCs/>
          <w:color w:val="0B2545"/>
          <w:sz w:val="25"/>
          <w:szCs w:val="25"/>
        </w:rPr>
        <w:t xml:space="preserve">6.6 Gobierno del conjunto</w:t>
      </w:r>
    </w:p>
    <w:p>
      <w:pPr>
        <w:pStyle w:val="ListParagraph"/>
        <w:numPr>
          <w:ilvl w:val="0"/>
          <w:numId w:val="4"/>
        </w:numPr>
        <w:spacing w:after="80" w:line="284"/>
        <w:jc w:val="both"/>
      </w:pPr>
      <w:r>
        <w:rPr>
          <w:rFonts w:ascii="Calibri" w:cs="Calibri" w:eastAsia="Calibri" w:hAnsi="Calibri"/>
          <w:b/>
          <w:bCs/>
          <w:color w:val="242424"/>
          <w:sz w:val="22"/>
          <w:szCs w:val="22"/>
        </w:rPr>
        <w:t xml:space="preserve">Particiones congeladas. </w:t>
      </w:r>
      <w:r>
        <w:rPr>
          <w:rFonts w:ascii="Calibri" w:cs="Calibri" w:eastAsia="Calibri" w:hAnsi="Calibri"/>
          <w:color w:val="242424"/>
          <w:sz w:val="22"/>
          <w:szCs w:val="22"/>
        </w:rPr>
        <w:t xml:space="preserve">Una vez definidas las particiones de entrenamiento, validación y prueba, no se reetiqueta un par que ya está en prueba: se agrega a una partición nueva.</w:t>
      </w:r>
    </w:p>
    <w:p>
      <w:pPr>
        <w:pStyle w:val="ListParagraph"/>
        <w:numPr>
          <w:ilvl w:val="0"/>
          <w:numId w:val="4"/>
        </w:numPr>
        <w:spacing w:after="80" w:line="284"/>
        <w:jc w:val="both"/>
      </w:pPr>
      <w:r>
        <w:rPr>
          <w:rFonts w:ascii="Calibri" w:cs="Calibri" w:eastAsia="Calibri" w:hAnsi="Calibri"/>
          <w:b/>
          <w:bCs/>
          <w:color w:val="242424"/>
          <w:sz w:val="22"/>
          <w:szCs w:val="22"/>
        </w:rPr>
        <w:t xml:space="preserve">Versionado del conjunto, </w:t>
      </w:r>
      <w:r>
        <w:rPr>
          <w:rFonts w:ascii="Calibri" w:cs="Calibri" w:eastAsia="Calibri" w:hAnsi="Calibri"/>
          <w:color w:val="242424"/>
          <w:sz w:val="22"/>
          <w:szCs w:val="22"/>
        </w:rPr>
        <w:t xml:space="preserve">con hash del contenido. Todo resultado reportado cita la versión del conjunto sobre la que se obtuvo.</w:t>
      </w:r>
    </w:p>
    <w:p>
      <w:pPr>
        <w:pStyle w:val="ListParagraph"/>
        <w:numPr>
          <w:ilvl w:val="0"/>
          <w:numId w:val="4"/>
        </w:numPr>
        <w:spacing w:after="80" w:line="284"/>
        <w:jc w:val="both"/>
      </w:pPr>
      <w:r>
        <w:rPr>
          <w:rFonts w:ascii="Calibri" w:cs="Calibri" w:eastAsia="Calibri" w:hAnsi="Calibri"/>
          <w:b/>
          <w:bCs/>
          <w:color w:val="242424"/>
          <w:sz w:val="22"/>
          <w:szCs w:val="22"/>
        </w:rPr>
        <w:t xml:space="preserve">Trazabilidad del anotador. </w:t>
      </w:r>
      <w:r>
        <w:rPr>
          <w:rFonts w:ascii="Calibri" w:cs="Calibri" w:eastAsia="Calibri" w:hAnsi="Calibri"/>
          <w:color w:val="242424"/>
          <w:sz w:val="22"/>
          <w:szCs w:val="22"/>
        </w:rPr>
        <w:t xml:space="preserve">Permite detectar deriva individual y recalibrar.</w:t>
      </w:r>
    </w:p>
    <w:p>
      <w:pPr>
        <w:pStyle w:val="ListParagraph"/>
        <w:numPr>
          <w:ilvl w:val="0"/>
          <w:numId w:val="4"/>
        </w:numPr>
        <w:spacing w:after="80" w:line="284"/>
        <w:jc w:val="both"/>
      </w:pPr>
      <w:r>
        <w:rPr>
          <w:rFonts w:ascii="Calibri" w:cs="Calibri" w:eastAsia="Calibri" w:hAnsi="Calibri"/>
          <w:b/>
          <w:bCs/>
          <w:color w:val="242424"/>
          <w:sz w:val="22"/>
          <w:szCs w:val="22"/>
        </w:rPr>
        <w:t xml:space="preserve">Revisión periódica de una muestra </w:t>
      </w:r>
      <w:r>
        <w:rPr>
          <w:rFonts w:ascii="Calibri" w:cs="Calibri" w:eastAsia="Calibri" w:hAnsi="Calibri"/>
          <w:color w:val="242424"/>
          <w:sz w:val="22"/>
          <w:szCs w:val="22"/>
        </w:rPr>
        <w:t xml:space="preserve">por una segunda persona, para detectar deriva del criterio a lo largo del tiempo.</w:t>
      </w:r>
    </w:p>
    <w:p>
      <w:pPr>
        <w:pStyle w:val="Heading1"/>
        <w:keepNext/>
        <w:spacing w:after="140" w:before="340"/>
      </w:pPr>
      <w:r>
        <w:rPr>
          <w:rFonts w:ascii="Roboto" w:cs="Roboto" w:eastAsia="Roboto" w:hAnsi="Roboto"/>
          <w:b/>
          <w:bCs/>
          <w:color w:val="0B2545"/>
          <w:sz w:val="30"/>
          <w:szCs w:val="30"/>
        </w:rPr>
        <w:t xml:space="preserve">7. Baseline semántico</w:t>
      </w:r>
    </w:p>
    <w:p>
      <w:pPr>
        <w:spacing w:after="160" w:line="288"/>
        <w:jc w:val="both"/>
      </w:pPr>
      <w:r>
        <w:rPr>
          <w:rFonts w:ascii="Calibri" w:cs="Calibri" w:eastAsia="Calibri" w:hAnsi="Calibri"/>
          <w:color w:val="242424"/>
          <w:sz w:val="22"/>
          <w:szCs w:val="22"/>
        </w:rPr>
        <w:t xml:space="preserve">Antes de la red neuronal se construye un sistema completo sin ella. No es un paso preparatorio: es un producto entregable, y además es la vara contra la cual se mide la red.</w:t>
      </w:r>
    </w:p>
    <w:p>
      <w:pPr>
        <w:pStyle w:val="Heading2"/>
        <w:keepNext/>
        <w:spacing w:after="100" w:before="240"/>
      </w:pPr>
      <w:r>
        <w:rPr>
          <w:rFonts w:ascii="Roboto" w:cs="Roboto" w:eastAsia="Roboto" w:hAnsi="Roboto"/>
          <w:b/>
          <w:bCs/>
          <w:color w:val="0B2545"/>
          <w:sz w:val="25"/>
          <w:szCs w:val="25"/>
        </w:rPr>
        <w:t xml:space="preserve">7.1 Componentes</w:t>
      </w:r>
    </w:p>
    <w:p>
      <w:pPr>
        <w:pStyle w:val="ListParagraph"/>
        <w:numPr>
          <w:ilvl w:val="0"/>
          <w:numId w:val="6"/>
        </w:numPr>
        <w:spacing w:after="80" w:line="284"/>
        <w:jc w:val="both"/>
      </w:pPr>
      <w:r>
        <w:rPr>
          <w:rFonts w:ascii="Calibri" w:cs="Calibri" w:eastAsia="Calibri" w:hAnsi="Calibri"/>
          <w:b/>
          <w:bCs/>
          <w:color w:val="242424"/>
          <w:sz w:val="22"/>
          <w:szCs w:val="22"/>
        </w:rPr>
        <w:t xml:space="preserve">Recuperación densa. </w:t>
      </w:r>
      <w:r>
        <w:rPr>
          <w:rFonts w:ascii="Calibri" w:cs="Calibri" w:eastAsia="Calibri" w:hAnsi="Calibri"/>
          <w:color w:val="242424"/>
          <w:sz w:val="22"/>
          <w:szCs w:val="22"/>
        </w:rPr>
        <w:t xml:space="preserve">Para el reporte en análisis, recuperar los fragmentos más similares del corpus por coseno sobre los embeddings, y agregar por reporte.</w:t>
      </w:r>
    </w:p>
    <w:p>
      <w:pPr>
        <w:pStyle w:val="ListParagraph"/>
        <w:numPr>
          <w:ilvl w:val="0"/>
          <w:numId w:val="6"/>
        </w:numPr>
        <w:spacing w:after="80" w:line="284"/>
        <w:jc w:val="both"/>
      </w:pPr>
      <w:r>
        <w:rPr>
          <w:rFonts w:ascii="Calibri" w:cs="Calibri" w:eastAsia="Calibri" w:hAnsi="Calibri"/>
          <w:b/>
          <w:bCs/>
          <w:color w:val="242424"/>
          <w:sz w:val="22"/>
          <w:szCs w:val="22"/>
        </w:rPr>
        <w:t xml:space="preserve">Recuperación léxica. </w:t>
      </w:r>
      <w:r>
        <w:rPr>
          <w:rFonts w:ascii="Calibri" w:cs="Calibri" w:eastAsia="Calibri" w:hAnsi="Calibri"/>
          <w:color w:val="242424"/>
          <w:sz w:val="22"/>
          <w:szCs w:val="22"/>
        </w:rPr>
        <w:t xml:space="preserve">BM25 sobre el mismo corpus. Captura coincidencias exactas de jerga, apodos y expresiones que el modelo denso diluye.</w:t>
      </w:r>
    </w:p>
    <w:p>
      <w:pPr>
        <w:pStyle w:val="ListParagraph"/>
        <w:numPr>
          <w:ilvl w:val="0"/>
          <w:numId w:val="6"/>
        </w:numPr>
        <w:spacing w:after="80" w:line="284"/>
        <w:jc w:val="both"/>
      </w:pPr>
      <w:r>
        <w:rPr>
          <w:rFonts w:ascii="Calibri" w:cs="Calibri" w:eastAsia="Calibri" w:hAnsi="Calibri"/>
          <w:b/>
          <w:bCs/>
          <w:color w:val="242424"/>
          <w:sz w:val="22"/>
          <w:szCs w:val="22"/>
        </w:rPr>
        <w:t xml:space="preserve">Fusión. </w:t>
      </w:r>
      <w:r>
        <w:rPr>
          <w:rFonts w:ascii="Calibri" w:cs="Calibri" w:eastAsia="Calibri" w:hAnsi="Calibri"/>
          <w:color w:val="242424"/>
          <w:sz w:val="22"/>
          <w:szCs w:val="22"/>
        </w:rPr>
        <w:t xml:space="preserve">Combinación de ambos rankings por fusión de rango recíproco, que no requiere calibrar escalas entre sistemas heterogéneos.</w:t>
      </w:r>
    </w:p>
    <w:p>
      <w:pPr>
        <w:pStyle w:val="ListParagraph"/>
        <w:numPr>
          <w:ilvl w:val="0"/>
          <w:numId w:val="6"/>
        </w:numPr>
        <w:spacing w:after="80" w:line="284"/>
        <w:jc w:val="both"/>
      </w:pPr>
      <w:r>
        <w:rPr>
          <w:rFonts w:ascii="Calibri" w:cs="Calibri" w:eastAsia="Calibri" w:hAnsi="Calibri"/>
          <w:b/>
          <w:bCs/>
          <w:color w:val="242424"/>
          <w:sz w:val="22"/>
          <w:szCs w:val="22"/>
        </w:rPr>
        <w:t xml:space="preserve">Señal estructural. </w:t>
      </w:r>
      <w:r>
        <w:rPr>
          <w:rFonts w:ascii="Calibri" w:cs="Calibri" w:eastAsia="Calibri" w:hAnsi="Calibri"/>
          <w:color w:val="242424"/>
          <w:sz w:val="22"/>
          <w:szCs w:val="22"/>
        </w:rPr>
        <w:t xml:space="preserve">El puntaje Adamic–Adar del par, ya disponible.</w:t>
      </w:r>
    </w:p>
    <w:p>
      <w:pPr>
        <w:pStyle w:val="ListParagraph"/>
        <w:numPr>
          <w:ilvl w:val="0"/>
          <w:numId w:val="6"/>
        </w:numPr>
        <w:spacing w:after="80" w:line="284"/>
        <w:jc w:val="both"/>
      </w:pPr>
      <w:r>
        <w:rPr>
          <w:rFonts w:ascii="Calibri" w:cs="Calibri" w:eastAsia="Calibri" w:hAnsi="Calibri"/>
          <w:b/>
          <w:bCs/>
          <w:color w:val="242424"/>
          <w:sz w:val="22"/>
          <w:szCs w:val="22"/>
        </w:rPr>
        <w:t xml:space="preserve">Combinación final. </w:t>
      </w:r>
      <w:r>
        <w:rPr>
          <w:rFonts w:ascii="Calibri" w:cs="Calibri" w:eastAsia="Calibri" w:hAnsi="Calibri"/>
          <w:color w:val="242424"/>
          <w:sz w:val="22"/>
          <w:szCs w:val="22"/>
        </w:rPr>
        <w:t xml:space="preserve">Un modelo lineal o un árbol de decisión de poca profundidad sobre estas cuatro señales, entrenado sobre el conjunto etiquetado. Se elige un modelo simple deliberadamente: sus coeficientes son inspeccionables y su comportamiento, previsible.</w:t>
      </w:r>
    </w:p>
    <w:p>
      <w:pPr>
        <w:pStyle w:val="Heading2"/>
        <w:keepNext/>
        <w:spacing w:after="100" w:before="240"/>
      </w:pPr>
      <w:r>
        <w:rPr>
          <w:rFonts w:ascii="Roboto" w:cs="Roboto" w:eastAsia="Roboto" w:hAnsi="Roboto"/>
          <w:b/>
          <w:bCs/>
          <w:color w:val="0B2545"/>
          <w:sz w:val="25"/>
          <w:szCs w:val="25"/>
        </w:rPr>
        <w:t xml:space="preserve">7.2 Por qué este orden</w:t>
      </w:r>
    </w:p>
    <w:p>
      <w:pPr>
        <w:spacing w:after="160" w:line="288"/>
        <w:jc w:val="both"/>
      </w:pPr>
      <w:r>
        <w:rPr>
          <w:rFonts w:ascii="Calibri" w:cs="Calibri" w:eastAsia="Calibri" w:hAnsi="Calibri"/>
          <w:color w:val="242424"/>
          <w:sz w:val="22"/>
          <w:szCs w:val="22"/>
        </w:rPr>
        <w:t xml:space="preserve">Un porcentaje sustancial de la vinculación contextual se resuelve con similitud textual bien hecha. Construir la red antes de saber cuánto es ese porcentaje impide después atribuirle mérito: si rinde, no se sabe cuánto de eso venía de los embeddings. Además, el baseline semántico entrega valor operativo mientras el conjunto etiquetado todavía se está construyendo, y su uso genera etiquetas.</w:t>
      </w:r>
    </w:p>
    <w:p>
      <w:pPr>
        <w:pStyle w:val="Heading1"/>
        <w:keepNext/>
        <w:spacing w:after="140" w:before="340"/>
      </w:pPr>
      <w:r>
        <w:rPr>
          <w:rFonts w:ascii="Roboto" w:cs="Roboto" w:eastAsia="Roboto" w:hAnsi="Roboto"/>
          <w:b/>
          <w:bCs/>
          <w:color w:val="0B2545"/>
          <w:sz w:val="30"/>
          <w:szCs w:val="30"/>
        </w:rPr>
        <w:t xml:space="preserve">8. Modelo de grafos</w:t>
      </w:r>
    </w:p>
    <w:p>
      <w:pPr>
        <w:pStyle w:val="Heading2"/>
        <w:keepNext/>
        <w:spacing w:after="100" w:before="240"/>
      </w:pPr>
      <w:r>
        <w:rPr>
          <w:rFonts w:ascii="Roboto" w:cs="Roboto" w:eastAsia="Roboto" w:hAnsi="Roboto"/>
          <w:b/>
          <w:bCs/>
          <w:color w:val="0B2545"/>
          <w:sz w:val="25"/>
          <w:szCs w:val="25"/>
        </w:rPr>
        <w:t xml:space="preserve">8.1 Formulación</w:t>
      </w:r>
    </w:p>
    <w:p>
      <w:pPr>
        <w:spacing w:after="160" w:line="288"/>
        <w:jc w:val="both"/>
      </w:pPr>
      <w:r>
        <w:rPr>
          <w:rFonts w:ascii="Calibri" w:cs="Calibri" w:eastAsia="Calibri" w:hAnsi="Calibri"/>
          <w:color w:val="242424"/>
          <w:sz w:val="22"/>
          <w:szCs w:val="22"/>
        </w:rPr>
        <w:t xml:space="preserve">Predicción de enlaces sobre grafo heterogéneo, con arquitectura codificador–decodificador. El codificador es una red sobre grafos que produce una representación vectorial por nodo, agregando información de sus vecinos a lo largo de varios saltos, con parámetros distintos por tipo de relación. El decodificador es una función que, dadas las representaciones de dos nodos reporte, produce un puntaje por cada tipo de relación contextual.</w:t>
      </w:r>
    </w:p>
    <w:p>
      <w:pPr>
        <w:spacing w:after="160" w:line="288"/>
        <w:jc w:val="both"/>
      </w:pPr>
      <w:r>
        <w:rPr>
          <w:rFonts w:ascii="Calibri" w:cs="Calibri" w:eastAsia="Calibri" w:hAnsi="Calibri"/>
          <w:color w:val="242424"/>
          <w:sz w:val="22"/>
          <w:szCs w:val="22"/>
        </w:rPr>
        <w:t xml:space="preserve">Formalmente, para cada capa y cada tipo de relación:</w:t>
      </w:r>
    </w:p>
    <w:p>
      <w:pPr>
        <w:spacing w:after="0" w:line="240"/>
        <w:ind w:left="340"/>
        <w:jc w:val="left"/>
      </w:pPr>
      <w:r>
        <w:rPr>
          <w:rFonts w:ascii="Consolas" w:cs="Consolas" w:eastAsia="Consolas" w:hAnsi="Consolas"/>
          <w:color w:val="242424"/>
          <w:sz w:val="17"/>
          <w:szCs w:val="17"/>
        </w:rPr>
        <w:t xml:space="preserve">h_v^(l+1) = σ( W_0^(l) h_v^(l) + Σ_r Σ_{u ∈ N_r(v)}  (1 / c_{v,r}) W_r^(l) h_u^(l) )</w:t>
      </w:r>
    </w:p>
    <w:p>
      <w:pPr>
        <w:spacing w:after="120"/>
      </w:pPr>
    </w:p>
    <w:p>
      <w:pPr>
        <w:spacing w:after="160" w:line="288"/>
        <w:jc w:val="both"/>
      </w:pPr>
      <w:r>
        <w:rPr>
          <w:rFonts w:ascii="Calibri" w:cs="Calibri" w:eastAsia="Calibri" w:hAnsi="Calibri"/>
          <w:color w:val="242424"/>
          <w:sz w:val="22"/>
          <w:szCs w:val="22"/>
        </w:rPr>
        <w:t xml:space="preserve">y para el par de reportes y el tipo de relación:</w:t>
      </w:r>
    </w:p>
    <w:p>
      <w:pPr>
        <w:spacing w:after="0" w:line="240"/>
        <w:ind w:left="340"/>
        <w:jc w:val="left"/>
      </w:pPr>
      <w:r>
        <w:rPr>
          <w:rFonts w:ascii="Consolas" w:cs="Consolas" w:eastAsia="Consolas" w:hAnsi="Consolas"/>
          <w:color w:val="242424"/>
          <w:sz w:val="17"/>
          <w:szCs w:val="17"/>
        </w:rPr>
        <w:t xml:space="preserve">score_t(a, b) = h_a^T  R_t  h_b</w:t>
      </w:r>
    </w:p>
    <w:p>
      <w:pPr>
        <w:spacing w:after="180"/>
      </w:pPr>
    </w:p>
    <w:p>
      <w:pPr>
        <w:spacing w:after="160" w:line="288"/>
        <w:jc w:val="both"/>
      </w:pPr>
      <w:r>
        <w:rPr>
          <w:rFonts w:ascii="Calibri" w:cs="Calibri" w:eastAsia="Calibri" w:hAnsi="Calibri"/>
          <w:color w:val="242424"/>
          <w:sz w:val="22"/>
          <w:szCs w:val="22"/>
        </w:rPr>
        <w:t xml:space="preserve">con la matriz de relación diagonal, en la formulación DistMult, que mantiene la cantidad de parámetros acotada y admite lectura: cada dimensión pesa distinto según el tipo de relación que se está prediciendo.</w:t>
      </w:r>
    </w:p>
    <w:p>
      <w:pPr>
        <w:pStyle w:val="Heading2"/>
        <w:keepNext/>
        <w:spacing w:after="100" w:before="240"/>
      </w:pPr>
      <w:r>
        <w:rPr>
          <w:rFonts w:ascii="Roboto" w:cs="Roboto" w:eastAsia="Roboto" w:hAnsi="Roboto"/>
          <w:b/>
          <w:bCs/>
          <w:color w:val="0B2545"/>
          <w:sz w:val="25"/>
          <w:szCs w:val="25"/>
        </w:rPr>
        <w:t xml:space="preserve">8.2 Arquitecturas candidatas</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400"/>
        <w:gridCol w:w="2472"/>
      </w:tblGrid>
      <w:tr>
        <w:trPr>
          <w:tblHeader/>
        </w:trPr>
        <w:tc>
          <w:tcPr>
            <w:tcW w:type="dxa" w:w="22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Arquitectura</w:t>
            </w:r>
          </w:p>
        </w:tc>
        <w:tc>
          <w:tcPr>
            <w:tcW w:type="dxa" w:w="44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Cuándo conviene</w:t>
            </w:r>
          </w:p>
        </w:tc>
        <w:tc>
          <w:tcPr>
            <w:tcW w:type="dxa" w:w="24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Riesgo</w:t>
            </w:r>
          </w:p>
        </w:tc>
      </w:tr>
      <w:tr>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R-GCN</w:t>
            </w:r>
          </w:p>
        </w:tc>
        <w:tc>
          <w:tcPr>
            <w:tcW w:type="dxa" w:w="4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Veinticuatro tipos de relación con volumen desparejo. Parámetros por relación, con descomposición en bases para las relaciones escasas</w:t>
            </w:r>
          </w:p>
        </w:tc>
        <w:tc>
          <w:tcPr>
            <w:tcW w:type="dxa" w:w="2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Suaviza en exceso con muchas capas</w:t>
            </w:r>
          </w:p>
        </w:tc>
      </w:tr>
      <w:tr>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GraphSAGE heterogéneo</w:t>
            </w:r>
          </w:p>
        </w:tc>
        <w:tc>
          <w:tcPr>
            <w:tcW w:type="dxa" w:w="4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Grafos grandes; muestreo de vecindario acotado</w:t>
            </w:r>
          </w:p>
        </w:tc>
        <w:tc>
          <w:tcPr>
            <w:tcW w:type="dxa" w:w="2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Pierde información de tipo si no se separa la agregación</w:t>
            </w:r>
          </w:p>
        </w:tc>
      </w:tr>
      <w:tr>
        <w:tc>
          <w:tcPr>
            <w:tcW w:type="dxa" w:w="22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HGT</w:t>
            </w:r>
          </w:p>
        </w:tc>
        <w:tc>
          <w:tcPr>
            <w:tcW w:type="dxa" w:w="4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Atención por tipo de nodo y de arista; aprende qué relaciones importan</w:t>
            </w:r>
          </w:p>
        </w:tc>
        <w:tc>
          <w:tcPr>
            <w:tcW w:type="dxa" w:w="24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Requiere más datos etiquetados; menos interpretable</w:t>
            </w:r>
          </w:p>
        </w:tc>
      </w:tr>
    </w:tbl>
    <w:p>
      <w:pPr>
        <w:spacing w:after="160" w:line="288"/>
        <w:jc w:val="both"/>
      </w:pPr>
      <w:r>
        <w:rPr>
          <w:rFonts w:ascii="Calibri" w:cs="Calibri" w:eastAsia="Calibri" w:hAnsi="Calibri"/>
          <w:b/>
          <w:bCs/>
          <w:color w:val="242424"/>
          <w:sz w:val="22"/>
          <w:szCs w:val="22"/>
        </w:rPr>
        <w:t xml:space="preserve">El punto de partida es R-GCN con descomposición en bases y dos capas. </w:t>
      </w:r>
      <w:r>
        <w:rPr>
          <w:rFonts w:ascii="Calibri" w:cs="Calibri" w:eastAsia="Calibri" w:hAnsi="Calibri"/>
          <w:color w:val="242424"/>
          <w:sz w:val="22"/>
          <w:szCs w:val="22"/>
        </w:rPr>
        <w:t xml:space="preserve">Dos capas significa que un reporte ve a sus vecinos y a los vecinos de sus vecinos: un reporte a través de una cuenta compartida, o de un dispositivo. Tres capas ya alcanzan casi todo el grafo y la representación pierde especificidad. HGT queda para cuando el conjunto etiquetado supere los umbrales del apartado 6.5 y se pueda medir si la atención por tipo aporta algo.</w:t>
      </w:r>
    </w:p>
    <w:p>
      <w:pPr>
        <w:pStyle w:val="Heading2"/>
        <w:keepNext/>
        <w:spacing w:after="100" w:before="240"/>
      </w:pPr>
      <w:r>
        <w:rPr>
          <w:rFonts w:ascii="Roboto" w:cs="Roboto" w:eastAsia="Roboto" w:hAnsi="Roboto"/>
          <w:b/>
          <w:bCs/>
          <w:color w:val="0B2545"/>
          <w:sz w:val="25"/>
          <w:szCs w:val="25"/>
        </w:rPr>
        <w:t xml:space="preserve">8.3 Features de entrada</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272"/>
      </w:tblGrid>
      <w:tr>
        <w:trPr>
          <w:tblHeader/>
        </w:trPr>
        <w:tc>
          <w:tcPr>
            <w:tcW w:type="dxa" w:w="28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Nodo</w:t>
            </w:r>
          </w:p>
        </w:tc>
        <w:tc>
          <w:tcPr>
            <w:tcW w:type="dxa" w:w="62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Features iniciales</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Reporte</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Embedding agregado de sus fragmentos; plataforma; clasificación; prioridad; antigüedad normalizada; estado</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Mención de persona</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Embedding del alias; rol procesal; edad aproximada declarada; género declarado</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Cuenta</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Embedding del identificador; plataforma; antigüedad; indicador de baja</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Evidencia</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Tipo de archivo; indicador de remisión a autoridad; embedding de la descripción</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Dirección IP</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Rasgos técnicos: versión, CGNAT, dirección privada, atribuibilidad sin dato adicional</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Ubicación</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Coordenadas normalizadas; granularidad declarada</w:t>
            </w:r>
          </w:p>
        </w:tc>
      </w:tr>
      <w:tr>
        <w:tc>
          <w:tcPr>
            <w:tcW w:type="dxa" w:w="2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Dispositivo, teléfono y correo</w:t>
            </w:r>
          </w:p>
        </w:tc>
        <w:tc>
          <w:tcPr>
            <w:tcW w:type="dxa" w:w="6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Grado en el grafo; tipo; antigüedad de la primera aparición</w:t>
            </w:r>
          </w:p>
        </w:tc>
      </w:tr>
    </w:tbl>
    <w:p>
      <w:pPr>
        <w:spacing w:after="160" w:line="288"/>
        <w:jc w:val="both"/>
      </w:pPr>
      <w:r>
        <w:rPr>
          <w:rFonts w:ascii="Calibri" w:cs="Calibri" w:eastAsia="Calibri" w:hAnsi="Calibri"/>
          <w:color w:val="242424"/>
          <w:sz w:val="22"/>
          <w:szCs w:val="22"/>
        </w:rPr>
        <w:t xml:space="preserve">Los atributos categóricos se codifican como representaciones aprendidas y no como vectores indicadores: la cardinalidad de plataformas y clasificaciones crece con el tiempo y el modelo debe tolerar categorías nuevas sin reentrenamiento estructural.</w:t>
      </w:r>
    </w:p>
    <w:p>
      <w:pPr>
        <w:spacing w:after="160" w:line="288"/>
        <w:jc w:val="both"/>
      </w:pPr>
      <w:r>
        <w:rPr>
          <w:rFonts w:ascii="Calibri" w:cs="Calibri" w:eastAsia="Calibri" w:hAnsi="Calibri"/>
          <w:b/>
          <w:bCs/>
          <w:color w:val="242424"/>
          <w:sz w:val="22"/>
          <w:szCs w:val="22"/>
        </w:rPr>
        <w:t xml:space="preserve">Se excluyen deliberadamente </w:t>
      </w:r>
      <w:r>
        <w:rPr>
          <w:rFonts w:ascii="Calibri" w:cs="Calibri" w:eastAsia="Calibri" w:hAnsi="Calibri"/>
          <w:color w:val="242424"/>
          <w:sz w:val="22"/>
          <w:szCs w:val="22"/>
        </w:rPr>
        <w:t xml:space="preserve">de las features la jurisdicción, el operador asignado y cualquier atributo que codifique la carga de trabajo de un área. Son predictores espurios de la etiqueta —un área que trabaja más vincula más— y su inclusión produce un modelo que aprende procesos internos en lugar de hechos.</w:t>
      </w:r>
    </w:p>
    <w:p>
      <w:pPr>
        <w:pStyle w:val="Heading2"/>
        <w:keepNext/>
        <w:spacing w:after="100" w:before="240"/>
      </w:pPr>
      <w:r>
        <w:rPr>
          <w:rFonts w:ascii="Roboto" w:cs="Roboto" w:eastAsia="Roboto" w:hAnsi="Roboto"/>
          <w:b/>
          <w:bCs/>
          <w:color w:val="0B2545"/>
          <w:sz w:val="25"/>
          <w:szCs w:val="25"/>
        </w:rPr>
        <w:t xml:space="preserve">8.4 Features de arista</w:t>
      </w:r>
    </w:p>
    <w:p>
      <w:pPr>
        <w:spacing w:after="160" w:line="288"/>
        <w:jc w:val="both"/>
      </w:pPr>
      <w:r>
        <w:rPr>
          <w:rFonts w:ascii="Calibri" w:cs="Calibri" w:eastAsia="Calibri" w:hAnsi="Calibri"/>
          <w:color w:val="242424"/>
          <w:sz w:val="22"/>
          <w:szCs w:val="22"/>
        </w:rPr>
        <w:t xml:space="preserve">Cada arista aporta al paso de mensajes su tipo de relación, su clase epistemológica, su confianza cuando existe y la antigüedad del hecho.</w:t>
      </w:r>
    </w:p>
    <w:p>
      <w:pPr>
        <w:spacing w:after="160" w:line="288"/>
        <w:jc w:val="both"/>
      </w:pPr>
      <w:r>
        <w:rPr>
          <w:rFonts w:ascii="Calibri" w:cs="Calibri" w:eastAsia="Calibri" w:hAnsi="Calibri"/>
          <w:color w:val="242424"/>
          <w:sz w:val="22"/>
          <w:szCs w:val="22"/>
        </w:rPr>
        <w:t xml:space="preserve">La clase epistemológica como feature es importante: </w:t>
      </w:r>
      <w:r>
        <w:rPr>
          <w:rFonts w:ascii="Calibri" w:cs="Calibri" w:eastAsia="Calibri" w:hAnsi="Calibri"/>
          <w:b/>
          <w:bCs/>
          <w:color w:val="242424"/>
          <w:sz w:val="22"/>
          <w:szCs w:val="22"/>
        </w:rPr>
        <w:t xml:space="preserve">el modelo debe poder aprender que una arista observada pesa distinto que una inferida</w:t>
      </w:r>
      <w:r>
        <w:rPr>
          <w:rFonts w:ascii="Calibri" w:cs="Calibri" w:eastAsia="Calibri" w:hAnsi="Calibri"/>
          <w:color w:val="242424"/>
          <w:sz w:val="22"/>
          <w:szCs w:val="22"/>
        </w:rPr>
        <w:t xml:space="preserve">. Sin ella, la red propaga por sus propias hipótesis anteriores con la misma fuerza que por lo que consta en la evidencia, y amplifica su propio error.</w:t>
      </w:r>
    </w:p>
    <w:p>
      <w:pPr>
        <w:pStyle w:val="Heading2"/>
        <w:keepNext/>
        <w:spacing w:after="100" w:before="240"/>
      </w:pPr>
      <w:r>
        <w:rPr>
          <w:rFonts w:ascii="Roboto" w:cs="Roboto" w:eastAsia="Roboto" w:hAnsi="Roboto"/>
          <w:b/>
          <w:bCs/>
          <w:color w:val="0B2545"/>
          <w:sz w:val="25"/>
          <w:szCs w:val="25"/>
        </w:rPr>
        <w:t xml:space="preserve">8.5 Partición y prevención de fuga</w:t>
      </w:r>
    </w:p>
    <w:p>
      <w:pPr>
        <w:spacing w:after="160" w:line="288"/>
        <w:jc w:val="both"/>
      </w:pPr>
      <w:r>
        <w:rPr>
          <w:rFonts w:ascii="Calibri" w:cs="Calibri" w:eastAsia="Calibri" w:hAnsi="Calibri"/>
          <w:b/>
          <w:bCs/>
          <w:color w:val="242424"/>
          <w:sz w:val="22"/>
          <w:szCs w:val="22"/>
        </w:rPr>
        <w:t xml:space="preserve">La partición es temporal, no aleatoria. </w:t>
      </w:r>
      <w:r>
        <w:rPr>
          <w:rFonts w:ascii="Calibri" w:cs="Calibri" w:eastAsia="Calibri" w:hAnsi="Calibri"/>
          <w:color w:val="242424"/>
          <w:sz w:val="22"/>
          <w:szCs w:val="22"/>
        </w:rPr>
        <w:t xml:space="preserve">Se entrena con reportes recibidos hasta un momento dado, se valida en el período siguiente y se prueba en el posterior. Una partición aleatoria filtra información del futuro hacia el entrenamiento y produce métricas infladas que se derrumban en producción. La partición temporal reproduce la condición real: el sistema siempre predice sobre reportes que llegan después de aquellos con los que aprendió.</w:t>
      </w:r>
    </w:p>
    <w:p>
      <w:pPr>
        <w:spacing w:after="160" w:line="288"/>
        <w:jc w:val="both"/>
      </w:pPr>
      <w:r>
        <w:rPr>
          <w:rFonts w:ascii="Calibri" w:cs="Calibri" w:eastAsia="Calibri" w:hAnsi="Calibri"/>
          <w:color w:val="242424"/>
          <w:sz w:val="22"/>
          <w:szCs w:val="22"/>
        </w:rPr>
        <w:t xml:space="preserve">Se aplican además tres controles contra la fuga.</w:t>
      </w:r>
    </w:p>
    <w:p>
      <w:pPr>
        <w:pStyle w:val="ListParagraph"/>
        <w:numPr>
          <w:ilvl w:val="0"/>
          <w:numId w:val="7"/>
        </w:numPr>
        <w:spacing w:after="80" w:line="284"/>
        <w:jc w:val="both"/>
      </w:pPr>
      <w:r>
        <w:rPr>
          <w:rFonts w:ascii="Calibri" w:cs="Calibri" w:eastAsia="Calibri" w:hAnsi="Calibri"/>
          <w:b/>
          <w:bCs/>
          <w:color w:val="242424"/>
          <w:sz w:val="22"/>
          <w:szCs w:val="22"/>
        </w:rPr>
        <w:t xml:space="preserve">Aristas de prueba removidas del grafo de entrenamiento. </w:t>
      </w:r>
      <w:r>
        <w:rPr>
          <w:rFonts w:ascii="Calibri" w:cs="Calibri" w:eastAsia="Calibri" w:hAnsi="Calibri"/>
          <w:color w:val="242424"/>
          <w:sz w:val="22"/>
          <w:szCs w:val="22"/>
        </w:rPr>
        <w:t xml:space="preserve">El par que se va a predecir no puede estar presente como arista durante el entrenamiento.</w:t>
      </w:r>
    </w:p>
    <w:p>
      <w:pPr>
        <w:pStyle w:val="ListParagraph"/>
        <w:numPr>
          <w:ilvl w:val="0"/>
          <w:numId w:val="7"/>
        </w:numPr>
        <w:spacing w:after="80" w:line="284"/>
        <w:jc w:val="both"/>
      </w:pPr>
      <w:r>
        <w:rPr>
          <w:rFonts w:ascii="Calibri" w:cs="Calibri" w:eastAsia="Calibri" w:hAnsi="Calibri"/>
          <w:b/>
          <w:bCs/>
          <w:color w:val="242424"/>
          <w:sz w:val="22"/>
          <w:szCs w:val="22"/>
        </w:rPr>
        <w:t xml:space="preserve">Sin fuga por entidad puente. </w:t>
      </w:r>
      <w:r>
        <w:rPr>
          <w:rFonts w:ascii="Calibri" w:cs="Calibri" w:eastAsia="Calibri" w:hAnsi="Calibri"/>
          <w:color w:val="242424"/>
          <w:sz w:val="22"/>
          <w:szCs w:val="22"/>
        </w:rPr>
        <w:t xml:space="preserve">Si dos reportes comparten una entidad y esa entidad se usó para etiquetarlos, el modelo puede memorizar la entidad en lugar de aprender el patrón. Se evalúa también sobre un subconjunto donde los pares no comparten ninguna entidad, que es el escenario que la Etapa 2 viene a resolver.</w:t>
      </w:r>
    </w:p>
    <w:p>
      <w:pPr>
        <w:pStyle w:val="ListParagraph"/>
        <w:numPr>
          <w:ilvl w:val="0"/>
          <w:numId w:val="7"/>
        </w:numPr>
        <w:spacing w:after="80" w:line="284"/>
        <w:jc w:val="both"/>
      </w:pPr>
      <w:r>
        <w:rPr>
          <w:rFonts w:ascii="Calibri" w:cs="Calibri" w:eastAsia="Calibri" w:hAnsi="Calibri"/>
          <w:b/>
          <w:bCs/>
          <w:color w:val="242424"/>
          <w:sz w:val="22"/>
          <w:szCs w:val="22"/>
        </w:rPr>
        <w:t xml:space="preserve">Sin solapamiento de casos entre particiones. </w:t>
      </w:r>
      <w:r>
        <w:rPr>
          <w:rFonts w:ascii="Calibri" w:cs="Calibri" w:eastAsia="Calibri" w:hAnsi="Calibri"/>
          <w:color w:val="242424"/>
          <w:sz w:val="22"/>
          <w:szCs w:val="22"/>
        </w:rPr>
        <w:t xml:space="preserve">Todos los reportes de un mismo legajo caen en la misma partición.</w:t>
      </w:r>
    </w:p>
    <w:p>
      <w:pPr>
        <w:pStyle w:val="Heading2"/>
        <w:keepNext/>
        <w:spacing w:after="100" w:before="240"/>
      </w:pPr>
      <w:r>
        <w:rPr>
          <w:rFonts w:ascii="Roboto" w:cs="Roboto" w:eastAsia="Roboto" w:hAnsi="Roboto"/>
          <w:b/>
          <w:bCs/>
          <w:color w:val="0B2545"/>
          <w:sz w:val="25"/>
          <w:szCs w:val="25"/>
        </w:rPr>
        <w:t xml:space="preserve">8.6 Entrenamiento</w:t>
      </w:r>
    </w:p>
    <w:p>
      <w:pPr>
        <w:pStyle w:val="ListParagraph"/>
        <w:numPr>
          <w:ilvl w:val="0"/>
          <w:numId w:val="4"/>
        </w:numPr>
        <w:spacing w:after="80" w:line="284"/>
        <w:jc w:val="both"/>
      </w:pPr>
      <w:r>
        <w:rPr>
          <w:rFonts w:ascii="Calibri" w:cs="Calibri" w:eastAsia="Calibri" w:hAnsi="Calibri"/>
          <w:b/>
          <w:bCs/>
          <w:color w:val="242424"/>
          <w:sz w:val="22"/>
          <w:szCs w:val="22"/>
        </w:rPr>
        <w:t xml:space="preserve">Función de pérdida: </w:t>
      </w:r>
      <w:r>
        <w:rPr>
          <w:rFonts w:ascii="Calibri" w:cs="Calibri" w:eastAsia="Calibri" w:hAnsi="Calibri"/>
          <w:color w:val="242424"/>
          <w:sz w:val="22"/>
          <w:szCs w:val="22"/>
        </w:rPr>
        <w:t xml:space="preserve">entropía cruzada binaria por tipo de relación, con ponderación inversa a la frecuencia de cada tipo.</w:t>
      </w:r>
    </w:p>
    <w:p>
      <w:pPr>
        <w:pStyle w:val="ListParagraph"/>
        <w:numPr>
          <w:ilvl w:val="0"/>
          <w:numId w:val="4"/>
        </w:numPr>
        <w:spacing w:after="80" w:line="284"/>
        <w:jc w:val="both"/>
      </w:pPr>
      <w:r>
        <w:rPr>
          <w:rFonts w:ascii="Calibri" w:cs="Calibri" w:eastAsia="Calibri" w:hAnsi="Calibri"/>
          <w:b/>
          <w:bCs/>
          <w:color w:val="242424"/>
          <w:sz w:val="22"/>
          <w:szCs w:val="22"/>
        </w:rPr>
        <w:t xml:space="preserve">Muestreo de negativos: </w:t>
      </w:r>
      <w:r>
        <w:rPr>
          <w:rFonts w:ascii="Calibri" w:cs="Calibri" w:eastAsia="Calibri" w:hAnsi="Calibri"/>
          <w:color w:val="242424"/>
          <w:sz w:val="22"/>
          <w:szCs w:val="22"/>
        </w:rPr>
        <w:t xml:space="preserve">la mitad de negativos difíciles de la fuente C, un treinta por ciento de negativos por corrupción estructurada —misma clase de plataforma, distinta familia de casos— y un veinte por ciento aleatorios. La proporción se ajusta midiendo, no por convención.</w:t>
      </w:r>
    </w:p>
    <w:p>
      <w:pPr>
        <w:pStyle w:val="ListParagraph"/>
        <w:numPr>
          <w:ilvl w:val="0"/>
          <w:numId w:val="4"/>
        </w:numPr>
        <w:spacing w:after="80" w:line="284"/>
        <w:jc w:val="both"/>
      </w:pPr>
      <w:r>
        <w:rPr>
          <w:rFonts w:ascii="Calibri" w:cs="Calibri" w:eastAsia="Calibri" w:hAnsi="Calibri"/>
          <w:b/>
          <w:bCs/>
          <w:color w:val="242424"/>
          <w:sz w:val="22"/>
          <w:szCs w:val="22"/>
        </w:rPr>
        <w:t xml:space="preserve">Regularización: </w:t>
      </w:r>
      <w:r>
        <w:rPr>
          <w:rFonts w:ascii="Calibri" w:cs="Calibri" w:eastAsia="Calibri" w:hAnsi="Calibri"/>
          <w:color w:val="242424"/>
          <w:sz w:val="22"/>
          <w:szCs w:val="22"/>
        </w:rPr>
        <w:t xml:space="preserve">descarte aleatorio sobre las aristas, no solo sobre las unidades. Obliga al modelo a no depender de una relación única.</w:t>
      </w:r>
    </w:p>
    <w:p>
      <w:pPr>
        <w:pStyle w:val="ListParagraph"/>
        <w:numPr>
          <w:ilvl w:val="0"/>
          <w:numId w:val="4"/>
        </w:numPr>
        <w:spacing w:after="80" w:line="284"/>
        <w:jc w:val="both"/>
      </w:pPr>
      <w:r>
        <w:rPr>
          <w:rFonts w:ascii="Calibri" w:cs="Calibri" w:eastAsia="Calibri" w:hAnsi="Calibri"/>
          <w:b/>
          <w:bCs/>
          <w:color w:val="242424"/>
          <w:sz w:val="22"/>
          <w:szCs w:val="22"/>
        </w:rPr>
        <w:t xml:space="preserve">Detención temprana </w:t>
      </w:r>
      <w:r>
        <w:rPr>
          <w:rFonts w:ascii="Calibri" w:cs="Calibri" w:eastAsia="Calibri" w:hAnsi="Calibri"/>
          <w:color w:val="242424"/>
          <w:sz w:val="22"/>
          <w:szCs w:val="22"/>
        </w:rPr>
        <w:t xml:space="preserve">sobre la precisión en los primeros puestos del ranking de validación, no sobre la pérdida. La pérdida y la utilidad operativa no se mueven juntas.</w:t>
      </w:r>
    </w:p>
    <w:p>
      <w:pPr>
        <w:pStyle w:val="ListParagraph"/>
        <w:numPr>
          <w:ilvl w:val="0"/>
          <w:numId w:val="4"/>
        </w:numPr>
        <w:spacing w:after="80" w:line="284"/>
        <w:jc w:val="both"/>
      </w:pPr>
      <w:r>
        <w:rPr>
          <w:rFonts w:ascii="Calibri" w:cs="Calibri" w:eastAsia="Calibri" w:hAnsi="Calibri"/>
          <w:b/>
          <w:bCs/>
          <w:color w:val="242424"/>
          <w:sz w:val="22"/>
          <w:szCs w:val="22"/>
        </w:rPr>
        <w:t xml:space="preserve">Semilla fija y registrada. </w:t>
      </w:r>
      <w:r>
        <w:rPr>
          <w:rFonts w:ascii="Calibri" w:cs="Calibri" w:eastAsia="Calibri" w:hAnsi="Calibri"/>
          <w:color w:val="242424"/>
          <w:sz w:val="22"/>
          <w:szCs w:val="22"/>
        </w:rPr>
        <w:t xml:space="preserve">Dos entrenamientos con la misma configuración y los mismos datos producen el mismo modelo.</w:t>
      </w:r>
    </w:p>
    <w:p>
      <w:pPr>
        <w:pStyle w:val="Heading2"/>
        <w:keepNext/>
        <w:spacing w:after="100" w:before="240"/>
      </w:pPr>
      <w:r>
        <w:rPr>
          <w:rFonts w:ascii="Roboto" w:cs="Roboto" w:eastAsia="Roboto" w:hAnsi="Roboto"/>
          <w:b/>
          <w:bCs/>
          <w:color w:val="0B2545"/>
          <w:sz w:val="25"/>
          <w:szCs w:val="25"/>
        </w:rPr>
        <w:t xml:space="preserve">8.7 Evaluación</w:t>
      </w:r>
    </w:p>
    <w:p>
      <w:pPr>
        <w:spacing w:after="160" w:line="288"/>
        <w:jc w:val="both"/>
      </w:pPr>
      <w:r>
        <w:rPr>
          <w:rFonts w:ascii="Calibri" w:cs="Calibri" w:eastAsia="Calibri" w:hAnsi="Calibri"/>
          <w:b/>
          <w:bCs/>
          <w:color w:val="242424"/>
          <w:sz w:val="22"/>
          <w:szCs w:val="22"/>
        </w:rPr>
        <w:t xml:space="preserve">La métrica principal es operativa</w:t>
      </w:r>
      <w:r>
        <w:rPr>
          <w:rFonts w:ascii="Calibri" w:cs="Calibri" w:eastAsia="Calibri" w:hAnsi="Calibri"/>
          <w:color w:val="242424"/>
          <w:sz w:val="22"/>
          <w:szCs w:val="22"/>
        </w:rPr>
        <w:t xml:space="preserve">, no estadística: de los primeros resultados que el sistema propone para un reporte, cuántos confirma un operador como relevantes. Se reporta como precisión en los primeros cinco, diez y veinte, que es la cantidad de propuestas que una persona puede revisar razonablemente por caso.</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5672"/>
      </w:tblGrid>
      <w:tr>
        <w:trPr>
          <w:tblHeader/>
        </w:trPr>
        <w:tc>
          <w:tcPr>
            <w:tcW w:type="dxa" w:w="34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Métrica complementaria</w:t>
            </w:r>
          </w:p>
        </w:tc>
        <w:tc>
          <w:tcPr>
            <w:tcW w:type="dxa" w:w="56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Por qué</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Área bajo la curva de precisión–recuperación</w:t>
            </w:r>
          </w:p>
        </w:tc>
        <w:tc>
          <w:tcPr>
            <w:tcW w:type="dxa" w:w="56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Con clases muy desbalanceadas, el área bajo la curva ROC da valores altos y engañosos; esta no</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Rango recíproco medio</w:t>
            </w:r>
          </w:p>
        </w:tc>
        <w:tc>
          <w:tcPr>
            <w:tcW w:type="dxa" w:w="56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Cuán arriba aparece el primer par relevante</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Recuperación en cincuenta</w:t>
            </w:r>
          </w:p>
        </w:tc>
        <w:tc>
          <w:tcPr>
            <w:tcW w:type="dxa" w:w="56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Cuánto del total relevante se alcanza revisando cincuenta candidatos</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Precisión por tipo de relación</w:t>
            </w:r>
          </w:p>
        </w:tc>
        <w:tc>
          <w:tcPr>
            <w:tcW w:type="dxa" w:w="56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Un promedio agregado esconde que el modelo funciona para modus operandi y falla para misma víctima</w:t>
            </w:r>
          </w:p>
        </w:tc>
      </w:tr>
      <w:tr>
        <w:tc>
          <w:tcPr>
            <w:tcW w:type="dxa" w:w="34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Precisión en pares sin entidad compartida</w:t>
            </w:r>
          </w:p>
        </w:tc>
        <w:tc>
          <w:tcPr>
            <w:tcW w:type="dxa" w:w="56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El escenario que justifica toda la Etapa 2</w:t>
            </w:r>
          </w:p>
        </w:tc>
      </w:tr>
    </w:tbl>
    <w:p>
      <w:pPr>
        <w:spacing w:after="160" w:line="288"/>
        <w:jc w:val="both"/>
      </w:pPr>
      <w:r>
        <w:rPr>
          <w:rFonts w:ascii="Calibri" w:cs="Calibri" w:eastAsia="Calibri" w:hAnsi="Calibri"/>
          <w:color w:val="242424"/>
          <w:sz w:val="22"/>
          <w:szCs w:val="22"/>
        </w:rPr>
        <w:t xml:space="preserve">Los criterios de aceptación se evalúan sobre la misma partición temporal.</w:t>
      </w:r>
    </w:p>
    <w:p>
      <w:pPr>
        <w:pStyle w:val="ListParagraph"/>
        <w:numPr>
          <w:ilvl w:val="0"/>
          <w:numId w:val="8"/>
        </w:numPr>
        <w:spacing w:after="80" w:line="284"/>
        <w:jc w:val="both"/>
      </w:pPr>
      <w:r>
        <w:rPr>
          <w:rFonts w:ascii="Calibri" w:cs="Calibri" w:eastAsia="Calibri" w:hAnsi="Calibri"/>
          <w:color w:val="242424"/>
          <w:sz w:val="22"/>
          <w:szCs w:val="22"/>
        </w:rPr>
        <w:t xml:space="preserve">Supera al baseline Adamic–Adar en precisión en los primeros diez.</w:t>
      </w:r>
    </w:p>
    <w:p>
      <w:pPr>
        <w:pStyle w:val="ListParagraph"/>
        <w:numPr>
          <w:ilvl w:val="0"/>
          <w:numId w:val="8"/>
        </w:numPr>
        <w:spacing w:after="80" w:line="284"/>
        <w:jc w:val="both"/>
      </w:pPr>
      <w:r>
        <w:rPr>
          <w:rFonts w:ascii="Calibri" w:cs="Calibri" w:eastAsia="Calibri" w:hAnsi="Calibri"/>
          <w:color w:val="242424"/>
          <w:sz w:val="22"/>
          <w:szCs w:val="22"/>
        </w:rPr>
        <w:t xml:space="preserve">Supera al baseline semántico del capítulo 7 en el mismo indicador.</w:t>
      </w:r>
    </w:p>
    <w:p>
      <w:pPr>
        <w:pStyle w:val="ListParagraph"/>
        <w:numPr>
          <w:ilvl w:val="0"/>
          <w:numId w:val="8"/>
        </w:numPr>
        <w:spacing w:after="80" w:line="284"/>
        <w:jc w:val="both"/>
      </w:pPr>
      <w:r>
        <w:rPr>
          <w:rFonts w:ascii="Calibri" w:cs="Calibri" w:eastAsia="Calibri" w:hAnsi="Calibri"/>
          <w:color w:val="242424"/>
          <w:sz w:val="22"/>
          <w:szCs w:val="22"/>
        </w:rPr>
        <w:t xml:space="preserve">Sobre pares sin entidad compartida, supera a ambos con margen medible.</w:t>
      </w:r>
    </w:p>
    <w:p>
      <w:pPr>
        <w:pStyle w:val="ListParagraph"/>
        <w:numPr>
          <w:ilvl w:val="0"/>
          <w:numId w:val="8"/>
        </w:numPr>
        <w:spacing w:after="80" w:line="284"/>
        <w:jc w:val="both"/>
      </w:pPr>
      <w:r>
        <w:rPr>
          <w:rFonts w:ascii="Calibri" w:cs="Calibri" w:eastAsia="Calibri" w:hAnsi="Calibri"/>
          <w:color w:val="242424"/>
          <w:sz w:val="22"/>
          <w:szCs w:val="22"/>
        </w:rPr>
        <w:t xml:space="preserve">Ningún tipo de relación queda por debajo del baseline.</w:t>
      </w:r>
    </w:p>
    <w:p>
      <w:pPr>
        <w:pStyle w:val="ListParagraph"/>
        <w:numPr>
          <w:ilvl w:val="0"/>
          <w:numId w:val="8"/>
        </w:numPr>
        <w:spacing w:after="80" w:line="284"/>
        <w:jc w:val="both"/>
      </w:pPr>
      <w:r>
        <w:rPr>
          <w:rFonts w:ascii="Calibri" w:cs="Calibri" w:eastAsia="Calibri" w:hAnsi="Calibri"/>
          <w:color w:val="242424"/>
          <w:sz w:val="22"/>
          <w:szCs w:val="22"/>
        </w:rPr>
        <w:t xml:space="preserve">La evaluación por subgrupos —plataforma, antigüedad del reporte, volumen de texto disponible— no muestra un subgrupo con degradación severa.</w:t>
      </w:r>
    </w:p>
    <w:p>
      <w:pPr>
        <w:spacing w:after="160" w:line="288"/>
        <w:jc w:val="both"/>
      </w:pPr>
      <w:r>
        <w:rPr>
          <w:rFonts w:ascii="Calibri" w:cs="Calibri" w:eastAsia="Calibri" w:hAnsi="Calibri"/>
          <w:b/>
          <w:bCs/>
          <w:color w:val="242424"/>
          <w:sz w:val="22"/>
          <w:szCs w:val="22"/>
        </w:rPr>
        <w:t xml:space="preserve">Si no se cumplen los cinco, el baseline semántico queda como sistema en producción y la red vuelve a experimentación. </w:t>
      </w:r>
      <w:r>
        <w:rPr>
          <w:rFonts w:ascii="Calibri" w:cs="Calibri" w:eastAsia="Calibri" w:hAnsi="Calibri"/>
          <w:color w:val="242424"/>
          <w:sz w:val="22"/>
          <w:szCs w:val="22"/>
        </w:rPr>
        <w:t xml:space="preserve">Es un resultado válido y hay que poder aceptarlo.</w:t>
      </w:r>
    </w:p>
    <w:p>
      <w:pPr>
        <w:pStyle w:val="Heading1"/>
        <w:keepNext/>
        <w:spacing w:after="140" w:before="340"/>
      </w:pPr>
      <w:r>
        <w:rPr>
          <w:rFonts w:ascii="Roboto" w:cs="Roboto" w:eastAsia="Roboto" w:hAnsi="Roboto"/>
          <w:b/>
          <w:bCs/>
          <w:color w:val="0B2545"/>
          <w:sz w:val="30"/>
          <w:szCs w:val="30"/>
        </w:rPr>
        <w:t xml:space="preserve">9. Explicabilidad</w:t>
      </w:r>
    </w:p>
    <w:p>
      <w:pPr>
        <w:spacing w:after="160" w:line="288"/>
        <w:jc w:val="both"/>
      </w:pPr>
      <w:r>
        <w:rPr>
          <w:rFonts w:ascii="Calibri" w:cs="Calibri" w:eastAsia="Calibri" w:hAnsi="Calibri"/>
          <w:color w:val="242424"/>
          <w:sz w:val="22"/>
          <w:szCs w:val="22"/>
        </w:rPr>
        <w:t xml:space="preserve">Un puntaje sin fundamento no entra al circuito. Es un requisito de diseño, no una mejora deseable.</w:t>
      </w:r>
    </w:p>
    <w:p>
      <w:pPr>
        <w:pStyle w:val="Heading2"/>
        <w:keepNext/>
        <w:spacing w:after="100" w:before="240"/>
      </w:pPr>
      <w:r>
        <w:rPr>
          <w:rFonts w:ascii="Roboto" w:cs="Roboto" w:eastAsia="Roboto" w:hAnsi="Roboto"/>
          <w:b/>
          <w:bCs/>
          <w:color w:val="0B2545"/>
          <w:sz w:val="25"/>
          <w:szCs w:val="25"/>
        </w:rPr>
        <w:t xml:space="preserve">9.1 Qué debe producir el modelo</w:t>
      </w:r>
    </w:p>
    <w:p>
      <w:pPr>
        <w:spacing w:after="160" w:line="288"/>
        <w:jc w:val="both"/>
      </w:pPr>
      <w:r>
        <w:rPr>
          <w:rFonts w:ascii="Calibri" w:cs="Calibri" w:eastAsia="Calibri" w:hAnsi="Calibri"/>
          <w:color w:val="242424"/>
          <w:sz w:val="22"/>
          <w:szCs w:val="22"/>
        </w:rPr>
        <w:t xml:space="preserve">Por cada par propuesto, cuatro elementos.</w:t>
      </w:r>
    </w:p>
    <w:p>
      <w:pPr>
        <w:pStyle w:val="ListParagraph"/>
        <w:numPr>
          <w:ilvl w:val="0"/>
          <w:numId w:val="9"/>
        </w:numPr>
        <w:spacing w:after="80" w:line="284"/>
        <w:jc w:val="both"/>
      </w:pPr>
      <w:r>
        <w:rPr>
          <w:rFonts w:ascii="Calibri" w:cs="Calibri" w:eastAsia="Calibri" w:hAnsi="Calibri"/>
          <w:b/>
          <w:bCs/>
          <w:color w:val="242424"/>
          <w:sz w:val="22"/>
          <w:szCs w:val="22"/>
        </w:rPr>
        <w:t xml:space="preserve">El subgrafo justificante: </w:t>
      </w:r>
      <w:r>
        <w:rPr>
          <w:rFonts w:ascii="Calibri" w:cs="Calibri" w:eastAsia="Calibri" w:hAnsi="Calibri"/>
          <w:color w:val="242424"/>
          <w:sz w:val="22"/>
          <w:szCs w:val="22"/>
        </w:rPr>
        <w:t xml:space="preserve">el conjunto mínimo de nodos y aristas cuya remoción hace caer el puntaje por debajo del umbral. Se obtiene con métodos de tipo GNNExplainer, que optimizan una máscara sobre aristas y features maximizando la información retenida.</w:t>
      </w:r>
    </w:p>
    <w:p>
      <w:pPr>
        <w:pStyle w:val="ListParagraph"/>
        <w:numPr>
          <w:ilvl w:val="0"/>
          <w:numId w:val="9"/>
        </w:numPr>
        <w:spacing w:after="80" w:line="284"/>
        <w:jc w:val="both"/>
      </w:pPr>
      <w:r>
        <w:rPr>
          <w:rFonts w:ascii="Calibri" w:cs="Calibri" w:eastAsia="Calibri" w:hAnsi="Calibri"/>
          <w:b/>
          <w:bCs/>
          <w:color w:val="242424"/>
          <w:sz w:val="22"/>
          <w:szCs w:val="22"/>
        </w:rPr>
        <w:t xml:space="preserve">Los fragmentos de texto </w:t>
      </w:r>
      <w:r>
        <w:rPr>
          <w:rFonts w:ascii="Calibri" w:cs="Calibri" w:eastAsia="Calibri" w:hAnsi="Calibri"/>
          <w:color w:val="242424"/>
          <w:sz w:val="22"/>
          <w:szCs w:val="22"/>
        </w:rPr>
        <w:t xml:space="preserve">que más contribuyeron a la similitud, con su locator: reporte, campo exacto y posición dentro del campo.</w:t>
      </w:r>
    </w:p>
    <w:p>
      <w:pPr>
        <w:pStyle w:val="ListParagraph"/>
        <w:numPr>
          <w:ilvl w:val="0"/>
          <w:numId w:val="9"/>
        </w:numPr>
        <w:spacing w:after="80" w:line="284"/>
        <w:jc w:val="both"/>
      </w:pPr>
      <w:r>
        <w:rPr>
          <w:rFonts w:ascii="Calibri" w:cs="Calibri" w:eastAsia="Calibri" w:hAnsi="Calibri"/>
          <w:b/>
          <w:bCs/>
          <w:color w:val="242424"/>
          <w:sz w:val="22"/>
          <w:szCs w:val="22"/>
        </w:rPr>
        <w:t xml:space="preserve">La descomposición del puntaje </w:t>
      </w:r>
      <w:r>
        <w:rPr>
          <w:rFonts w:ascii="Calibri" w:cs="Calibri" w:eastAsia="Calibri" w:hAnsi="Calibri"/>
          <w:color w:val="242424"/>
          <w:sz w:val="22"/>
          <w:szCs w:val="22"/>
        </w:rPr>
        <w:t xml:space="preserve">entre la contribución estructural del grafo y la contribución semántica del texto.</w:t>
      </w:r>
    </w:p>
    <w:p>
      <w:pPr>
        <w:pStyle w:val="ListParagraph"/>
        <w:numPr>
          <w:ilvl w:val="0"/>
          <w:numId w:val="9"/>
        </w:numPr>
        <w:spacing w:after="80" w:line="284"/>
        <w:jc w:val="both"/>
      </w:pPr>
      <w:r>
        <w:rPr>
          <w:rFonts w:ascii="Calibri" w:cs="Calibri" w:eastAsia="Calibri" w:hAnsi="Calibri"/>
          <w:b/>
          <w:bCs/>
          <w:color w:val="242424"/>
          <w:sz w:val="22"/>
          <w:szCs w:val="22"/>
        </w:rPr>
        <w:t xml:space="preserve">Los pares análogos ya validados </w:t>
      </w:r>
      <w:r>
        <w:rPr>
          <w:rFonts w:ascii="Calibri" w:cs="Calibri" w:eastAsia="Calibri" w:hAnsi="Calibri"/>
          <w:color w:val="242424"/>
          <w:sz w:val="22"/>
          <w:szCs w:val="22"/>
        </w:rPr>
        <w:t xml:space="preserve">que sostienen la propuesta: casos confirmados con estructura similar. Es la forma de explicación más útil para quien decide, porque le permite comparar con algo conocido.</w:t>
      </w:r>
    </w:p>
    <w:p>
      <w:pPr>
        <w:pStyle w:val="Heading2"/>
        <w:keepNext/>
        <w:spacing w:after="100" w:before="240"/>
      </w:pPr>
      <w:r>
        <w:rPr>
          <w:rFonts w:ascii="Roboto" w:cs="Roboto" w:eastAsia="Roboto" w:hAnsi="Roboto"/>
          <w:b/>
          <w:bCs/>
          <w:color w:val="0B2545"/>
          <w:sz w:val="25"/>
          <w:szCs w:val="25"/>
        </w:rPr>
        <w:t xml:space="preserve">9.2 Redacción de la propuesta</w:t>
      </w:r>
    </w:p>
    <w:p>
      <w:pPr>
        <w:spacing w:after="160" w:line="288"/>
        <w:jc w:val="both"/>
      </w:pPr>
      <w:r>
        <w:rPr>
          <w:rFonts w:ascii="Calibri" w:cs="Calibri" w:eastAsia="Calibri" w:hAnsi="Calibri"/>
          <w:color w:val="242424"/>
          <w:sz w:val="22"/>
          <w:szCs w:val="22"/>
        </w:rPr>
        <w:t xml:space="preserve">La explicación que llega al operador se redacta en prosa castellana completa, sin identificadores técnicos ni nombres de reglas. La forma es la misma que ya usan las vinculaciones derivadas:</w:t>
      </w:r>
    </w:p>
    <w:p>
      <w:pPr>
        <w:pBdr>
          <w:left w:val="single" w:color="445A84" w:sz="18" w:space="12"/>
        </w:pBdr>
        <w:spacing w:after="160" w:before="120" w:line="288"/>
        <w:ind w:left="360"/>
        <w:jc w:val="both"/>
      </w:pPr>
      <w:r>
        <w:rPr>
          <w:rFonts w:ascii="Calibri" w:cs="Calibri" w:eastAsia="Calibri" w:hAnsi="Calibri"/>
          <w:color w:val="242424"/>
          <w:sz w:val="22"/>
          <w:szCs w:val="22"/>
        </w:rPr>
        <w:t xml:space="preserve">Este reporte guarda semejanza con el 900000117 en la forma de aproximación descripta: en ambos la conversación se inicia ofreciendo participación en un casting, se traslada a una plataforma de mensajería en el segundo o tercer intercambio, y la solicitud de material aparece dentro de las primeras cuarenta y ocho horas. No comparten cuenta, dispositivo ni dirección IP. La semejanza se apoya en los pasajes que se citan a continuación, y es una hipótesis que requiere validación.</w:t>
      </w:r>
    </w:p>
    <w:p>
      <w:pPr>
        <w:spacing w:after="160" w:line="288"/>
        <w:jc w:val="both"/>
      </w:pPr>
      <w:r>
        <w:rPr>
          <w:rFonts w:ascii="Calibri" w:cs="Calibri" w:eastAsia="Calibri" w:hAnsi="Calibri"/>
          <w:color w:val="242424"/>
          <w:sz w:val="22"/>
          <w:szCs w:val="22"/>
        </w:rPr>
        <w:t xml:space="preserve">El párrafo dice tres cosas que no pueden faltar: </w:t>
      </w:r>
      <w:r>
        <w:rPr>
          <w:rFonts w:ascii="Calibri" w:cs="Calibri" w:eastAsia="Calibri" w:hAnsi="Calibri"/>
          <w:b/>
          <w:bCs/>
          <w:color w:val="242424"/>
          <w:sz w:val="22"/>
          <w:szCs w:val="22"/>
        </w:rPr>
        <w:t xml:space="preserve">en qué se parecen</w:t>
      </w:r>
      <w:r>
        <w:rPr>
          <w:rFonts w:ascii="Calibri" w:cs="Calibri" w:eastAsia="Calibri" w:hAnsi="Calibri"/>
          <w:color w:val="242424"/>
          <w:sz w:val="22"/>
          <w:szCs w:val="22"/>
        </w:rPr>
        <w:t xml:space="preserve">, </w:t>
      </w:r>
      <w:r>
        <w:rPr>
          <w:rFonts w:ascii="Calibri" w:cs="Calibri" w:eastAsia="Calibri" w:hAnsi="Calibri"/>
          <w:b/>
          <w:bCs/>
          <w:color w:val="242424"/>
          <w:sz w:val="22"/>
          <w:szCs w:val="22"/>
        </w:rPr>
        <w:t xml:space="preserve">qué no comparten</w:t>
      </w:r>
      <w:r>
        <w:rPr>
          <w:rFonts w:ascii="Calibri" w:cs="Calibri" w:eastAsia="Calibri" w:hAnsi="Calibri"/>
          <w:color w:val="242424"/>
          <w:sz w:val="22"/>
          <w:szCs w:val="22"/>
        </w:rPr>
        <w:t xml:space="preserve"> —para que nadie lea más de lo que hay— y </w:t>
      </w:r>
      <w:r>
        <w:rPr>
          <w:rFonts w:ascii="Calibri" w:cs="Calibri" w:eastAsia="Calibri" w:hAnsi="Calibri"/>
          <w:b/>
          <w:bCs/>
          <w:color w:val="242424"/>
          <w:sz w:val="22"/>
          <w:szCs w:val="22"/>
        </w:rPr>
        <w:t xml:space="preserve">cuál es su estatuto</w:t>
      </w:r>
      <w:r>
        <w:rPr>
          <w:rFonts w:ascii="Calibri" w:cs="Calibri" w:eastAsia="Calibri" w:hAnsi="Calibri"/>
          <w:color w:val="242424"/>
          <w:sz w:val="22"/>
          <w:szCs w:val="22"/>
        </w:rPr>
        <w:t xml:space="preserve">.</w:t>
      </w:r>
    </w:p>
    <w:p>
      <w:pPr>
        <w:pStyle w:val="Heading1"/>
        <w:keepNext/>
        <w:spacing w:after="140" w:before="340"/>
      </w:pPr>
      <w:r>
        <w:rPr>
          <w:rFonts w:ascii="Roboto" w:cs="Roboto" w:eastAsia="Roboto" w:hAnsi="Roboto"/>
          <w:b/>
          <w:bCs/>
          <w:color w:val="0B2545"/>
          <w:sz w:val="30"/>
          <w:szCs w:val="30"/>
        </w:rPr>
        <w:t xml:space="preserve">10. Integración con el circuito de decisión</w:t>
      </w:r>
    </w:p>
    <w:p>
      <w:pPr>
        <w:pStyle w:val="Heading2"/>
        <w:keepNext/>
        <w:spacing w:after="100" w:before="240"/>
      </w:pPr>
      <w:r>
        <w:rPr>
          <w:rFonts w:ascii="Roboto" w:cs="Roboto" w:eastAsia="Roboto" w:hAnsi="Roboto"/>
          <w:b/>
          <w:bCs/>
          <w:color w:val="0B2545"/>
          <w:sz w:val="25"/>
          <w:szCs w:val="25"/>
        </w:rPr>
        <w:t xml:space="preserve">10.1 Estatuto de la salida</w:t>
      </w:r>
    </w:p>
    <w:p>
      <w:pPr>
        <w:spacing w:after="160" w:line="288"/>
        <w:jc w:val="both"/>
      </w:pPr>
      <w:r>
        <w:rPr>
          <w:rFonts w:ascii="Calibri" w:cs="Calibri" w:eastAsia="Calibri" w:hAnsi="Calibri"/>
          <w:color w:val="242424"/>
          <w:sz w:val="22"/>
          <w:szCs w:val="22"/>
        </w:rPr>
        <w:t xml:space="preserve">Cada propuesta del modelo se materializa como una relación de clase inferida, en estado pendiente, con procedencia completa.</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6072"/>
      </w:tblGrid>
      <w:tr>
        <w:trPr>
          <w:tblHeader/>
        </w:trPr>
        <w:tc>
          <w:tcPr>
            <w:tcW w:type="dxa" w:w="30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Campo</w:t>
            </w:r>
          </w:p>
        </w:tc>
        <w:tc>
          <w:tcPr>
            <w:tcW w:type="dxa" w:w="60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Contenido</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Método</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Identificador del modelo</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Versión del método</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Versión del modelo entrenado</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Versión del conjunto</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Versión del conjunto etiquetado con el que se entrenó</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Modelo de embeddings</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Identificador y versión</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Confianza</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Puntaje calibrado</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Locator</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Los fragmentos que sostienen la propuesta</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Explicación</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La prosa del apartado 9.2</w:t>
            </w:r>
          </w:p>
        </w:tc>
      </w:tr>
      <w:tr>
        <w:tc>
          <w:tcPr>
            <w:tcW w:type="dxa" w:w="30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Subgrafo justificante</w:t>
            </w:r>
          </w:p>
        </w:tc>
        <w:tc>
          <w:tcPr>
            <w:tcW w:type="dxa" w:w="60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Nodos y aristas de la explicación estructural</w:t>
            </w:r>
          </w:p>
        </w:tc>
      </w:tr>
    </w:tbl>
    <w:p>
      <w:pPr>
        <w:spacing w:after="160" w:line="288"/>
        <w:jc w:val="both"/>
      </w:pPr>
      <w:r>
        <w:rPr>
          <w:rFonts w:ascii="Calibri" w:cs="Calibri" w:eastAsia="Calibri" w:hAnsi="Calibri"/>
          <w:b/>
          <w:bCs/>
          <w:color w:val="242424"/>
          <w:sz w:val="22"/>
          <w:szCs w:val="22"/>
        </w:rPr>
        <w:t xml:space="preserve">La calibración no es opcional. </w:t>
      </w:r>
      <w:r>
        <w:rPr>
          <w:rFonts w:ascii="Calibri" w:cs="Calibri" w:eastAsia="Calibri" w:hAnsi="Calibri"/>
          <w:color w:val="242424"/>
          <w:sz w:val="22"/>
          <w:szCs w:val="22"/>
        </w:rPr>
        <w:t xml:space="preserve">El puntaje crudo de una red no es una probabilidad: se calibra —escalado de Platt o regresión isotónica sobre el conjunto de validación— de modo que un valor de 0,80 signifique que aproximadamente el ochenta por ciento de las propuestas con ese puntaje resultan confirmadas. Sin calibración, un número en pantalla induce a error a quien lo lee.</w:t>
      </w:r>
    </w:p>
    <w:p>
      <w:pPr>
        <w:pStyle w:val="Heading2"/>
        <w:keepNext/>
        <w:spacing w:after="100" w:before="240"/>
      </w:pPr>
      <w:r>
        <w:rPr>
          <w:rFonts w:ascii="Roboto" w:cs="Roboto" w:eastAsia="Roboto" w:hAnsi="Roboto"/>
          <w:b/>
          <w:bCs/>
          <w:color w:val="0B2545"/>
          <w:sz w:val="25"/>
          <w:szCs w:val="25"/>
        </w:rPr>
        <w:t xml:space="preserve">10.2 Umbrales operativos</w:t>
      </w:r>
    </w:p>
    <w:p>
      <w:pPr>
        <w:spacing w:after="160" w:line="288"/>
        <w:jc w:val="both"/>
      </w:pPr>
      <w:r>
        <w:rPr>
          <w:rFonts w:ascii="Calibri" w:cs="Calibri" w:eastAsia="Calibri" w:hAnsi="Calibri"/>
          <w:color w:val="242424"/>
          <w:sz w:val="22"/>
          <w:szCs w:val="22"/>
        </w:rPr>
        <w:t xml:space="preserve">Se definen tres bandas con los operadores, sobre datos medidos.</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7272"/>
      </w:tblGrid>
      <w:tr>
        <w:trPr>
          <w:tblHeader/>
        </w:trPr>
        <w:tc>
          <w:tcPr>
            <w:tcW w:type="dxa" w:w="18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Banda</w:t>
            </w:r>
          </w:p>
        </w:tc>
        <w:tc>
          <w:tcPr>
            <w:tcW w:type="dxa" w:w="72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Comportamiento</w:t>
            </w:r>
          </w:p>
        </w:tc>
      </w:tr>
      <w:tr>
        <w:tc>
          <w:tcPr>
            <w:tcW w:type="dxa" w:w="1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Alta</w:t>
            </w:r>
          </w:p>
        </w:tc>
        <w:tc>
          <w:tcPr>
            <w:tcW w:type="dxa" w:w="7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Se propone en primer plano, junto con las vinculaciones derivadas</w:t>
            </w:r>
          </w:p>
        </w:tc>
      </w:tr>
      <w:tr>
        <w:tc>
          <w:tcPr>
            <w:tcW w:type="dxa" w:w="1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Media</w:t>
            </w:r>
          </w:p>
        </w:tc>
        <w:tc>
          <w:tcPr>
            <w:tcW w:type="dxa" w:w="7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Se propone en una sección separada, rotulada como semejanza contextual</w:t>
            </w:r>
          </w:p>
        </w:tc>
      </w:tr>
      <w:tr>
        <w:tc>
          <w:tcPr>
            <w:tcW w:type="dxa" w:w="18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Baja</w:t>
            </w:r>
          </w:p>
        </w:tc>
        <w:tc>
          <w:tcPr>
            <w:tcW w:type="dxa" w:w="7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No se muestra; queda disponible para consulta explícita y para auditoría</w:t>
            </w:r>
          </w:p>
        </w:tc>
      </w:tr>
    </w:tbl>
    <w:p>
      <w:pPr>
        <w:spacing w:after="160" w:line="288"/>
        <w:jc w:val="both"/>
      </w:pPr>
      <w:r>
        <w:rPr>
          <w:rFonts w:ascii="Calibri" w:cs="Calibri" w:eastAsia="Calibri" w:hAnsi="Calibri"/>
          <w:color w:val="242424"/>
          <w:sz w:val="22"/>
          <w:szCs w:val="22"/>
        </w:rPr>
        <w:t xml:space="preserve">Las propuestas del modelo </w:t>
      </w:r>
      <w:r>
        <w:rPr>
          <w:rFonts w:ascii="Calibri" w:cs="Calibri" w:eastAsia="Calibri" w:hAnsi="Calibri"/>
          <w:b/>
          <w:bCs/>
          <w:color w:val="242424"/>
          <w:sz w:val="22"/>
          <w:szCs w:val="22"/>
        </w:rPr>
        <w:t xml:space="preserve">nunca se presentan mezcladas</w:t>
      </w:r>
      <w:r>
        <w:rPr>
          <w:rFonts w:ascii="Calibri" w:cs="Calibri" w:eastAsia="Calibri" w:hAnsi="Calibri"/>
          <w:color w:val="242424"/>
          <w:sz w:val="22"/>
          <w:szCs w:val="22"/>
        </w:rPr>
        <w:t xml:space="preserve"> con las vinculaciones que se apoyan en un dato objetivo compartido. Son cosas distintas y se leen distinto.</w:t>
      </w:r>
    </w:p>
    <w:p>
      <w:pPr>
        <w:pStyle w:val="Heading2"/>
        <w:keepNext/>
        <w:spacing w:after="100" w:before="240"/>
      </w:pPr>
      <w:r>
        <w:rPr>
          <w:rFonts w:ascii="Roboto" w:cs="Roboto" w:eastAsia="Roboto" w:hAnsi="Roboto"/>
          <w:b/>
          <w:bCs/>
          <w:color w:val="0B2545"/>
          <w:sz w:val="25"/>
          <w:szCs w:val="25"/>
        </w:rPr>
        <w:t xml:space="preserve">10.3 Realimentación</w:t>
      </w:r>
    </w:p>
    <w:p>
      <w:pPr>
        <w:spacing w:after="160" w:line="288"/>
        <w:jc w:val="both"/>
      </w:pPr>
      <w:r>
        <w:rPr>
          <w:rFonts w:ascii="Calibri" w:cs="Calibri" w:eastAsia="Calibri" w:hAnsi="Calibri"/>
          <w:color w:val="242424"/>
          <w:sz w:val="22"/>
          <w:szCs w:val="22"/>
        </w:rPr>
        <w:t xml:space="preserve">Cada decisión sobre una propuesta del modelo se registra en el mismo libro append-only que las demás, con la particularidad de que asienta la versión del modelo que la produjo. Eso permite, por versión de modelo, calcular la tasa de confirmación real en producción, detectar degradación cuando esa tasa cae respecto de la evaluación, comparar dos versiones sobre la misma población y reconstruir, para cualquier propuesta pasada, qué modelo la produjo y con qué conjunto se había entrenado.</w:t>
      </w:r>
    </w:p>
    <w:p>
      <w:pPr>
        <w:pStyle w:val="Heading2"/>
        <w:keepNext/>
        <w:spacing w:after="100" w:before="240"/>
      </w:pPr>
      <w:r>
        <w:rPr>
          <w:rFonts w:ascii="Roboto" w:cs="Roboto" w:eastAsia="Roboto" w:hAnsi="Roboto"/>
          <w:b/>
          <w:bCs/>
          <w:color w:val="0B2545"/>
          <w:sz w:val="25"/>
          <w:szCs w:val="25"/>
        </w:rPr>
        <w:t xml:space="preserve">10.4 Reversibilidad</w:t>
      </w:r>
    </w:p>
    <w:p>
      <w:pPr>
        <w:spacing w:after="160" w:line="288"/>
        <w:jc w:val="both"/>
      </w:pPr>
      <w:r>
        <w:rPr>
          <w:rFonts w:ascii="Calibri" w:cs="Calibri" w:eastAsia="Calibri" w:hAnsi="Calibri"/>
          <w:color w:val="242424"/>
          <w:sz w:val="22"/>
          <w:szCs w:val="22"/>
        </w:rPr>
        <w:t xml:space="preserve">Retirar una versión del modelo del circuito deja el sistema exactamente como estaba: las propuestas se marcan como no vigentes, las decisiones humanas sobre ellas se conservan, y las vinculaciones derivadas y observadas no se tocan. </w:t>
      </w:r>
      <w:r>
        <w:rPr>
          <w:rFonts w:ascii="Calibri" w:cs="Calibri" w:eastAsia="Calibri" w:hAnsi="Calibri"/>
          <w:b/>
          <w:bCs/>
          <w:color w:val="242424"/>
          <w:sz w:val="22"/>
          <w:szCs w:val="22"/>
        </w:rPr>
        <w:t xml:space="preserve">La capa de aprendizaje se puede desconectar sin pérdida</w:t>
      </w:r>
      <w:r>
        <w:rPr>
          <w:rFonts w:ascii="Calibri" w:cs="Calibri" w:eastAsia="Calibri" w:hAnsi="Calibri"/>
          <w:color w:val="242424"/>
          <w:sz w:val="22"/>
          <w:szCs w:val="22"/>
        </w:rPr>
        <w:t xml:space="preserve">.</w:t>
      </w:r>
    </w:p>
    <w:p>
      <w:pPr>
        <w:pStyle w:val="Heading1"/>
        <w:keepNext/>
        <w:spacing w:after="140" w:before="340"/>
      </w:pPr>
      <w:r>
        <w:rPr>
          <w:rFonts w:ascii="Roboto" w:cs="Roboto" w:eastAsia="Roboto" w:hAnsi="Roboto"/>
          <w:b/>
          <w:bCs/>
          <w:color w:val="0B2545"/>
          <w:sz w:val="30"/>
          <w:szCs w:val="30"/>
        </w:rPr>
        <w:t xml:space="preserve">11. Infraestructura</w:t>
      </w:r>
    </w:p>
    <w:p>
      <w:pPr>
        <w:pStyle w:val="Heading2"/>
        <w:keepNext/>
        <w:spacing w:after="100" w:before="240"/>
      </w:pPr>
      <w:r>
        <w:rPr>
          <w:rFonts w:ascii="Roboto" w:cs="Roboto" w:eastAsia="Roboto" w:hAnsi="Roboto"/>
          <w:b/>
          <w:bCs/>
          <w:color w:val="0B2545"/>
          <w:sz w:val="25"/>
          <w:szCs w:val="25"/>
        </w:rPr>
        <w:t xml:space="preserve">11.1 Componentes</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4900"/>
        <w:gridCol w:w="1572"/>
      </w:tblGrid>
      <w:tr>
        <w:trPr>
          <w:tblHeader/>
        </w:trPr>
        <w:tc>
          <w:tcPr>
            <w:tcW w:type="dxa" w:w="26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Función</w:t>
            </w:r>
          </w:p>
        </w:tc>
        <w:tc>
          <w:tcPr>
            <w:tcW w:type="dxa" w:w="49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Tecnología</w:t>
            </w:r>
          </w:p>
        </w:tc>
        <w:tc>
          <w:tcPr>
            <w:tcW w:type="dxa" w:w="15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Ubicación</w:t>
            </w:r>
          </w:p>
        </w:tc>
      </w:tr>
      <w:tr>
        <w:tc>
          <w:tcPr>
            <w:tcW w:type="dxa" w:w="26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Embeddings de texto</w:t>
            </w:r>
          </w:p>
        </w:tc>
        <w:tc>
          <w:tcPr>
            <w:tcW w:type="dxa" w:w="49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sentence-transformers sobre PyTorch</w:t>
            </w:r>
          </w:p>
        </w:tc>
        <w:tc>
          <w:tcPr>
            <w:tcW w:type="dxa" w:w="15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Local</w:t>
            </w:r>
          </w:p>
        </w:tc>
      </w:tr>
      <w:tr>
        <w:tc>
          <w:tcPr>
            <w:tcW w:type="dxa" w:w="26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Almacenamiento vectorial</w:t>
            </w:r>
          </w:p>
        </w:tc>
        <w:tc>
          <w:tcPr>
            <w:tcW w:type="dxa" w:w="49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PostgreSQL con pgvector, índice HNSW</w:t>
            </w:r>
          </w:p>
        </w:tc>
        <w:tc>
          <w:tcPr>
            <w:tcW w:type="dxa" w:w="15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Local</w:t>
            </w:r>
          </w:p>
        </w:tc>
      </w:tr>
      <w:tr>
        <w:tc>
          <w:tcPr>
            <w:tcW w:type="dxa" w:w="26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Recuperación léxica</w:t>
            </w:r>
          </w:p>
        </w:tc>
        <w:tc>
          <w:tcPr>
            <w:tcW w:type="dxa" w:w="49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Búsqueda de texto completo de PostgreSQL o índice dedicado</w:t>
            </w:r>
          </w:p>
        </w:tc>
        <w:tc>
          <w:tcPr>
            <w:tcW w:type="dxa" w:w="15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Local</w:t>
            </w:r>
          </w:p>
        </w:tc>
      </w:tr>
      <w:tr>
        <w:tc>
          <w:tcPr>
            <w:tcW w:type="dxa" w:w="26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Grafo para entrenamiento</w:t>
            </w:r>
          </w:p>
        </w:tc>
        <w:tc>
          <w:tcPr>
            <w:tcW w:type="dxa" w:w="49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PyTorch Geometric</w:t>
            </w:r>
          </w:p>
        </w:tc>
        <w:tc>
          <w:tcPr>
            <w:tcW w:type="dxa" w:w="15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Local</w:t>
            </w:r>
          </w:p>
        </w:tc>
      </w:tr>
      <w:tr>
        <w:tc>
          <w:tcPr>
            <w:tcW w:type="dxa" w:w="26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Registro de experimentos</w:t>
            </w:r>
          </w:p>
        </w:tc>
        <w:tc>
          <w:tcPr>
            <w:tcW w:type="dxa" w:w="49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MLflow o equivalente</w:t>
            </w:r>
          </w:p>
        </w:tc>
        <w:tc>
          <w:tcPr>
            <w:tcW w:type="dxa" w:w="15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Local</w:t>
            </w:r>
          </w:p>
        </w:tc>
      </w:tr>
      <w:tr>
        <w:tc>
          <w:tcPr>
            <w:tcW w:type="dxa" w:w="26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Servicio de inferencia</w:t>
            </w:r>
          </w:p>
        </w:tc>
        <w:tc>
          <w:tcPr>
            <w:tcW w:type="dxa" w:w="49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FastAPI, proceso separado del transaccional</w:t>
            </w:r>
          </w:p>
        </w:tc>
        <w:tc>
          <w:tcPr>
            <w:tcW w:type="dxa" w:w="15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Local</w:t>
            </w:r>
          </w:p>
        </w:tc>
      </w:tr>
    </w:tbl>
    <w:p>
      <w:pPr>
        <w:spacing w:after="160" w:line="288"/>
        <w:jc w:val="both"/>
      </w:pPr>
      <w:r>
        <w:rPr>
          <w:rFonts w:ascii="Calibri" w:cs="Calibri" w:eastAsia="Calibri" w:hAnsi="Calibri"/>
          <w:color w:val="242424"/>
          <w:sz w:val="22"/>
          <w:szCs w:val="22"/>
        </w:rPr>
        <w:t xml:space="preserve">Toda la cadena corre dentro del entorno institucional. Ningún fragmento de texto, ningún vector y ningún resultado sale por la red.</w:t>
      </w:r>
    </w:p>
    <w:p>
      <w:pPr>
        <w:pStyle w:val="Heading2"/>
        <w:keepNext/>
        <w:spacing w:after="100" w:before="240"/>
      </w:pPr>
      <w:r>
        <w:rPr>
          <w:rFonts w:ascii="Roboto" w:cs="Roboto" w:eastAsia="Roboto" w:hAnsi="Roboto"/>
          <w:b/>
          <w:bCs/>
          <w:color w:val="0B2545"/>
          <w:sz w:val="25"/>
          <w:szCs w:val="25"/>
        </w:rPr>
        <w:t xml:space="preserve">11.2 Dimensionamiento</w:t>
      </w:r>
    </w:p>
    <w:p>
      <w:pPr>
        <w:spacing w:after="160" w:line="288"/>
        <w:jc w:val="both"/>
      </w:pPr>
      <w:r>
        <w:rPr>
          <w:rFonts w:ascii="Calibri" w:cs="Calibri" w:eastAsia="Calibri" w:hAnsi="Calibri"/>
          <w:b/>
          <w:bCs/>
          <w:color w:val="242424"/>
          <w:sz w:val="22"/>
          <w:szCs w:val="22"/>
        </w:rPr>
        <w:t xml:space="preserve">Generación de embeddings. </w:t>
      </w:r>
      <w:r>
        <w:rPr>
          <w:rFonts w:ascii="Calibri" w:cs="Calibri" w:eastAsia="Calibri" w:hAnsi="Calibri"/>
          <w:color w:val="242424"/>
          <w:sz w:val="22"/>
          <w:szCs w:val="22"/>
        </w:rPr>
        <w:t xml:space="preserve">Un modelo de 1024 dimensiones procesa del orden de cien a doscientos fragmentos por segundo en placa gráfica de gama media, y entre cinco y quince por segundo en procesador. Para un corpus dado, la generación inicial requiere una inferencia por fragmento; es una operación por única vez más el incremental de los reportes nuevos.</w:t>
      </w:r>
    </w:p>
    <w:p>
      <w:pPr>
        <w:spacing w:after="160" w:line="288"/>
        <w:jc w:val="both"/>
      </w:pPr>
      <w:r>
        <w:rPr>
          <w:rFonts w:ascii="Calibri" w:cs="Calibri" w:eastAsia="Calibri" w:hAnsi="Calibri"/>
          <w:b/>
          <w:bCs/>
          <w:color w:val="242424"/>
          <w:sz w:val="22"/>
          <w:szCs w:val="22"/>
        </w:rPr>
        <w:t xml:space="preserve">Almacenamiento. </w:t>
      </w:r>
      <w:r>
        <w:rPr>
          <w:rFonts w:ascii="Calibri" w:cs="Calibri" w:eastAsia="Calibri" w:hAnsi="Calibri"/>
          <w:color w:val="242424"/>
          <w:sz w:val="22"/>
          <w:szCs w:val="22"/>
        </w:rPr>
        <w:t xml:space="preserve">Un vector de 1024 dimensiones en punto flotante de cuatro bytes ocupa 4 KB. Un millón de fragmentos son 4 GB de vectores, más el índice HNSW, que agrega entre el cincuenta y el cien por ciento.</w:t>
      </w:r>
    </w:p>
    <w:p>
      <w:pPr>
        <w:spacing w:after="160" w:line="288"/>
        <w:jc w:val="both"/>
      </w:pPr>
      <w:r>
        <w:rPr>
          <w:rFonts w:ascii="Calibri" w:cs="Calibri" w:eastAsia="Calibri" w:hAnsi="Calibri"/>
          <w:b/>
          <w:bCs/>
          <w:color w:val="242424"/>
          <w:sz w:val="22"/>
          <w:szCs w:val="22"/>
        </w:rPr>
        <w:t xml:space="preserve">Entrenamiento. </w:t>
      </w:r>
      <w:r>
        <w:rPr>
          <w:rFonts w:ascii="Calibri" w:cs="Calibri" w:eastAsia="Calibri" w:hAnsi="Calibri"/>
          <w:color w:val="242424"/>
          <w:sz w:val="22"/>
          <w:szCs w:val="22"/>
        </w:rPr>
        <w:t xml:space="preserve">Para grafos de hasta cientos de miles de nodos, una R-GCN de dos capas entrena en minutos a decenas de minutos por época en placa de gama media. El cuello de botella no es el cómputo: es el conjunto etiquetado.</w:t>
      </w:r>
    </w:p>
    <w:p>
      <w:pPr>
        <w:spacing w:after="160" w:line="288"/>
        <w:jc w:val="both"/>
      </w:pPr>
      <w:r>
        <w:rPr>
          <w:rFonts w:ascii="Calibri" w:cs="Calibri" w:eastAsia="Calibri" w:hAnsi="Calibri"/>
          <w:b/>
          <w:bCs/>
          <w:color w:val="242424"/>
          <w:sz w:val="22"/>
          <w:szCs w:val="22"/>
        </w:rPr>
        <w:t xml:space="preserve">Inferencia. </w:t>
      </w:r>
      <w:r>
        <w:rPr>
          <w:rFonts w:ascii="Calibri" w:cs="Calibri" w:eastAsia="Calibri" w:hAnsi="Calibri"/>
          <w:color w:val="242424"/>
          <w:sz w:val="22"/>
          <w:szCs w:val="22"/>
        </w:rPr>
        <w:t xml:space="preserve">Con las representaciones precalculadas, puntuar un reporte contra los candidatos recuperados es despreciable. La recuperación vectorial con índice HNSW responde en milisegundos sobre millones de vectores.</w:t>
      </w:r>
    </w:p>
    <w:p>
      <w:pPr>
        <w:pStyle w:val="Heading2"/>
        <w:keepNext/>
        <w:spacing w:after="100" w:before="240"/>
      </w:pPr>
      <w:r>
        <w:rPr>
          <w:rFonts w:ascii="Roboto" w:cs="Roboto" w:eastAsia="Roboto" w:hAnsi="Roboto"/>
          <w:b/>
          <w:bCs/>
          <w:color w:val="0B2545"/>
          <w:sz w:val="25"/>
          <w:szCs w:val="25"/>
        </w:rPr>
        <w:t xml:space="preserve">11.3 Reproducibilidad</w:t>
      </w:r>
    </w:p>
    <w:p>
      <w:pPr>
        <w:spacing w:after="160" w:line="288"/>
        <w:jc w:val="both"/>
      </w:pPr>
      <w:r>
        <w:rPr>
          <w:rFonts w:ascii="Calibri" w:cs="Calibri" w:eastAsia="Calibri" w:hAnsi="Calibri"/>
          <w:color w:val="242424"/>
          <w:sz w:val="22"/>
          <w:szCs w:val="22"/>
        </w:rPr>
        <w:t xml:space="preserve">Cada entrenamiento registra el hash del conjunto etiquetado, el hash del grafo de entrada, la semilla, los hiperparámetros completos, la versión de cada biblioteca y el hash de los pesos resultantes. Un resultado que no se puede reproducir no se reporta.</w:t>
      </w:r>
    </w:p>
    <w:p>
      <w:pPr>
        <w:pStyle w:val="Heading1"/>
        <w:keepNext/>
        <w:spacing w:after="140" w:before="340"/>
      </w:pPr>
      <w:r>
        <w:rPr>
          <w:rFonts w:ascii="Roboto" w:cs="Roboto" w:eastAsia="Roboto" w:hAnsi="Roboto"/>
          <w:b/>
          <w:bCs/>
          <w:color w:val="0B2545"/>
          <w:sz w:val="30"/>
          <w:szCs w:val="30"/>
        </w:rPr>
        <w:t xml:space="preserve">12. Plan por fases</w:t>
      </w:r>
    </w:p>
    <w:p>
      <w:pPr>
        <w:spacing w:after="160" w:line="288"/>
        <w:jc w:val="both"/>
      </w:pPr>
      <w:r>
        <w:rPr>
          <w:rFonts w:ascii="Calibri" w:cs="Calibri" w:eastAsia="Calibri" w:hAnsi="Calibri"/>
          <w:color w:val="242424"/>
          <w:sz w:val="22"/>
          <w:szCs w:val="22"/>
        </w:rPr>
        <w:t xml:space="preserve">Cada fase entrega algo utilizable y tiene un criterio de salida verificable. Ninguna avanza sin cumplir el de la anterior.</w:t>
      </w:r>
    </w:p>
    <w:p>
      <w:pPr>
        <w:pStyle w:val="Heading2"/>
        <w:keepNext/>
        <w:spacing w:after="100" w:before="240"/>
      </w:pPr>
      <w:r>
        <w:rPr>
          <w:rFonts w:ascii="Roboto" w:cs="Roboto" w:eastAsia="Roboto" w:hAnsi="Roboto"/>
          <w:b/>
          <w:bCs/>
          <w:color w:val="0B2545"/>
          <w:sz w:val="25"/>
          <w:szCs w:val="25"/>
        </w:rPr>
        <w:t xml:space="preserve">Fase 1 — Corpus textual y capa de embeddings</w:t>
      </w:r>
    </w:p>
    <w:p>
      <w:pPr>
        <w:spacing w:after="160" w:line="288"/>
        <w:jc w:val="both"/>
      </w:pPr>
      <w:r>
        <w:rPr>
          <w:rFonts w:ascii="Calibri" w:cs="Calibri" w:eastAsia="Calibri" w:hAnsi="Calibri"/>
          <w:color w:val="242424"/>
          <w:sz w:val="22"/>
          <w:szCs w:val="22"/>
        </w:rPr>
        <w:t xml:space="preserve">Se construye la extracción del texto retenido, la fragmentación con solapamiento, la evaluación comparativa de tres modelos sobre corpus propio, la tabla vectorial con índice HNSW y un buscador semántico con citación al locator. Se entrega búsqueda por semejanza sobre el archivo completo, con resultados que citan reporte y campo exacto.</w:t>
      </w:r>
    </w:p>
    <w:p>
      <w:pPr>
        <w:spacing w:after="160" w:line="288"/>
        <w:jc w:val="both"/>
      </w:pPr>
      <w:r>
        <w:rPr>
          <w:rFonts w:ascii="Calibri" w:cs="Calibri" w:eastAsia="Calibri" w:hAnsi="Calibri"/>
          <w:b/>
          <w:bCs/>
          <w:color w:val="242424"/>
          <w:sz w:val="22"/>
          <w:szCs w:val="22"/>
        </w:rPr>
        <w:t xml:space="preserve">Criterio de salida: </w:t>
      </w:r>
      <w:r>
        <w:rPr>
          <w:rFonts w:ascii="Calibri" w:cs="Calibri" w:eastAsia="Calibri" w:hAnsi="Calibri"/>
          <w:color w:val="242424"/>
          <w:sz w:val="22"/>
          <w:szCs w:val="22"/>
        </w:rPr>
        <w:t xml:space="preserve">sobre doscientos pares de fragmentos con relación conocida, el modelo elegido recupera el par correcto entre los primeros diez en una proporción medida y documentada, superior a la de la búsqueda léxica sola.</w:t>
      </w:r>
    </w:p>
    <w:p>
      <w:pPr>
        <w:pStyle w:val="Heading2"/>
        <w:keepNext/>
        <w:spacing w:after="100" w:before="240"/>
      </w:pPr>
      <w:r>
        <w:rPr>
          <w:rFonts w:ascii="Roboto" w:cs="Roboto" w:eastAsia="Roboto" w:hAnsi="Roboto"/>
          <w:b/>
          <w:bCs/>
          <w:color w:val="0B2545"/>
          <w:sz w:val="25"/>
          <w:szCs w:val="25"/>
        </w:rPr>
        <w:t xml:space="preserve">Fase 2 — Conjunto etiquetado</w:t>
      </w:r>
    </w:p>
    <w:p>
      <w:pPr>
        <w:spacing w:after="160" w:line="288"/>
        <w:jc w:val="both"/>
      </w:pPr>
      <w:r>
        <w:rPr>
          <w:rFonts w:ascii="Calibri" w:cs="Calibri" w:eastAsia="Calibri" w:hAnsi="Calibri"/>
          <w:color w:val="242424"/>
          <w:sz w:val="22"/>
          <w:szCs w:val="22"/>
        </w:rPr>
        <w:t xml:space="preserve">Se construye la guía de anotación con casos límite, la herramienta de anotación sobre pares, la extracción de etiquetas desde las decisiones ya registradas y el protocolo de doble anotación con medición de acuerdo. Se entrega el conjunto etiquetado versionado, con particiones temporales congeladas.</w:t>
      </w:r>
    </w:p>
    <w:p>
      <w:pPr>
        <w:spacing w:after="160" w:line="288"/>
        <w:jc w:val="both"/>
      </w:pPr>
      <w:r>
        <w:rPr>
          <w:rFonts w:ascii="Calibri" w:cs="Calibri" w:eastAsia="Calibri" w:hAnsi="Calibri"/>
          <w:b/>
          <w:bCs/>
          <w:color w:val="242424"/>
          <w:sz w:val="22"/>
          <w:szCs w:val="22"/>
        </w:rPr>
        <w:t xml:space="preserve">Criterio de salida: </w:t>
      </w:r>
      <w:r>
        <w:rPr>
          <w:rFonts w:ascii="Calibri" w:cs="Calibri" w:eastAsia="Calibri" w:hAnsi="Calibri"/>
          <w:color w:val="242424"/>
          <w:sz w:val="22"/>
          <w:szCs w:val="22"/>
        </w:rPr>
        <w:t xml:space="preserve">kappa mayor o igual a 0,70 sobre el solapamiento de doble anotación, y el volumen mínimo viable por tipo de relación.</w:t>
      </w:r>
    </w:p>
    <w:p>
      <w:pPr>
        <w:pStyle w:val="Heading2"/>
        <w:keepNext/>
        <w:spacing w:after="100" w:before="240"/>
      </w:pPr>
      <w:r>
        <w:rPr>
          <w:rFonts w:ascii="Roboto" w:cs="Roboto" w:eastAsia="Roboto" w:hAnsi="Roboto"/>
          <w:b/>
          <w:bCs/>
          <w:color w:val="0B2545"/>
          <w:sz w:val="25"/>
          <w:szCs w:val="25"/>
        </w:rPr>
        <w:t xml:space="preserve">Fase 3 — Baseline semántico</w:t>
      </w:r>
    </w:p>
    <w:p>
      <w:pPr>
        <w:spacing w:after="160" w:line="288"/>
        <w:jc w:val="both"/>
      </w:pPr>
      <w:r>
        <w:rPr>
          <w:rFonts w:ascii="Calibri" w:cs="Calibri" w:eastAsia="Calibri" w:hAnsi="Calibri"/>
          <w:color w:val="242424"/>
          <w:sz w:val="22"/>
          <w:szCs w:val="22"/>
        </w:rPr>
        <w:t xml:space="preserve">Se construye la recuperación densa, la léxica, la fusión por rango recíproco, la incorporación de la señal estructural y el modelo lineal de combinación. Se entrega el sistema de vinculación contextual en producción, con explicación citada.</w:t>
      </w:r>
    </w:p>
    <w:p>
      <w:pPr>
        <w:spacing w:after="160" w:line="288"/>
        <w:jc w:val="both"/>
      </w:pPr>
      <w:r>
        <w:rPr>
          <w:rFonts w:ascii="Calibri" w:cs="Calibri" w:eastAsia="Calibri" w:hAnsi="Calibri"/>
          <w:b/>
          <w:bCs/>
          <w:color w:val="242424"/>
          <w:sz w:val="22"/>
          <w:szCs w:val="22"/>
        </w:rPr>
        <w:t xml:space="preserve">Criterio de salida: </w:t>
      </w:r>
      <w:r>
        <w:rPr>
          <w:rFonts w:ascii="Calibri" w:cs="Calibri" w:eastAsia="Calibri" w:hAnsi="Calibri"/>
          <w:color w:val="242424"/>
          <w:sz w:val="22"/>
          <w:szCs w:val="22"/>
        </w:rPr>
        <w:t xml:space="preserve">supera al baseline Adamic–Adar en precisión en los primeros diez sobre la partición de prueba, con margen medido.</w:t>
      </w:r>
    </w:p>
    <w:p>
      <w:pPr>
        <w:pStyle w:val="Heading2"/>
        <w:keepNext/>
        <w:spacing w:after="100" w:before="240"/>
      </w:pPr>
      <w:r>
        <w:rPr>
          <w:rFonts w:ascii="Roboto" w:cs="Roboto" w:eastAsia="Roboto" w:hAnsi="Roboto"/>
          <w:b/>
          <w:bCs/>
          <w:color w:val="0B2545"/>
          <w:sz w:val="25"/>
          <w:szCs w:val="25"/>
        </w:rPr>
        <w:t xml:space="preserve">Fase 4 — Red sobre grafos, experimental</w:t>
      </w:r>
    </w:p>
    <w:p>
      <w:pPr>
        <w:spacing w:after="160" w:line="288"/>
        <w:jc w:val="both"/>
      </w:pPr>
      <w:r>
        <w:rPr>
          <w:rFonts w:ascii="Calibri" w:cs="Calibri" w:eastAsia="Calibri" w:hAnsi="Calibri"/>
          <w:color w:val="242424"/>
          <w:sz w:val="22"/>
          <w:szCs w:val="22"/>
        </w:rPr>
        <w:t xml:space="preserve">Se construye el grafo heterogéneo con features, la R-GCN de dos capas, el entrenamiento con muestreo estratificado de negativos y la evaluación completa incluyendo subgrupos. Se entrega el informe de evaluación comparativa contra ambos baselines.</w:t>
      </w:r>
    </w:p>
    <w:p>
      <w:pPr>
        <w:spacing w:after="160" w:line="288"/>
        <w:jc w:val="both"/>
      </w:pPr>
      <w:r>
        <w:rPr>
          <w:rFonts w:ascii="Calibri" w:cs="Calibri" w:eastAsia="Calibri" w:hAnsi="Calibri"/>
          <w:b/>
          <w:bCs/>
          <w:color w:val="242424"/>
          <w:sz w:val="22"/>
          <w:szCs w:val="22"/>
        </w:rPr>
        <w:t xml:space="preserve">Criterio de salida: </w:t>
      </w:r>
      <w:r>
        <w:rPr>
          <w:rFonts w:ascii="Calibri" w:cs="Calibri" w:eastAsia="Calibri" w:hAnsi="Calibri"/>
          <w:color w:val="242424"/>
          <w:sz w:val="22"/>
          <w:szCs w:val="22"/>
        </w:rPr>
        <w:t xml:space="preserve">los cinco criterios de aceptación del apartado 8.7. Su incumplimiento es un resultado válido: el baseline semántico queda en producción.</w:t>
      </w:r>
    </w:p>
    <w:p>
      <w:pPr>
        <w:pStyle w:val="Heading2"/>
        <w:keepNext/>
        <w:spacing w:after="100" w:before="240"/>
      </w:pPr>
      <w:r>
        <w:rPr>
          <w:rFonts w:ascii="Roboto" w:cs="Roboto" w:eastAsia="Roboto" w:hAnsi="Roboto"/>
          <w:b/>
          <w:bCs/>
          <w:color w:val="0B2545"/>
          <w:sz w:val="25"/>
          <w:szCs w:val="25"/>
        </w:rPr>
        <w:t xml:space="preserve">Fase 5 — Explicabilidad y puesta en circuito</w:t>
      </w:r>
    </w:p>
    <w:p>
      <w:pPr>
        <w:spacing w:after="160" w:line="288"/>
        <w:jc w:val="both"/>
      </w:pPr>
      <w:r>
        <w:rPr>
          <w:rFonts w:ascii="Calibri" w:cs="Calibri" w:eastAsia="Calibri" w:hAnsi="Calibri"/>
          <w:color w:val="242424"/>
          <w:sz w:val="22"/>
          <w:szCs w:val="22"/>
        </w:rPr>
        <w:t xml:space="preserve">Se construye el subgrafo justificante, la atribución a fragmentos, la calibración del puntaje, la redacción en prosa, la integración con el registro de decisiones y el tablero de seguimiento de la tasa de confirmación. Se entregan las propuestas del modelo dentro del circuito de validación, con seguimiento de su rendimiento real.</w:t>
      </w:r>
    </w:p>
    <w:p>
      <w:pPr>
        <w:spacing w:after="160" w:line="288"/>
        <w:jc w:val="both"/>
      </w:pPr>
      <w:r>
        <w:rPr>
          <w:rFonts w:ascii="Calibri" w:cs="Calibri" w:eastAsia="Calibri" w:hAnsi="Calibri"/>
          <w:b/>
          <w:bCs/>
          <w:color w:val="242424"/>
          <w:sz w:val="22"/>
          <w:szCs w:val="22"/>
        </w:rPr>
        <w:t xml:space="preserve">Criterio de salida: </w:t>
      </w:r>
      <w:r>
        <w:rPr>
          <w:rFonts w:ascii="Calibri" w:cs="Calibri" w:eastAsia="Calibri" w:hAnsi="Calibri"/>
          <w:color w:val="242424"/>
          <w:sz w:val="22"/>
          <w:szCs w:val="22"/>
        </w:rPr>
        <w:t xml:space="preserve">la tasa de confirmación en producción se mantiene, durante un período acordado, dentro del margen de lo medido en evaluación.</w:t>
      </w:r>
    </w:p>
    <w:p>
      <w:pPr>
        <w:pStyle w:val="Heading1"/>
        <w:keepNext/>
        <w:spacing w:after="140" w:before="340"/>
      </w:pPr>
      <w:r>
        <w:rPr>
          <w:rFonts w:ascii="Roboto" w:cs="Roboto" w:eastAsia="Roboto" w:hAnsi="Roboto"/>
          <w:b/>
          <w:bCs/>
          <w:color w:val="0B2545"/>
          <w:sz w:val="30"/>
          <w:szCs w:val="30"/>
        </w:rPr>
        <w:t xml:space="preserve">13. Riesgos y controles</w:t>
      </w:r>
    </w:p>
    <w:tbl>
      <w:tblPr>
        <w:tblW w:type="dxa" w:w="9072"/>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3300"/>
        <w:gridCol w:w="3272"/>
      </w:tblGrid>
      <w:tr>
        <w:trPr>
          <w:tblHeader/>
        </w:trPr>
        <w:tc>
          <w:tcPr>
            <w:tcW w:type="dxa" w:w="25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Riesgo</w:t>
            </w:r>
          </w:p>
        </w:tc>
        <w:tc>
          <w:tcPr>
            <w:tcW w:type="dxa" w:w="3300"/>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Manifestación</w:t>
            </w:r>
          </w:p>
        </w:tc>
        <w:tc>
          <w:tcPr>
            <w:tcW w:type="dxa" w:w="3272"/>
            <w:shd w:fill="F1F1F1" w:val="clear"/>
            <w:tcMar>
              <w:top w:type="dxa" w:w="80"/>
              <w:left w:type="dxa" w:w="130"/>
              <w:bottom w:type="dxa" w:w="80"/>
              <w:right w:type="dxa" w:w="130"/>
            </w:tcMar>
            <w:vAlign w:val="center"/>
          </w:tcPr>
          <w:p>
            <w:r>
              <w:rPr>
                <w:rFonts w:ascii="Roboto" w:cs="Roboto" w:eastAsia="Roboto" w:hAnsi="Roboto"/>
                <w:b/>
                <w:bCs/>
                <w:color w:val="0B2545"/>
                <w:sz w:val="20"/>
                <w:szCs w:val="20"/>
              </w:rPr>
              <w:t xml:space="preserve">Control</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Fuga entre entrenamiento y prueba</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Métricas excelentes que se derrumban en producción</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Partición temporal, remoción de aristas de prueba, evaluación sin entidad compartida</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Aprender el proceso en lugar del hecho</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El modelo predice qué vincula un área, no qué está relacionado</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Exclusión de features de proceso, evaluación por subgrupos</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Sesgo por cobertura de plataforma</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Las plataformas que informan más campos dominan las propuestas</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Normalización por riqueza de datos, métrica por plataforma</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Confianza inducida por un número</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Un puntaje alto se lee como acreditación</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Calibración, banda explícita, redacción que declara el estatuto y lo que no se comparte</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Realimentación que se refuerza a sí misma</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El modelo propone, se confirma lo propuesto, se entrena con eso</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Reserva de una fracción de casos anotados a ciegas, sin exposición previa a propuestas</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Deriva del criterio de anotación</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El conjunto pierde consistencia con el tiempo</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Versionado de la guía, reanotación periódica de una muestra</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Amplificación por aristas inferidas</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El modelo propaga por sus propias hipótesis anteriores</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Clase epistemológica como feature de arista; opción de entrenar solo sobre observadas y derivadas</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Reconstrucción desde vectores</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Un embedding filtrado permite aproximar el texto</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Control de acceso equivalente al del texto original</w:t>
            </w:r>
          </w:p>
        </w:tc>
      </w:tr>
      <w:tr>
        <w:tc>
          <w:tcPr>
            <w:tcW w:type="dxa" w:w="25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Degradación silenciosa</w:t>
            </w:r>
          </w:p>
        </w:tc>
        <w:tc>
          <w:tcPr>
            <w:tcW w:type="dxa" w:w="3300"/>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El modelo empeora sin que nadie lo note</w:t>
            </w:r>
          </w:p>
        </w:tc>
        <w:tc>
          <w:tcPr>
            <w:tcW w:type="dxa" w:w="3272"/>
            <w:tcMar>
              <w:top w:type="dxa" w:w="70"/>
              <w:left w:type="dxa" w:w="130"/>
              <w:bottom w:type="dxa" w:w="70"/>
              <w:right w:type="dxa" w:w="130"/>
            </w:tcMar>
            <w:vAlign w:val="center"/>
          </w:tcPr>
          <w:p>
            <w:pPr>
              <w:spacing w:after="0" w:line="268"/>
            </w:pPr>
            <w:r>
              <w:rPr>
                <w:rFonts w:ascii="Calibri" w:cs="Calibri" w:eastAsia="Calibri" w:hAnsi="Calibri"/>
                <w:color w:val="242424"/>
                <w:sz w:val="22"/>
                <w:szCs w:val="22"/>
              </w:rPr>
              <w:t xml:space="preserve">Seguimiento continuo de la tasa de confirmación por versión</w:t>
            </w:r>
          </w:p>
        </w:tc>
      </w:tr>
    </w:tbl>
    <w:p>
      <w:pPr>
        <w:pStyle w:val="Heading1"/>
        <w:keepNext/>
        <w:spacing w:after="140" w:before="340"/>
      </w:pPr>
      <w:r>
        <w:rPr>
          <w:rFonts w:ascii="Roboto" w:cs="Roboto" w:eastAsia="Roboto" w:hAnsi="Roboto"/>
          <w:b/>
          <w:bCs/>
          <w:color w:val="0B2545"/>
          <w:sz w:val="30"/>
          <w:szCs w:val="30"/>
        </w:rPr>
        <w:t xml:space="preserve">14. Glosario</w:t>
      </w:r>
    </w:p>
    <w:p>
      <w:pPr>
        <w:pStyle w:val="ListParagraph"/>
        <w:numPr>
          <w:ilvl w:val="0"/>
          <w:numId w:val="4"/>
        </w:numPr>
        <w:spacing w:after="80" w:line="284"/>
        <w:jc w:val="both"/>
      </w:pPr>
      <w:r>
        <w:rPr>
          <w:rFonts w:ascii="Calibri" w:cs="Calibri" w:eastAsia="Calibri" w:hAnsi="Calibri"/>
          <w:b/>
          <w:bCs/>
          <w:color w:val="242424"/>
          <w:sz w:val="22"/>
          <w:szCs w:val="22"/>
        </w:rPr>
        <w:t xml:space="preserve">Adamic–Adar. </w:t>
      </w:r>
      <w:r>
        <w:rPr>
          <w:rFonts w:ascii="Calibri" w:cs="Calibri" w:eastAsia="Calibri" w:hAnsi="Calibri"/>
          <w:color w:val="242424"/>
          <w:sz w:val="22"/>
          <w:szCs w:val="22"/>
        </w:rPr>
        <w:t xml:space="preserve">Medida de proximidad entre dos nodos que suma el inverso del logaritmo del grado de cada vecino común. Un vecino poco conectado aporta más que uno muy conectado.</w:t>
      </w:r>
    </w:p>
    <w:p>
      <w:pPr>
        <w:pStyle w:val="ListParagraph"/>
        <w:numPr>
          <w:ilvl w:val="0"/>
          <w:numId w:val="4"/>
        </w:numPr>
        <w:spacing w:after="80" w:line="284"/>
        <w:jc w:val="both"/>
      </w:pPr>
      <w:r>
        <w:rPr>
          <w:rFonts w:ascii="Calibri" w:cs="Calibri" w:eastAsia="Calibri" w:hAnsi="Calibri"/>
          <w:b/>
          <w:bCs/>
          <w:color w:val="242424"/>
          <w:sz w:val="22"/>
          <w:szCs w:val="22"/>
        </w:rPr>
        <w:t xml:space="preserve">Área bajo la curva de precisión–recuperación. </w:t>
      </w:r>
      <w:r>
        <w:rPr>
          <w:rFonts w:ascii="Calibri" w:cs="Calibri" w:eastAsia="Calibri" w:hAnsi="Calibri"/>
          <w:color w:val="242424"/>
          <w:sz w:val="22"/>
          <w:szCs w:val="22"/>
        </w:rPr>
        <w:t xml:space="preserve">Métrica de calidad de un clasificador que, con clases muy desbalanceadas, resulta más informativa que el área bajo la curva ROC.</w:t>
      </w:r>
    </w:p>
    <w:p>
      <w:pPr>
        <w:pStyle w:val="ListParagraph"/>
        <w:numPr>
          <w:ilvl w:val="0"/>
          <w:numId w:val="4"/>
        </w:numPr>
        <w:spacing w:after="80" w:line="284"/>
        <w:jc w:val="both"/>
      </w:pPr>
      <w:r>
        <w:rPr>
          <w:rFonts w:ascii="Calibri" w:cs="Calibri" w:eastAsia="Calibri" w:hAnsi="Calibri"/>
          <w:b/>
          <w:bCs/>
          <w:color w:val="242424"/>
          <w:sz w:val="22"/>
          <w:szCs w:val="22"/>
        </w:rPr>
        <w:t xml:space="preserve">BM25. </w:t>
      </w:r>
      <w:r>
        <w:rPr>
          <w:rFonts w:ascii="Calibri" w:cs="Calibri" w:eastAsia="Calibri" w:hAnsi="Calibri"/>
          <w:color w:val="242424"/>
          <w:sz w:val="22"/>
          <w:szCs w:val="22"/>
        </w:rPr>
        <w:t xml:space="preserve">Función de puntuación para recuperación léxica que pondera la frecuencia de un término en un documento contra su frecuencia en el corpus.</w:t>
      </w:r>
    </w:p>
    <w:p>
      <w:pPr>
        <w:pStyle w:val="ListParagraph"/>
        <w:numPr>
          <w:ilvl w:val="0"/>
          <w:numId w:val="4"/>
        </w:numPr>
        <w:spacing w:after="80" w:line="284"/>
        <w:jc w:val="both"/>
      </w:pPr>
      <w:r>
        <w:rPr>
          <w:rFonts w:ascii="Calibri" w:cs="Calibri" w:eastAsia="Calibri" w:hAnsi="Calibri"/>
          <w:b/>
          <w:bCs/>
          <w:color w:val="242424"/>
          <w:sz w:val="22"/>
          <w:szCs w:val="22"/>
        </w:rPr>
        <w:t xml:space="preserve">Calibración. </w:t>
      </w:r>
      <w:r>
        <w:rPr>
          <w:rFonts w:ascii="Calibri" w:cs="Calibri" w:eastAsia="Calibri" w:hAnsi="Calibri"/>
          <w:color w:val="242424"/>
          <w:sz w:val="22"/>
          <w:szCs w:val="22"/>
        </w:rPr>
        <w:t xml:space="preserve">Transformación del puntaje crudo de un modelo para que se interprete como probabilidad.</w:t>
      </w:r>
    </w:p>
    <w:p>
      <w:pPr>
        <w:pStyle w:val="ListParagraph"/>
        <w:numPr>
          <w:ilvl w:val="0"/>
          <w:numId w:val="4"/>
        </w:numPr>
        <w:spacing w:after="80" w:line="284"/>
        <w:jc w:val="both"/>
      </w:pPr>
      <w:r>
        <w:rPr>
          <w:rFonts w:ascii="Calibri" w:cs="Calibri" w:eastAsia="Calibri" w:hAnsi="Calibri"/>
          <w:b/>
          <w:bCs/>
          <w:color w:val="242424"/>
          <w:sz w:val="22"/>
          <w:szCs w:val="22"/>
        </w:rPr>
        <w:t xml:space="preserve">Embedding. </w:t>
      </w:r>
      <w:r>
        <w:rPr>
          <w:rFonts w:ascii="Calibri" w:cs="Calibri" w:eastAsia="Calibri" w:hAnsi="Calibri"/>
          <w:color w:val="242424"/>
          <w:sz w:val="22"/>
          <w:szCs w:val="22"/>
        </w:rPr>
        <w:t xml:space="preserve">Representación de un objeto —un texto, un nodo— como vector de números reales, construida de modo que la proximidad entre vectores refleje semejanza.</w:t>
      </w:r>
    </w:p>
    <w:p>
      <w:pPr>
        <w:pStyle w:val="ListParagraph"/>
        <w:numPr>
          <w:ilvl w:val="0"/>
          <w:numId w:val="4"/>
        </w:numPr>
        <w:spacing w:after="80" w:line="284"/>
        <w:jc w:val="both"/>
      </w:pPr>
      <w:r>
        <w:rPr>
          <w:rFonts w:ascii="Calibri" w:cs="Calibri" w:eastAsia="Calibri" w:hAnsi="Calibri"/>
          <w:b/>
          <w:bCs/>
          <w:color w:val="242424"/>
          <w:sz w:val="22"/>
          <w:szCs w:val="22"/>
        </w:rPr>
        <w:t xml:space="preserve">GNN. </w:t>
      </w:r>
      <w:r>
        <w:rPr>
          <w:rFonts w:ascii="Calibri" w:cs="Calibri" w:eastAsia="Calibri" w:hAnsi="Calibri"/>
          <w:color w:val="242424"/>
          <w:sz w:val="22"/>
          <w:szCs w:val="22"/>
        </w:rPr>
        <w:t xml:space="preserve">Red neuronal que opera sobre grafos, produciendo la representación de cada nodo a partir de la de sus vecinos, iterativamente.</w:t>
      </w:r>
    </w:p>
    <w:p>
      <w:pPr>
        <w:pStyle w:val="ListParagraph"/>
        <w:numPr>
          <w:ilvl w:val="0"/>
          <w:numId w:val="4"/>
        </w:numPr>
        <w:spacing w:after="80" w:line="284"/>
        <w:jc w:val="both"/>
      </w:pPr>
      <w:r>
        <w:rPr>
          <w:rFonts w:ascii="Calibri" w:cs="Calibri" w:eastAsia="Calibri" w:hAnsi="Calibri"/>
          <w:b/>
          <w:bCs/>
          <w:color w:val="242424"/>
          <w:sz w:val="22"/>
          <w:szCs w:val="22"/>
        </w:rPr>
        <w:t xml:space="preserve">GNNExplainer. </w:t>
      </w:r>
      <w:r>
        <w:rPr>
          <w:rFonts w:ascii="Calibri" w:cs="Calibri" w:eastAsia="Calibri" w:hAnsi="Calibri"/>
          <w:color w:val="242424"/>
          <w:sz w:val="22"/>
          <w:szCs w:val="22"/>
        </w:rPr>
        <w:t xml:space="preserve">Método que identifica el subconjunto mínimo de aristas y features que explica la predicción de una red sobre grafos.</w:t>
      </w:r>
    </w:p>
    <w:p>
      <w:pPr>
        <w:pStyle w:val="ListParagraph"/>
        <w:numPr>
          <w:ilvl w:val="0"/>
          <w:numId w:val="4"/>
        </w:numPr>
        <w:spacing w:after="80" w:line="284"/>
        <w:jc w:val="both"/>
      </w:pPr>
      <w:r>
        <w:rPr>
          <w:rFonts w:ascii="Calibri" w:cs="Calibri" w:eastAsia="Calibri" w:hAnsi="Calibri"/>
          <w:b/>
          <w:bCs/>
          <w:color w:val="242424"/>
          <w:sz w:val="22"/>
          <w:szCs w:val="22"/>
        </w:rPr>
        <w:t xml:space="preserve">HNSW. </w:t>
      </w:r>
      <w:r>
        <w:rPr>
          <w:rFonts w:ascii="Calibri" w:cs="Calibri" w:eastAsia="Calibri" w:hAnsi="Calibri"/>
          <w:color w:val="242424"/>
          <w:sz w:val="22"/>
          <w:szCs w:val="22"/>
        </w:rPr>
        <w:t xml:space="preserve">Estructura de índice para búsqueda aproximada de vecinos más cercanos en espacios vectoriales de alta dimensión.</w:t>
      </w:r>
    </w:p>
    <w:p>
      <w:pPr>
        <w:pStyle w:val="ListParagraph"/>
        <w:numPr>
          <w:ilvl w:val="0"/>
          <w:numId w:val="4"/>
        </w:numPr>
        <w:spacing w:after="80" w:line="284"/>
        <w:jc w:val="both"/>
      </w:pPr>
      <w:r>
        <w:rPr>
          <w:rFonts w:ascii="Calibri" w:cs="Calibri" w:eastAsia="Calibri" w:hAnsi="Calibri"/>
          <w:b/>
          <w:bCs/>
          <w:color w:val="242424"/>
          <w:sz w:val="22"/>
          <w:szCs w:val="22"/>
        </w:rPr>
        <w:t xml:space="preserve">Kappa de Cohen. </w:t>
      </w:r>
      <w:r>
        <w:rPr>
          <w:rFonts w:ascii="Calibri" w:cs="Calibri" w:eastAsia="Calibri" w:hAnsi="Calibri"/>
          <w:color w:val="242424"/>
          <w:sz w:val="22"/>
          <w:szCs w:val="22"/>
        </w:rPr>
        <w:t xml:space="preserve">Medida de acuerdo entre dos anotadores que descuenta el acuerdo esperable por azar.</w:t>
      </w:r>
    </w:p>
    <w:p>
      <w:pPr>
        <w:pStyle w:val="ListParagraph"/>
        <w:numPr>
          <w:ilvl w:val="0"/>
          <w:numId w:val="4"/>
        </w:numPr>
        <w:spacing w:after="80" w:line="284"/>
        <w:jc w:val="both"/>
      </w:pPr>
      <w:r>
        <w:rPr>
          <w:rFonts w:ascii="Calibri" w:cs="Calibri" w:eastAsia="Calibri" w:hAnsi="Calibri"/>
          <w:b/>
          <w:bCs/>
          <w:color w:val="242424"/>
          <w:sz w:val="22"/>
          <w:szCs w:val="22"/>
        </w:rPr>
        <w:t xml:space="preserve">Negativo difícil. </w:t>
      </w:r>
      <w:r>
        <w:rPr>
          <w:rFonts w:ascii="Calibri" w:cs="Calibri" w:eastAsia="Calibri" w:hAnsi="Calibri"/>
          <w:color w:val="242424"/>
          <w:sz w:val="22"/>
          <w:szCs w:val="22"/>
        </w:rPr>
        <w:t xml:space="preserve">Ejemplo negativo que comparte características con los positivos, y que por eso enseña más que uno elegido al azar.</w:t>
      </w:r>
    </w:p>
    <w:p>
      <w:pPr>
        <w:pStyle w:val="ListParagraph"/>
        <w:numPr>
          <w:ilvl w:val="0"/>
          <w:numId w:val="4"/>
        </w:numPr>
        <w:spacing w:after="80" w:line="284"/>
        <w:jc w:val="both"/>
      </w:pPr>
      <w:r>
        <w:rPr>
          <w:rFonts w:ascii="Calibri" w:cs="Calibri" w:eastAsia="Calibri" w:hAnsi="Calibri"/>
          <w:b/>
          <w:bCs/>
          <w:color w:val="242424"/>
          <w:sz w:val="22"/>
          <w:szCs w:val="22"/>
        </w:rPr>
        <w:t xml:space="preserve">PU learning. </w:t>
      </w:r>
      <w:r>
        <w:rPr>
          <w:rFonts w:ascii="Calibri" w:cs="Calibri" w:eastAsia="Calibri" w:hAnsi="Calibri"/>
          <w:color w:val="242424"/>
          <w:sz w:val="22"/>
          <w:szCs w:val="22"/>
        </w:rPr>
        <w:t xml:space="preserve">Aprendizaje a partir de ejemplos positivos y de un conjunto no etiquetado, sin negativos confirmados.</w:t>
      </w:r>
    </w:p>
    <w:p>
      <w:pPr>
        <w:pStyle w:val="ListParagraph"/>
        <w:numPr>
          <w:ilvl w:val="0"/>
          <w:numId w:val="4"/>
        </w:numPr>
        <w:spacing w:after="80" w:line="284"/>
        <w:jc w:val="both"/>
      </w:pPr>
      <w:r>
        <w:rPr>
          <w:rFonts w:ascii="Calibri" w:cs="Calibri" w:eastAsia="Calibri" w:hAnsi="Calibri"/>
          <w:b/>
          <w:bCs/>
          <w:color w:val="242424"/>
          <w:sz w:val="22"/>
          <w:szCs w:val="22"/>
        </w:rPr>
        <w:t xml:space="preserve">Rango recíproco medio. </w:t>
      </w:r>
      <w:r>
        <w:rPr>
          <w:rFonts w:ascii="Calibri" w:cs="Calibri" w:eastAsia="Calibri" w:hAnsi="Calibri"/>
          <w:color w:val="242424"/>
          <w:sz w:val="22"/>
          <w:szCs w:val="22"/>
        </w:rPr>
        <w:t xml:space="preserve">Media del inverso de la posición del primer resultado relevante.</w:t>
      </w:r>
    </w:p>
    <w:p>
      <w:pPr>
        <w:pStyle w:val="ListParagraph"/>
        <w:numPr>
          <w:ilvl w:val="0"/>
          <w:numId w:val="4"/>
        </w:numPr>
        <w:spacing w:after="80" w:line="284"/>
        <w:jc w:val="both"/>
      </w:pPr>
      <w:r>
        <w:rPr>
          <w:rFonts w:ascii="Calibri" w:cs="Calibri" w:eastAsia="Calibri" w:hAnsi="Calibri"/>
          <w:b/>
          <w:bCs/>
          <w:color w:val="242424"/>
          <w:sz w:val="22"/>
          <w:szCs w:val="22"/>
        </w:rPr>
        <w:t xml:space="preserve">R-GCN. </w:t>
      </w:r>
      <w:r>
        <w:rPr>
          <w:rFonts w:ascii="Calibri" w:cs="Calibri" w:eastAsia="Calibri" w:hAnsi="Calibri"/>
          <w:color w:val="242424"/>
          <w:sz w:val="22"/>
          <w:szCs w:val="22"/>
        </w:rPr>
        <w:t xml:space="preserve">Red sobre grafos con parámetros propios por tipo de relación, apta para grafos heterogéneos.</w:t>
      </w:r>
    </w:p>
    <w:p>
      <w:pPr>
        <w:pStyle w:val="ListParagraph"/>
        <w:numPr>
          <w:ilvl w:val="0"/>
          <w:numId w:val="4"/>
        </w:numPr>
        <w:spacing w:after="80" w:line="284"/>
        <w:jc w:val="both"/>
      </w:pPr>
      <w:r>
        <w:rPr>
          <w:rFonts w:ascii="Calibri" w:cs="Calibri" w:eastAsia="Calibri" w:hAnsi="Calibri"/>
          <w:b/>
          <w:bCs/>
          <w:color w:val="242424"/>
          <w:sz w:val="22"/>
          <w:szCs w:val="22"/>
        </w:rPr>
        <w:t xml:space="preserve">Fusión de rango recíproco. </w:t>
      </w:r>
      <w:r>
        <w:rPr>
          <w:rFonts w:ascii="Calibri" w:cs="Calibri" w:eastAsia="Calibri" w:hAnsi="Calibri"/>
          <w:color w:val="242424"/>
          <w:sz w:val="22"/>
          <w:szCs w:val="22"/>
        </w:rPr>
        <w:t xml:space="preserve">Combinación de rankings de sistemas distintos sumando el inverso de la posición en cada uno, sin necesidad de calibrar escalas.</w:t>
      </w:r>
    </w:p>
    <w:p>
      <w:pPr>
        <w:pStyle w:val="ListParagraph"/>
        <w:numPr>
          <w:ilvl w:val="0"/>
          <w:numId w:val="4"/>
        </w:numPr>
        <w:spacing w:after="80" w:line="284"/>
        <w:jc w:val="both"/>
      </w:pPr>
      <w:r>
        <w:rPr>
          <w:rFonts w:ascii="Calibri" w:cs="Calibri" w:eastAsia="Calibri" w:hAnsi="Calibri"/>
          <w:b/>
          <w:bCs/>
          <w:color w:val="242424"/>
          <w:sz w:val="22"/>
          <w:szCs w:val="22"/>
        </w:rPr>
        <w:t xml:space="preserve">Subgrafo justificante. </w:t>
      </w:r>
      <w:r>
        <w:rPr>
          <w:rFonts w:ascii="Calibri" w:cs="Calibri" w:eastAsia="Calibri" w:hAnsi="Calibri"/>
          <w:color w:val="242424"/>
          <w:sz w:val="22"/>
          <w:szCs w:val="22"/>
        </w:rPr>
        <w:t xml:space="preserve">Conjunto mínimo de nodos y aristas cuya presencia explica una predicción.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88B5"/>
        <w:sz w:val="15"/>
        <w:szCs w:val="15"/>
      </w:rPr>
      <w:t xml:space="preserve"/>
    </w:r>
    <w:r>
      <w:rPr>
        <w:rFonts w:ascii="Calibri" w:cs="Calibri" w:eastAsia="Calibri" w:hAnsi="Calibri"/>
        <w:color w:val="6A88B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A88B5"/>
        <w:sz w:val="15"/>
        <w:szCs w:val="15"/>
      </w:rPr>
      <w:t xml:space="preserve">IALAB · UBA — Bóveda CIJ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445A84"/>
      </w:rPr>
    </w:lvl>
  </w:abstractNum>
  <w:abstractNum w:abstractNumId="3" w15:restartNumberingAfterBreak="0">
    <w:multiLevelType w:val="hybridMultilevel"/>
    <w:lvl w:ilvl="0" w15:tentative="1">
      <w:start w:val="1"/>
      <w:numFmt w:val="decimal"/>
      <w:lvlText w:val="%1."/>
      <w:lvlJc w:val="left"/>
      <w:pPr>
        <w:ind w:left="460" w:hanging="300"/>
      </w:pPr>
      <w:rPr>
        <w:b/>
        <w:bCs/>
        <w:color w:val="0B2545"/>
      </w:rPr>
    </w:lvl>
  </w:abstractNum>
  <w:abstractNum w:abstractNumId="4" w15:restartNumberingAfterBreak="0">
    <w:multiLevelType w:val="hybridMultilevel"/>
    <w:lvl w:ilvl="0" w15:tentative="1">
      <w:start w:val="1"/>
      <w:numFmt w:val="decimal"/>
      <w:lvlText w:val="%1."/>
      <w:lvlJc w:val="left"/>
      <w:pPr>
        <w:ind w:left="460" w:hanging="300"/>
      </w:pPr>
      <w:rPr>
        <w:b/>
        <w:bCs/>
        <w:color w:val="0B2545"/>
      </w:rPr>
    </w:lvl>
  </w:abstractNum>
  <w:abstractNum w:abstractNumId="5" w15:restartNumberingAfterBreak="0">
    <w:multiLevelType w:val="hybridMultilevel"/>
    <w:lvl w:ilvl="0" w15:tentative="1">
      <w:start w:val="1"/>
      <w:numFmt w:val="decimal"/>
      <w:lvlText w:val="%1."/>
      <w:lvlJc w:val="left"/>
      <w:pPr>
        <w:ind w:left="460" w:hanging="300"/>
      </w:pPr>
      <w:rPr>
        <w:b/>
        <w:bCs/>
        <w:color w:val="0B2545"/>
      </w:rPr>
    </w:lvl>
  </w:abstractNum>
  <w:abstractNum w:abstractNumId="6" w15:restartNumberingAfterBreak="0">
    <w:multiLevelType w:val="hybridMultilevel"/>
    <w:lvl w:ilvl="0" w15:tentative="1">
      <w:start w:val="1"/>
      <w:numFmt w:val="decimal"/>
      <w:lvlText w:val="%1."/>
      <w:lvlJc w:val="left"/>
      <w:pPr>
        <w:ind w:left="460" w:hanging="300"/>
      </w:pPr>
      <w:rPr>
        <w:b/>
        <w:bCs/>
        <w:color w:val="0B2545"/>
      </w:rPr>
    </w:lvl>
  </w:abstractNum>
  <w:abstractNum w:abstractNumId="7" w15:restartNumberingAfterBreak="0">
    <w:multiLevelType w:val="hybridMultilevel"/>
    <w:lvl w:ilvl="0" w15:tentative="1">
      <w:start w:val="1"/>
      <w:numFmt w:val="decimal"/>
      <w:lvlText w:val="%1."/>
      <w:lvlJc w:val="left"/>
      <w:pPr>
        <w:ind w:left="460" w:hanging="300"/>
      </w:pPr>
      <w:rPr>
        <w:b/>
        <w:bCs/>
        <w:color w:val="0B2545"/>
      </w:rPr>
    </w:lvl>
  </w:abstractNum>
  <w:abstractNum w:abstractNumId="8" w15:restartNumberingAfterBreak="0">
    <w:multiLevelType w:val="hybridMultilevel"/>
    <w:lvl w:ilvl="0" w15:tentative="1">
      <w:start w:val="1"/>
      <w:numFmt w:val="decimal"/>
      <w:lvlText w:val="%1."/>
      <w:lvlJc w:val="left"/>
      <w:pPr>
        <w:ind w:left="460" w:hanging="300"/>
      </w:pPr>
      <w:rPr>
        <w:b/>
        <w:bCs/>
        <w:color w:val="0B2545"/>
      </w:rPr>
    </w:lvl>
  </w:abstractNum>
  <w:abstractNum w:abstractNumId="9" w15:restartNumberingAfterBreak="0">
    <w:multiLevelType w:val="hybridMultilevel"/>
    <w:lvl w:ilvl="0" w15:tentative="1">
      <w:start w:val="1"/>
      <w:numFmt w:val="decimal"/>
      <w:lvlText w:val="%1."/>
      <w:lvlJc w:val="left"/>
      <w:pPr>
        <w:ind w:left="460" w:hanging="300"/>
      </w:pPr>
      <w:rPr>
        <w:b/>
        <w:bCs/>
        <w:color w:val="0B2545"/>
      </w:rPr>
    </w:lvl>
  </w:abstractNum>
  <w:abstractNum w:abstractNumId="10" w15:restartNumberingAfterBreak="0">
    <w:multiLevelType w:val="hybridMultilevel"/>
    <w:lvl w:ilvl="0" w15:tentative="1">
      <w:start w:val="1"/>
      <w:numFmt w:val="decimal"/>
      <w:lvlText w:val="%1."/>
      <w:lvlJc w:val="left"/>
      <w:pPr>
        <w:ind w:left="460" w:hanging="300"/>
      </w:pPr>
      <w:rPr>
        <w:b/>
        <w:bCs/>
        <w:color w:val="0B2545"/>
      </w:rPr>
    </w:lvl>
  </w:abstractNum>
  <w:abstractNum w:abstractNumId="11" w15:restartNumberingAfterBreak="0">
    <w:multiLevelType w:val="hybridMultilevel"/>
    <w:lvl w:ilvl="0" w15:tentative="1">
      <w:start w:val="1"/>
      <w:numFmt w:val="decimal"/>
      <w:lvlText w:val="%1."/>
      <w:lvlJc w:val="left"/>
      <w:pPr>
        <w:ind w:left="460" w:hanging="300"/>
      </w:pPr>
      <w:rPr>
        <w:b/>
        <w:bCs/>
        <w:color w:val="0B2545"/>
      </w:rPr>
    </w:lvl>
  </w:abstractNum>
  <w:abstractNum w:abstractNumId="12" w15:restartNumberingAfterBreak="0">
    <w:multiLevelType w:val="hybridMultilevel"/>
    <w:lvl w:ilvl="0" w15:tentative="1">
      <w:start w:val="1"/>
      <w:numFmt w:val="decimal"/>
      <w:lvlText w:val="%1."/>
      <w:lvlJc w:val="left"/>
      <w:pPr>
        <w:ind w:left="460" w:hanging="300"/>
      </w:pPr>
      <w:rPr>
        <w:b/>
        <w:bCs/>
        <w:color w:val="0B2545"/>
      </w:rPr>
    </w:lvl>
  </w:abstractNum>
  <w:abstractNum w:abstractNumId="13" w15:restartNumberingAfterBreak="0">
    <w:multiLevelType w:val="hybridMultilevel"/>
    <w:lvl w:ilvl="0" w15:tentative="1">
      <w:start w:val="1"/>
      <w:numFmt w:val="decimal"/>
      <w:lvlText w:val="%1."/>
      <w:lvlJc w:val="left"/>
      <w:pPr>
        <w:ind w:left="460" w:hanging="300"/>
      </w:pPr>
      <w:rPr>
        <w:b/>
        <w:bCs/>
        <w:color w:val="0B2545"/>
      </w:rPr>
    </w:lvl>
  </w:abstractNum>
  <w:abstractNum w:abstractNumId="14" w15:restartNumberingAfterBreak="0">
    <w:multiLevelType w:val="hybridMultilevel"/>
    <w:lvl w:ilvl="0" w15:tentative="1">
      <w:start w:val="1"/>
      <w:numFmt w:val="decimal"/>
      <w:lvlText w:val="%1."/>
      <w:lvlJc w:val="left"/>
      <w:pPr>
        <w:ind w:left="460" w:hanging="300"/>
      </w:pPr>
      <w:rPr>
        <w:b/>
        <w:bCs/>
        <w:color w:val="0B2545"/>
      </w:rPr>
    </w:lvl>
  </w:abstractNum>
  <w:abstractNum w:abstractNumId="15" w15:restartNumberingAfterBreak="0">
    <w:multiLevelType w:val="hybridMultilevel"/>
    <w:lvl w:ilvl="0" w15:tentative="1">
      <w:start w:val="1"/>
      <w:numFmt w:val="decimal"/>
      <w:lvlText w:val="%1."/>
      <w:lvlJc w:val="left"/>
      <w:pPr>
        <w:ind w:left="460" w:hanging="300"/>
      </w:pPr>
      <w:rPr>
        <w:b/>
        <w:bCs/>
        <w:color w:val="0B2545"/>
      </w:rPr>
    </w:lvl>
  </w:abstractNum>
  <w:abstractNum w:abstractNumId="16" w15:restartNumberingAfterBreak="0">
    <w:multiLevelType w:val="hybridMultilevel"/>
    <w:lvl w:ilvl="0" w15:tentative="1">
      <w:start w:val="1"/>
      <w:numFmt w:val="decimal"/>
      <w:lvlText w:val="%1."/>
      <w:lvlJc w:val="left"/>
      <w:pPr>
        <w:ind w:left="460" w:hanging="300"/>
      </w:pPr>
      <w:rPr>
        <w:b/>
        <w:bCs/>
        <w:color w:val="0B2545"/>
      </w:rPr>
    </w:lvl>
  </w:abstractNum>
  <w:abstractNum w:abstractNumId="17" w15:restartNumberingAfterBreak="0">
    <w:multiLevelType w:val="hybridMultilevel"/>
    <w:lvl w:ilvl="0" w15:tentative="1">
      <w:start w:val="1"/>
      <w:numFmt w:val="decimal"/>
      <w:lvlText w:val="%1."/>
      <w:lvlJc w:val="left"/>
      <w:pPr>
        <w:ind w:left="460" w:hanging="300"/>
      </w:pPr>
      <w:rPr>
        <w:b/>
        <w:bCs/>
        <w:color w:val="0B2545"/>
      </w:rPr>
    </w:lvl>
  </w:abstractNum>
  <w:abstractNum w:abstractNumId="18" w15:restartNumberingAfterBreak="0">
    <w:multiLevelType w:val="hybridMultilevel"/>
    <w:lvl w:ilvl="0" w15:tentative="1">
      <w:start w:val="1"/>
      <w:numFmt w:val="decimal"/>
      <w:lvlText w:val="%1."/>
      <w:lvlJc w:val="left"/>
      <w:pPr>
        <w:ind w:left="460" w:hanging="300"/>
      </w:pPr>
      <w:rPr>
        <w:b/>
        <w:bCs/>
        <w:color w:val="0B2545"/>
      </w:rPr>
    </w:lvl>
  </w:abstractNum>
  <w:abstractNum w:abstractNumId="19" w15:restartNumberingAfterBreak="0">
    <w:multiLevelType w:val="hybridMultilevel"/>
    <w:lvl w:ilvl="0" w15:tentative="1">
      <w:start w:val="1"/>
      <w:numFmt w:val="decimal"/>
      <w:lvlText w:val="%1."/>
      <w:lvlJc w:val="left"/>
      <w:pPr>
        <w:ind w:left="460" w:hanging="300"/>
      </w:pPr>
      <w:rPr>
        <w:b/>
        <w:bCs/>
        <w:color w:val="0B2545"/>
      </w:rPr>
    </w:lvl>
  </w:abstractNum>
  <w:abstractNum w:abstractNumId="20" w15:restartNumberingAfterBreak="0">
    <w:multiLevelType w:val="hybridMultilevel"/>
    <w:lvl w:ilvl="0" w15:tentative="1">
      <w:start w:val="1"/>
      <w:numFmt w:val="decimal"/>
      <w:lvlText w:val="%1."/>
      <w:lvlJc w:val="left"/>
      <w:pPr>
        <w:ind w:left="460" w:hanging="300"/>
      </w:pPr>
      <w:rPr>
        <w:b/>
        <w:bCs/>
        <w:color w:val="0B2545"/>
      </w:rPr>
    </w:lvl>
  </w:abstractNum>
  <w:abstractNum w:abstractNumId="21" w15:restartNumberingAfterBreak="0">
    <w:multiLevelType w:val="hybridMultilevel"/>
    <w:lvl w:ilvl="0" w15:tentative="1">
      <w:start w:val="1"/>
      <w:numFmt w:val="decimal"/>
      <w:lvlText w:val="%1."/>
      <w:lvlJc w:val="left"/>
      <w:pPr>
        <w:ind w:left="460" w:hanging="300"/>
      </w:pPr>
      <w:rPr>
        <w:b/>
        <w:bCs/>
        <w:color w:val="0B2545"/>
      </w:rPr>
    </w:lvl>
  </w:abstractNum>
  <w:abstractNum w:abstractNumId="22" w15:restartNumberingAfterBreak="0">
    <w:multiLevelType w:val="hybridMultilevel"/>
    <w:lvl w:ilvl="0" w15:tentative="1">
      <w:start w:val="1"/>
      <w:numFmt w:val="decimal"/>
      <w:lvlText w:val="%1."/>
      <w:lvlJc w:val="left"/>
      <w:pPr>
        <w:ind w:left="460" w:hanging="300"/>
      </w:pPr>
      <w:rPr>
        <w:b/>
        <w:bCs/>
        <w:color w:val="0B2545"/>
      </w:rPr>
    </w:lvl>
  </w:abstractNum>
  <w:abstractNum w:abstractNumId="23" w15:restartNumberingAfterBreak="0">
    <w:multiLevelType w:val="hybridMultilevel"/>
    <w:lvl w:ilvl="0" w15:tentative="1">
      <w:start w:val="1"/>
      <w:numFmt w:val="decimal"/>
      <w:lvlText w:val="%1."/>
      <w:lvlJc w:val="left"/>
      <w:pPr>
        <w:ind w:left="460" w:hanging="300"/>
      </w:pPr>
      <w:rPr>
        <w:b/>
        <w:bCs/>
        <w:color w:val="0B2545"/>
      </w:rPr>
    </w:lvl>
  </w:abstractNum>
  <w:abstractNum w:abstractNumId="24" w15:restartNumberingAfterBreak="0">
    <w:multiLevelType w:val="hybridMultilevel"/>
    <w:lvl w:ilvl="0" w15:tentative="1">
      <w:start w:val="1"/>
      <w:numFmt w:val="decimal"/>
      <w:lvlText w:val="%1."/>
      <w:lvlJc w:val="left"/>
      <w:pPr>
        <w:ind w:left="460" w:hanging="300"/>
      </w:pPr>
      <w:rPr>
        <w:b/>
        <w:bCs/>
        <w:color w:val="0B2545"/>
      </w:rPr>
    </w:lvl>
  </w:abstractNum>
  <w:abstractNum w:abstractNumId="25" w15:restartNumberingAfterBreak="0">
    <w:multiLevelType w:val="hybridMultilevel"/>
    <w:lvl w:ilvl="0" w15:tentative="1">
      <w:start w:val="1"/>
      <w:numFmt w:val="decimal"/>
      <w:lvlText w:val="%1."/>
      <w:lvlJc w:val="left"/>
      <w:pPr>
        <w:ind w:left="460" w:hanging="300"/>
      </w:pPr>
      <w:rPr>
        <w:b/>
        <w:bCs/>
        <w:color w:val="0B2545"/>
      </w:rPr>
    </w:lvl>
  </w:abstractNum>
  <w:abstractNum w:abstractNumId="26" w15:restartNumberingAfterBreak="0">
    <w:multiLevelType w:val="hybridMultilevel"/>
    <w:lvl w:ilvl="0" w15:tentative="1">
      <w:start w:val="1"/>
      <w:numFmt w:val="decimal"/>
      <w:lvlText w:val="%1."/>
      <w:lvlJc w:val="left"/>
      <w:pPr>
        <w:ind w:left="460" w:hanging="300"/>
      </w:pPr>
      <w:rPr>
        <w:b/>
        <w:bCs/>
        <w:color w:val="0B2545"/>
      </w:rPr>
    </w:lvl>
  </w:abstractNum>
  <w:abstractNum w:abstractNumId="27" w15:restartNumberingAfterBreak="0">
    <w:multiLevelType w:val="hybridMultilevel"/>
    <w:lvl w:ilvl="0" w15:tentative="1">
      <w:start w:val="1"/>
      <w:numFmt w:val="decimal"/>
      <w:lvlText w:val="%1."/>
      <w:lvlJc w:val="left"/>
      <w:pPr>
        <w:ind w:left="460" w:hanging="300"/>
      </w:pPr>
      <w:rPr>
        <w:b/>
        <w:bCs/>
        <w:color w:val="0B2545"/>
      </w:rPr>
    </w:lvl>
  </w:abstractNum>
  <w:abstractNum w:abstractNumId="28" w15:restartNumberingAfterBreak="0">
    <w:multiLevelType w:val="hybridMultilevel"/>
    <w:lvl w:ilvl="0" w15:tentative="1">
      <w:start w:val="1"/>
      <w:numFmt w:val="decimal"/>
      <w:lvlText w:val="%1."/>
      <w:lvlJc w:val="left"/>
      <w:pPr>
        <w:ind w:left="460" w:hanging="300"/>
      </w:pPr>
      <w:rPr>
        <w:b/>
        <w:bCs/>
        <w:color w:val="0B2545"/>
      </w:rPr>
    </w:lvl>
  </w:abstractNum>
  <w:abstractNum w:abstractNumId="29" w15:restartNumberingAfterBreak="0">
    <w:multiLevelType w:val="hybridMultilevel"/>
    <w:lvl w:ilvl="0" w15:tentative="1">
      <w:start w:val="1"/>
      <w:numFmt w:val="decimal"/>
      <w:lvlText w:val="%1."/>
      <w:lvlJc w:val="left"/>
      <w:pPr>
        <w:ind w:left="460" w:hanging="300"/>
      </w:pPr>
      <w:rPr>
        <w:b/>
        <w:bCs/>
        <w:color w:val="0B2545"/>
      </w:rPr>
    </w:lvl>
  </w:abstractNum>
  <w:abstractNum w:abstractNumId="30" w15:restartNumberingAfterBreak="0">
    <w:multiLevelType w:val="hybridMultilevel"/>
    <w:lvl w:ilvl="0" w15:tentative="1">
      <w:start w:val="1"/>
      <w:numFmt w:val="decimal"/>
      <w:lvlText w:val="%1."/>
      <w:lvlJc w:val="left"/>
      <w:pPr>
        <w:ind w:left="460" w:hanging="300"/>
      </w:pPr>
      <w:rPr>
        <w:b/>
        <w:bCs/>
        <w:color w:val="0B2545"/>
      </w:rPr>
    </w:lvl>
  </w:abstractNum>
  <w:abstractNum w:abstractNumId="31" w15:restartNumberingAfterBreak="0">
    <w:multiLevelType w:val="hybridMultilevel"/>
    <w:lvl w:ilvl="0" w15:tentative="1">
      <w:start w:val="1"/>
      <w:numFmt w:val="decimal"/>
      <w:lvlText w:val="%1."/>
      <w:lvlJc w:val="left"/>
      <w:pPr>
        <w:ind w:left="460" w:hanging="300"/>
      </w:pPr>
      <w:rPr>
        <w:b/>
        <w:bCs/>
        <w:color w:val="0B2545"/>
      </w:rPr>
    </w:lvl>
  </w:abstractNum>
  <w:abstractNum w:abstractNumId="32" w15:restartNumberingAfterBreak="0">
    <w:multiLevelType w:val="hybridMultilevel"/>
    <w:lvl w:ilvl="0" w15:tentative="1">
      <w:start w:val="1"/>
      <w:numFmt w:val="decimal"/>
      <w:lvlText w:val="%1."/>
      <w:lvlJc w:val="left"/>
      <w:pPr>
        <w:ind w:left="460" w:hanging="300"/>
      </w:pPr>
      <w:rPr>
        <w:b/>
        <w:bCs/>
        <w:color w:val="0B2545"/>
      </w:rPr>
    </w:lvl>
  </w:abstractNum>
  <w:abstractNum w:abstractNumId="33" w15:restartNumberingAfterBreak="0">
    <w:multiLevelType w:val="hybridMultilevel"/>
    <w:lvl w:ilvl="0" w15:tentative="1">
      <w:start w:val="1"/>
      <w:numFmt w:val="decimal"/>
      <w:lvlText w:val="%1."/>
      <w:lvlJc w:val="left"/>
      <w:pPr>
        <w:ind w:left="460" w:hanging="300"/>
      </w:pPr>
      <w:rPr>
        <w:b/>
        <w:bCs/>
        <w:color w:val="0B2545"/>
      </w:rPr>
    </w:lvl>
  </w:abstractNum>
  <w:abstractNum w:abstractNumId="34" w15:restartNumberingAfterBreak="0">
    <w:multiLevelType w:val="hybridMultilevel"/>
    <w:lvl w:ilvl="0" w15:tentative="1">
      <w:start w:val="1"/>
      <w:numFmt w:val="decimal"/>
      <w:lvlText w:val="%1."/>
      <w:lvlJc w:val="left"/>
      <w:pPr>
        <w:ind w:left="460" w:hanging="300"/>
      </w:pPr>
      <w:rPr>
        <w:b/>
        <w:bCs/>
        <w:color w:val="0B2545"/>
      </w:rPr>
    </w:lvl>
  </w:abstractNum>
  <w:abstractNum w:abstractNumId="35" w15:restartNumberingAfterBreak="0">
    <w:multiLevelType w:val="hybridMultilevel"/>
    <w:lvl w:ilvl="0" w15:tentative="1">
      <w:start w:val="1"/>
      <w:numFmt w:val="decimal"/>
      <w:lvlText w:val="%1."/>
      <w:lvlJc w:val="left"/>
      <w:pPr>
        <w:ind w:left="460" w:hanging="300"/>
      </w:pPr>
      <w:rPr>
        <w:b/>
        <w:bCs/>
        <w:color w:val="0B2545"/>
      </w:rPr>
    </w:lvl>
  </w:abstractNum>
  <w:abstractNum w:abstractNumId="36" w15:restartNumberingAfterBreak="0">
    <w:multiLevelType w:val="hybridMultilevel"/>
    <w:lvl w:ilvl="0" w15:tentative="1">
      <w:start w:val="1"/>
      <w:numFmt w:val="decimal"/>
      <w:lvlText w:val="%1."/>
      <w:lvlJc w:val="left"/>
      <w:pPr>
        <w:ind w:left="460" w:hanging="300"/>
      </w:pPr>
      <w:rPr>
        <w:b/>
        <w:bCs/>
        <w:color w:val="0B2545"/>
      </w:rPr>
    </w:lvl>
  </w:abstractNum>
  <w:abstractNum w:abstractNumId="37" w15:restartNumberingAfterBreak="0">
    <w:multiLevelType w:val="hybridMultilevel"/>
    <w:lvl w:ilvl="0" w15:tentative="1">
      <w:start w:val="1"/>
      <w:numFmt w:val="decimal"/>
      <w:lvlText w:val="%1."/>
      <w:lvlJc w:val="left"/>
      <w:pPr>
        <w:ind w:left="460" w:hanging="300"/>
      </w:pPr>
      <w:rPr>
        <w:b/>
        <w:bCs/>
        <w:color w:val="0B2545"/>
      </w:rPr>
    </w:lvl>
  </w:abstractNum>
  <w:abstractNum w:abstractNumId="38" w15:restartNumberingAfterBreak="0">
    <w:multiLevelType w:val="hybridMultilevel"/>
    <w:lvl w:ilvl="0" w15:tentative="1">
      <w:start w:val="1"/>
      <w:numFmt w:val="decimal"/>
      <w:lvlText w:val="%1."/>
      <w:lvlJc w:val="left"/>
      <w:pPr>
        <w:ind w:left="460" w:hanging="300"/>
      </w:pPr>
      <w:rPr>
        <w:b/>
        <w:bCs/>
        <w:color w:val="0B2545"/>
      </w:rPr>
    </w:lvl>
  </w:abstractNum>
  <w:abstractNum w:abstractNumId="39" w15:restartNumberingAfterBreak="0">
    <w:multiLevelType w:val="hybridMultilevel"/>
    <w:lvl w:ilvl="0" w15:tentative="1">
      <w:start w:val="1"/>
      <w:numFmt w:val="decimal"/>
      <w:lvlText w:val="%1."/>
      <w:lvlJc w:val="left"/>
      <w:pPr>
        <w:ind w:left="460" w:hanging="300"/>
      </w:pPr>
      <w:rPr>
        <w:b/>
        <w:bCs/>
        <w:color w:val="0B2545"/>
      </w:rPr>
    </w:lvl>
  </w:abstractNum>
  <w:abstractNum w:abstractNumId="40" w15:restartNumberingAfterBreak="0">
    <w:multiLevelType w:val="hybridMultilevel"/>
    <w:lvl w:ilvl="0" w15:tentative="1">
      <w:start w:val="1"/>
      <w:numFmt w:val="decimal"/>
      <w:lvlText w:val="%1."/>
      <w:lvlJc w:val="left"/>
      <w:pPr>
        <w:ind w:left="460" w:hanging="300"/>
      </w:pPr>
      <w:rPr>
        <w:b/>
        <w:bCs/>
        <w:color w:val="0B2545"/>
      </w:rPr>
    </w:lvl>
  </w:abstractNum>
  <w:abstractNum w:abstractNumId="41" w15:restartNumberingAfterBreak="0">
    <w:multiLevelType w:val="hybridMultilevel"/>
    <w:lvl w:ilvl="0" w15:tentative="1">
      <w:start w:val="1"/>
      <w:numFmt w:val="decimal"/>
      <w:lvlText w:val="%1."/>
      <w:lvlJc w:val="left"/>
      <w:pPr>
        <w:ind w:left="460" w:hanging="300"/>
      </w:pPr>
      <w:rPr>
        <w:b/>
        <w:bCs/>
        <w:color w:val="0B2545"/>
      </w:rPr>
    </w:lvl>
  </w:abstractNum>
  <w:abstractNum w:abstractNumId="42" w15:restartNumberingAfterBreak="0">
    <w:multiLevelType w:val="hybridMultilevel"/>
    <w:lvl w:ilvl="0" w15:tentative="1">
      <w:start w:val="1"/>
      <w:numFmt w:val="decimal"/>
      <w:lvlText w:val="%1."/>
      <w:lvlJc w:val="left"/>
      <w:pPr>
        <w:ind w:left="460" w:hanging="300"/>
      </w:pPr>
      <w:rPr>
        <w:b/>
        <w:bCs/>
        <w:color w:val="0B2545"/>
      </w:rPr>
    </w:lvl>
  </w:abstractNum>
  <w:abstractNum w:abstractNumId="43" w15:restartNumberingAfterBreak="0">
    <w:multiLevelType w:val="hybridMultilevel"/>
    <w:lvl w:ilvl="0" w15:tentative="1">
      <w:start w:val="1"/>
      <w:numFmt w:val="decimal"/>
      <w:lvlText w:val="%1."/>
      <w:lvlJc w:val="left"/>
      <w:pPr>
        <w:ind w:left="460" w:hanging="300"/>
      </w:pPr>
      <w:rPr>
        <w:b/>
        <w:bCs/>
        <w:color w:val="0B2545"/>
      </w:rPr>
    </w:lvl>
  </w:abstractNum>
  <w:abstractNum w:abstractNumId="44" w15:restartNumberingAfterBreak="0">
    <w:multiLevelType w:val="hybridMultilevel"/>
    <w:lvl w:ilvl="0" w15:tentative="1">
      <w:start w:val="1"/>
      <w:numFmt w:val="decimal"/>
      <w:lvlText w:val="%1."/>
      <w:lvlJc w:val="left"/>
      <w:pPr>
        <w:ind w:left="460" w:hanging="300"/>
      </w:pPr>
      <w:rPr>
        <w:b/>
        <w:bCs/>
        <w:color w:val="0B2545"/>
      </w:rPr>
    </w:lvl>
  </w:abstractNum>
  <w:abstractNum w:abstractNumId="45" w15:restartNumberingAfterBreak="0">
    <w:multiLevelType w:val="hybridMultilevel"/>
    <w:lvl w:ilvl="0" w15:tentative="1">
      <w:start w:val="1"/>
      <w:numFmt w:val="decimal"/>
      <w:lvlText w:val="%1."/>
      <w:lvlJc w:val="left"/>
      <w:pPr>
        <w:ind w:left="460" w:hanging="300"/>
      </w:pPr>
      <w:rPr>
        <w:b/>
        <w:bCs/>
        <w:color w:val="0B2545"/>
      </w:rPr>
    </w:lvl>
  </w:abstractNum>
  <w:abstractNum w:abstractNumId="46" w15:restartNumberingAfterBreak="0">
    <w:multiLevelType w:val="hybridMultilevel"/>
    <w:lvl w:ilvl="0" w15:tentative="1">
      <w:start w:val="1"/>
      <w:numFmt w:val="decimal"/>
      <w:lvlText w:val="%1."/>
      <w:lvlJc w:val="left"/>
      <w:pPr>
        <w:ind w:left="460" w:hanging="300"/>
      </w:pPr>
      <w:rPr>
        <w:b/>
        <w:bCs/>
        <w:color w:val="0B2545"/>
      </w:rPr>
    </w:lvl>
  </w:abstractNum>
  <w:abstractNum w:abstractNumId="47" w15:restartNumberingAfterBreak="0">
    <w:multiLevelType w:val="hybridMultilevel"/>
    <w:lvl w:ilvl="0" w15:tentative="1">
      <w:start w:val="1"/>
      <w:numFmt w:val="decimal"/>
      <w:lvlText w:val="%1."/>
      <w:lvlJc w:val="left"/>
      <w:pPr>
        <w:ind w:left="460" w:hanging="300"/>
      </w:pPr>
      <w:rPr>
        <w:b/>
        <w:bCs/>
        <w:color w:val="0B2545"/>
      </w:rPr>
    </w:lvl>
  </w:abstractNum>
  <w:abstractNum w:abstractNumId="48" w15:restartNumberingAfterBreak="0">
    <w:multiLevelType w:val="hybridMultilevel"/>
    <w:lvl w:ilvl="0" w15:tentative="1">
      <w:start w:val="1"/>
      <w:numFmt w:val="decimal"/>
      <w:lvlText w:val="%1."/>
      <w:lvlJc w:val="left"/>
      <w:pPr>
        <w:ind w:left="460" w:hanging="300"/>
      </w:pPr>
      <w:rPr>
        <w:b/>
        <w:bCs/>
        <w:color w:val="0B2545"/>
      </w:rPr>
    </w:lvl>
  </w:abstractNum>
  <w:abstractNum w:abstractNumId="49" w15:restartNumberingAfterBreak="0">
    <w:multiLevelType w:val="hybridMultilevel"/>
    <w:lvl w:ilvl="0" w15:tentative="1">
      <w:start w:val="1"/>
      <w:numFmt w:val="decimal"/>
      <w:lvlText w:val="%1."/>
      <w:lvlJc w:val="left"/>
      <w:pPr>
        <w:ind w:left="460" w:hanging="300"/>
      </w:pPr>
      <w:rPr>
        <w:b/>
        <w:bCs/>
        <w:color w:val="0B2545"/>
      </w:rPr>
    </w:lvl>
  </w:abstractNum>
  <w:abstractNum w:abstractNumId="50" w15:restartNumberingAfterBreak="0">
    <w:multiLevelType w:val="hybridMultilevel"/>
    <w:lvl w:ilvl="0" w15:tentative="1">
      <w:start w:val="1"/>
      <w:numFmt w:val="decimal"/>
      <w:lvlText w:val="%1."/>
      <w:lvlJc w:val="left"/>
      <w:pPr>
        <w:ind w:left="460" w:hanging="300"/>
      </w:pPr>
      <w:rPr>
        <w:b/>
        <w:bCs/>
        <w:color w:val="0B2545"/>
      </w:rPr>
    </w:lvl>
  </w:abstractNum>
  <w:abstractNum w:abstractNumId="51" w15:restartNumberingAfterBreak="0">
    <w:multiLevelType w:val="hybridMultilevel"/>
    <w:lvl w:ilvl="0" w15:tentative="1">
      <w:start w:val="1"/>
      <w:numFmt w:val="decimal"/>
      <w:lvlText w:val="%1."/>
      <w:lvlJc w:val="left"/>
      <w:pPr>
        <w:ind w:left="460" w:hanging="300"/>
      </w:pPr>
      <w:rPr>
        <w:b/>
        <w:bCs/>
        <w:color w:val="0B2545"/>
      </w:rPr>
    </w:lvl>
  </w:abstractNum>
  <w:abstractNum w:abstractNumId="52" w15:restartNumberingAfterBreak="0">
    <w:multiLevelType w:val="hybridMultilevel"/>
    <w:lvl w:ilvl="0" w15:tentative="1">
      <w:start w:val="1"/>
      <w:numFmt w:val="decimal"/>
      <w:lvlText w:val="%1."/>
      <w:lvlJc w:val="left"/>
      <w:pPr>
        <w:ind w:left="460" w:hanging="300"/>
      </w:pPr>
      <w:rPr>
        <w:b/>
        <w:bCs/>
        <w:color w:val="0B2545"/>
      </w:rPr>
    </w:lvl>
  </w:abstractNum>
  <w:abstractNum w:abstractNumId="53" w15:restartNumberingAfterBreak="0">
    <w:multiLevelType w:val="hybridMultilevel"/>
    <w:lvl w:ilvl="0" w15:tentative="1">
      <w:start w:val="1"/>
      <w:numFmt w:val="decimal"/>
      <w:lvlText w:val="%1."/>
      <w:lvlJc w:val="left"/>
      <w:pPr>
        <w:ind w:left="460" w:hanging="300"/>
      </w:pPr>
      <w:rPr>
        <w:b/>
        <w:bCs/>
        <w:color w:val="0B2545"/>
      </w:rPr>
    </w:lvl>
  </w:abstractNum>
  <w:abstractNum w:abstractNumId="54" w15:restartNumberingAfterBreak="0">
    <w:multiLevelType w:val="hybridMultilevel"/>
    <w:lvl w:ilvl="0" w15:tentative="1">
      <w:start w:val="1"/>
      <w:numFmt w:val="decimal"/>
      <w:lvlText w:val="%1."/>
      <w:lvlJc w:val="left"/>
      <w:pPr>
        <w:ind w:left="460" w:hanging="300"/>
      </w:pPr>
      <w:rPr>
        <w:b/>
        <w:bCs/>
        <w:color w:val="0B2545"/>
      </w:rPr>
    </w:lvl>
  </w:abstractNum>
  <w:abstractNum w:abstractNumId="55" w15:restartNumberingAfterBreak="0">
    <w:multiLevelType w:val="hybridMultilevel"/>
    <w:lvl w:ilvl="0" w15:tentative="1">
      <w:start w:val="1"/>
      <w:numFmt w:val="decimal"/>
      <w:lvlText w:val="%1."/>
      <w:lvlJc w:val="left"/>
      <w:pPr>
        <w:ind w:left="460" w:hanging="300"/>
      </w:pPr>
      <w:rPr>
        <w:b/>
        <w:bCs/>
        <w:color w:val="0B2545"/>
      </w:rPr>
    </w:lvl>
  </w:abstractNum>
  <w:abstractNum w:abstractNumId="56" w15:restartNumberingAfterBreak="0">
    <w:multiLevelType w:val="hybridMultilevel"/>
    <w:lvl w:ilvl="0" w15:tentative="1">
      <w:start w:val="1"/>
      <w:numFmt w:val="decimal"/>
      <w:lvlText w:val="%1."/>
      <w:lvlJc w:val="left"/>
      <w:pPr>
        <w:ind w:left="460" w:hanging="300"/>
      </w:pPr>
      <w:rPr>
        <w:b/>
        <w:bCs/>
        <w:color w:val="0B2545"/>
      </w:rPr>
    </w:lvl>
  </w:abstractNum>
  <w:abstractNum w:abstractNumId="57" w15:restartNumberingAfterBreak="0">
    <w:multiLevelType w:val="hybridMultilevel"/>
    <w:lvl w:ilvl="0" w15:tentative="1">
      <w:start w:val="1"/>
      <w:numFmt w:val="decimal"/>
      <w:lvlText w:val="%1."/>
      <w:lvlJc w:val="left"/>
      <w:pPr>
        <w:ind w:left="460" w:hanging="300"/>
      </w:pPr>
      <w:rPr>
        <w:b/>
        <w:bCs/>
        <w:color w:val="0B2545"/>
      </w:rPr>
    </w:lvl>
  </w:abstractNum>
  <w:abstractNum w:abstractNumId="58" w15:restartNumberingAfterBreak="0">
    <w:multiLevelType w:val="hybridMultilevel"/>
    <w:lvl w:ilvl="0" w15:tentative="1">
      <w:start w:val="1"/>
      <w:numFmt w:val="decimal"/>
      <w:lvlText w:val="%1."/>
      <w:lvlJc w:val="left"/>
      <w:pPr>
        <w:ind w:left="460" w:hanging="300"/>
      </w:pPr>
      <w:rPr>
        <w:b/>
        <w:bCs/>
        <w:color w:val="0B2545"/>
      </w:rPr>
    </w:lvl>
  </w:abstractNum>
  <w:abstractNum w:abstractNumId="59" w15:restartNumberingAfterBreak="0">
    <w:multiLevelType w:val="hybridMultilevel"/>
    <w:lvl w:ilvl="0" w15:tentative="1">
      <w:start w:val="1"/>
      <w:numFmt w:val="decimal"/>
      <w:lvlText w:val="%1."/>
      <w:lvlJc w:val="left"/>
      <w:pPr>
        <w:ind w:left="460" w:hanging="300"/>
      </w:pPr>
      <w:rPr>
        <w:b/>
        <w:bCs/>
        <w:color w:val="0B2545"/>
      </w:rPr>
    </w:lvl>
  </w:abstractNum>
  <w:abstractNum w:abstractNumId="60" w15:restartNumberingAfterBreak="0">
    <w:multiLevelType w:val="hybridMultilevel"/>
    <w:lvl w:ilvl="0" w15:tentative="1">
      <w:start w:val="1"/>
      <w:numFmt w:val="decimal"/>
      <w:lvlText w:val="%1."/>
      <w:lvlJc w:val="left"/>
      <w:pPr>
        <w:ind w:left="460" w:hanging="300"/>
      </w:pPr>
      <w:rPr>
        <w:b/>
        <w:bCs/>
        <w:color w:val="0B2545"/>
      </w:rPr>
    </w:lvl>
  </w:abstractNum>
  <w:abstractNum w:abstractNumId="61" w15:restartNumberingAfterBreak="0">
    <w:multiLevelType w:val="hybridMultilevel"/>
    <w:lvl w:ilvl="0" w15:tentative="1">
      <w:start w:val="1"/>
      <w:numFmt w:val="decimal"/>
      <w:lvlText w:val="%1."/>
      <w:lvlJc w:val="left"/>
      <w:pPr>
        <w:ind w:left="460" w:hanging="300"/>
      </w:pPr>
      <w:rPr>
        <w:b/>
        <w:bCs/>
        <w:color w:val="0B2545"/>
      </w:rPr>
    </w:lvl>
  </w:abstractNum>
  <w:abstractNum w:abstractNumId="62" w15:restartNumberingAfterBreak="0">
    <w:multiLevelType w:val="hybridMultilevel"/>
    <w:lvl w:ilvl="0" w15:tentative="1">
      <w:start w:val="1"/>
      <w:numFmt w:val="decimal"/>
      <w:lvlText w:val="%1."/>
      <w:lvlJc w:val="left"/>
      <w:pPr>
        <w:ind w:left="460" w:hanging="300"/>
      </w:pPr>
      <w:rPr>
        <w:b/>
        <w:bCs/>
        <w:color w:val="0B2545"/>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74295ecd85d0ffd3364901d2ccbd890371cb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IALAB</dc:title>
  <dc:creator>IALAB</dc:creator>
  <cp:lastModifiedBy>Un-named</cp:lastModifiedBy>
  <cp:revision>1</cp:revision>
  <dcterms:created xsi:type="dcterms:W3CDTF">2026-08-31T21:48:42.114Z</dcterms:created>
  <dcterms:modified xsi:type="dcterms:W3CDTF">2026-08-31T21:48:42.125Z</dcterms:modified>
</cp:coreProperties>
</file>

<file path=docProps/custom.xml><?xml version="1.0" encoding="utf-8"?>
<Properties xmlns="http://schemas.openxmlformats.org/officeDocument/2006/custom-properties" xmlns:vt="http://schemas.openxmlformats.org/officeDocument/2006/docPropsVTypes"/>
</file>