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2516" w14:textId="3F1DBD2A" w:rsidR="00D57D61" w:rsidRDefault="00D57D61" w:rsidP="00B71551">
      <w:pPr>
        <w:rPr>
          <w:b/>
          <w:bCs/>
        </w:rPr>
      </w:pPr>
      <w:r>
        <w:rPr>
          <w:b/>
          <w:bCs/>
        </w:rPr>
        <w:t xml:space="preserve">Hydrogen Consumers: </w:t>
      </w:r>
      <w:r w:rsidRPr="00D57D61">
        <w:rPr>
          <w:b/>
          <w:bCs/>
        </w:rPr>
        <w:t>Metallurgical Chemical Industry and Resource Processing (MC19), and Pharmaceutical Manufacturing (PM19)</w:t>
      </w:r>
    </w:p>
    <w:p w14:paraId="1F82D870" w14:textId="312A4761" w:rsidR="00B71551" w:rsidRPr="00B71551" w:rsidRDefault="00B71551" w:rsidP="00B71551">
      <w:pPr>
        <w:rPr>
          <w:b/>
          <w:bCs/>
        </w:rPr>
      </w:pPr>
      <w:r w:rsidRPr="00B71551">
        <w:rPr>
          <w:b/>
          <w:bCs/>
        </w:rPr>
        <w:t>Gap 1: The "Two-Way Pipeline" Spatial Contradiction</w:t>
      </w:r>
    </w:p>
    <w:p w14:paraId="79B60A57" w14:textId="77777777" w:rsidR="00B71551" w:rsidRPr="00B71551" w:rsidRDefault="00B71551" w:rsidP="00B71551">
      <w:r w:rsidRPr="00B71551">
        <w:t xml:space="preserve">In your current method, you find candidate hubs by drawing a </w:t>
      </w:r>
      <w:r w:rsidRPr="00B71551">
        <w:rPr>
          <w:b/>
          <w:bCs/>
        </w:rPr>
        <w:t>flat 250 km radius buffer</w:t>
      </w:r>
      <w:r w:rsidRPr="00B71551">
        <w:t xml:space="preserve"> around points where three elements overlap: gas fields, hydrogen demand, and storage sinks.</w:t>
      </w:r>
    </w:p>
    <w:p w14:paraId="57B79AA6" w14:textId="07DDA53B" w:rsidR="00B71551" w:rsidRPr="00B71551" w:rsidRDefault="00B71551" w:rsidP="00B71551">
      <w:pPr>
        <w:numPr>
          <w:ilvl w:val="0"/>
          <w:numId w:val="1"/>
        </w:numPr>
      </w:pPr>
      <w:r w:rsidRPr="00B71551">
        <w:rPr>
          <w:b/>
          <w:bCs/>
        </w:rPr>
        <w:t>The Problem:</w:t>
      </w:r>
      <w:r w:rsidRPr="00B71551">
        <w:t xml:space="preserve"> Steam Methane Reforming (SMR) requires natural gas as an </w:t>
      </w:r>
      <w:r w:rsidRPr="00B71551">
        <w:rPr>
          <w:i/>
          <w:iCs/>
        </w:rPr>
        <w:t>input</w:t>
      </w:r>
      <w:r w:rsidRPr="00B71551">
        <w:t xml:space="preserve"> feedstock, and produces hydrogen as an </w:t>
      </w:r>
      <w:r w:rsidRPr="00B71551">
        <w:rPr>
          <w:i/>
          <w:iCs/>
        </w:rPr>
        <w:t>output</w:t>
      </w:r>
      <w:r w:rsidRPr="00B71551">
        <w:t xml:space="preserve"> product while generating </w:t>
      </w:r>
      <w:r>
        <w:t xml:space="preserve">CO2 </w:t>
      </w:r>
      <w:r w:rsidRPr="00B71551">
        <w:t xml:space="preserve">as a waste stream. If your hub is placed exactly in the middle of a 250 km buffer, you may end up with a layout where you are building a 125 km pipeline to bring gas </w:t>
      </w:r>
      <w:r w:rsidRPr="00B71551">
        <w:rPr>
          <w:i/>
          <w:iCs/>
        </w:rPr>
        <w:t>in</w:t>
      </w:r>
      <w:r w:rsidRPr="00B71551">
        <w:t xml:space="preserve">, a 125 km pipeline to transport hydrogen </w:t>
      </w:r>
      <w:r w:rsidRPr="00B71551">
        <w:rPr>
          <w:i/>
          <w:iCs/>
        </w:rPr>
        <w:t>out</w:t>
      </w:r>
      <w:r w:rsidRPr="00B71551">
        <w:t xml:space="preserve"> to consumers, and a 125 km pipeline to send </w:t>
      </w:r>
      <w:r>
        <w:t xml:space="preserve">CO2 </w:t>
      </w:r>
      <w:r w:rsidRPr="00B71551">
        <w:rPr>
          <w:i/>
          <w:iCs/>
        </w:rPr>
        <w:t>back</w:t>
      </w:r>
      <w:r w:rsidRPr="00B71551">
        <w:t xml:space="preserve"> to the storage sink. Building </w:t>
      </w:r>
      <w:r w:rsidRPr="00B71551">
        <w:rPr>
          <w:b/>
          <w:bCs/>
        </w:rPr>
        <w:t>three distinct, long-distance pipelines</w:t>
      </w:r>
      <w:r w:rsidRPr="00B71551">
        <w:t xml:space="preserve"> for input, output, and waste completely destroys the economic viability of the project.</w:t>
      </w:r>
    </w:p>
    <w:p w14:paraId="51956D5E" w14:textId="77777777" w:rsidR="00B74A36" w:rsidRPr="00B74A36" w:rsidRDefault="00B74A36" w:rsidP="00B74A3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74A36">
        <w:rPr>
          <w:rFonts w:ascii="Arial" w:eastAsia="Times New Roman" w:hAnsi="Arial" w:cs="Arial"/>
          <w:b/>
          <w:bCs/>
          <w:kern w:val="0"/>
          <w14:ligatures w14:val="none"/>
        </w:rPr>
        <w:t>The Methodological Fix:</w:t>
      </w:r>
      <w:r w:rsidRPr="00B74A36">
        <w:rPr>
          <w:rFonts w:ascii="Arial" w:eastAsia="Times New Roman" w:hAnsi="Arial" w:cs="Arial"/>
          <w:kern w:val="0"/>
          <w14:ligatures w14:val="none"/>
        </w:rPr>
        <w:t xml:space="preserve"> In real engineering layouts, the SMR plant is always built </w:t>
      </w:r>
      <w:r w:rsidRPr="00B74A36">
        <w:rPr>
          <w:rFonts w:ascii="Arial" w:eastAsia="Times New Roman" w:hAnsi="Arial" w:cs="Arial"/>
          <w:b/>
          <w:bCs/>
          <w:kern w:val="0"/>
          <w14:ligatures w14:val="none"/>
        </w:rPr>
        <w:t>directly on top of either the gas field or the storage sink</w:t>
      </w:r>
      <w:r w:rsidRPr="00B74A36">
        <w:rPr>
          <w:rFonts w:ascii="Arial" w:eastAsia="Times New Roman" w:hAnsi="Arial" w:cs="Arial"/>
          <w:kern w:val="0"/>
          <w14:ligatures w14:val="none"/>
        </w:rPr>
        <w:t xml:space="preserve"> to eliminate at least one massive pipeline leg entirely. Your optimization algorithm should be adjusted to test two specific, realistic configurations:</w:t>
      </w:r>
    </w:p>
    <w:p w14:paraId="6C919E90" w14:textId="175361B2" w:rsidR="00B74A36" w:rsidRPr="00B74A36" w:rsidRDefault="00B74A36" w:rsidP="00B74A36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74A36">
        <w:rPr>
          <w:rFonts w:ascii="Arial" w:eastAsia="Times New Roman" w:hAnsi="Arial" w:cs="Arial"/>
          <w:i/>
          <w:iCs/>
          <w:kern w:val="0"/>
          <w14:ligatures w14:val="none"/>
        </w:rPr>
        <w:t>Gasfield-Gate SMR:</w:t>
      </w:r>
      <w:r w:rsidRPr="00B74A36">
        <w:rPr>
          <w:rFonts w:ascii="Arial" w:eastAsia="Times New Roman" w:hAnsi="Arial" w:cs="Arial"/>
          <w:kern w:val="0"/>
          <w14:ligatures w14:val="none"/>
        </w:rPr>
        <w:t xml:space="preserve"> Co-located at the gas wellhead (zero gas transport distance), piping </w:t>
      </w:r>
      <w:r>
        <w:rPr>
          <w:rFonts w:ascii="Arial" w:eastAsia="Times New Roman" w:hAnsi="Arial" w:cs="Arial"/>
          <w:kern w:val="0"/>
          <w14:ligatures w14:val="none"/>
        </w:rPr>
        <w:t xml:space="preserve">CO2 </w:t>
      </w:r>
      <w:r w:rsidRPr="00B74A36">
        <w:rPr>
          <w:rFonts w:ascii="Arial" w:eastAsia="Times New Roman" w:hAnsi="Arial" w:cs="Arial"/>
          <w:kern w:val="0"/>
          <w14:ligatures w14:val="none"/>
        </w:rPr>
        <w:t>to the sink and hydrogen to the market.</w:t>
      </w:r>
    </w:p>
    <w:p w14:paraId="297CFE56" w14:textId="1C7BE7FA" w:rsidR="00B74A36" w:rsidRPr="00B74A36" w:rsidRDefault="00B74A36" w:rsidP="00B74A36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74A36">
        <w:rPr>
          <w:rFonts w:ascii="Arial" w:eastAsia="Times New Roman" w:hAnsi="Arial" w:cs="Arial"/>
          <w:i/>
          <w:iCs/>
          <w:kern w:val="0"/>
          <w14:ligatures w14:val="none"/>
        </w:rPr>
        <w:t>Sink-Gate SMR:</w:t>
      </w:r>
      <w:r w:rsidRPr="00B74A36">
        <w:rPr>
          <w:rFonts w:ascii="Arial" w:eastAsia="Times New Roman" w:hAnsi="Arial" w:cs="Arial"/>
          <w:kern w:val="0"/>
          <w14:ligatures w14:val="none"/>
        </w:rPr>
        <w:t xml:space="preserve"> Co-located at the injection wellhead (zero </w:t>
      </w:r>
      <w:r>
        <w:rPr>
          <w:rFonts w:ascii="Arial" w:eastAsia="Times New Roman" w:hAnsi="Arial" w:cs="Arial"/>
          <w:kern w:val="0"/>
          <w14:ligatures w14:val="none"/>
        </w:rPr>
        <w:t xml:space="preserve">CO2 </w:t>
      </w:r>
      <w:r w:rsidRPr="00B74A36">
        <w:rPr>
          <w:rFonts w:ascii="Arial" w:eastAsia="Times New Roman" w:hAnsi="Arial" w:cs="Arial"/>
          <w:kern w:val="0"/>
          <w14:ligatures w14:val="none"/>
        </w:rPr>
        <w:t>transport distance), piping raw natural gas in and hydrogen out.</w:t>
      </w:r>
    </w:p>
    <w:p w14:paraId="39B4B3A3" w14:textId="77777777" w:rsidR="00B71551" w:rsidRPr="00B71551" w:rsidRDefault="00B71551" w:rsidP="00D83308"/>
    <w:p w14:paraId="4CA8B1B0" w14:textId="77777777" w:rsidR="0020234F" w:rsidRPr="0020234F" w:rsidRDefault="0020234F" w:rsidP="0020234F">
      <w:r w:rsidRPr="0020234F">
        <w:t xml:space="preserve">To resolve </w:t>
      </w:r>
      <w:r w:rsidRPr="0020234F">
        <w:rPr>
          <w:b/>
          <w:bCs/>
        </w:rPr>
        <w:t>Gap 1: The "Two-Way Pipeline" Spatial Contradiction</w:t>
      </w:r>
      <w:r w:rsidRPr="0020234F">
        <w:t xml:space="preserve">, you must move away from standard distance overlays and introduce a </w:t>
      </w:r>
      <w:r w:rsidRPr="0020234F">
        <w:rPr>
          <w:b/>
          <w:bCs/>
        </w:rPr>
        <w:t>Dual-Gate Co-Location Optimization Model</w:t>
      </w:r>
      <w:r w:rsidRPr="0020234F">
        <w:t>.</w:t>
      </w:r>
    </w:p>
    <w:p w14:paraId="7EB59875" w14:textId="77777777" w:rsidR="0020234F" w:rsidRPr="0020234F" w:rsidRDefault="0020234F" w:rsidP="0020234F">
      <w:r w:rsidRPr="0020234F">
        <w:t>Instead of an arbitrary multi-variable centroid, this methodology assumes that a Steam Methane Reforming (SMR) plant must be physically co-located either directly at the natural gas wellhead (</w:t>
      </w:r>
      <w:r w:rsidRPr="0020234F">
        <w:rPr>
          <w:b/>
          <w:bCs/>
        </w:rPr>
        <w:t>Gasfield-Gate</w:t>
      </w:r>
      <w:r w:rsidRPr="0020234F">
        <w:t>) or directly at the injection wellhead (</w:t>
      </w:r>
      <w:r w:rsidRPr="0020234F">
        <w:rPr>
          <w:b/>
          <w:bCs/>
        </w:rPr>
        <w:t>Sink-Gate</w:t>
      </w:r>
      <w:r w:rsidRPr="0020234F">
        <w:t>). This eliminates one entire long-distance pipeline leg, significantly dropping capital expenditure (CAPEX).</w:t>
      </w:r>
    </w:p>
    <w:p w14:paraId="20D25376" w14:textId="1BAF4BC4" w:rsidR="00307F0B" w:rsidRDefault="00314DC4">
      <w:r w:rsidRPr="00314DC4">
        <w:lastRenderedPageBreak/>
        <w:drawing>
          <wp:inline distT="0" distB="0" distL="0" distR="0" wp14:anchorId="2EFA4CF6" wp14:editId="102EE3FD">
            <wp:extent cx="5943600" cy="2791460"/>
            <wp:effectExtent l="0" t="0" r="0" b="8890"/>
            <wp:docPr id="76543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36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E465" w14:textId="0D5E275E" w:rsidR="00314DC4" w:rsidRDefault="00314DC4">
      <w:r w:rsidRPr="00314DC4">
        <w:drawing>
          <wp:inline distT="0" distB="0" distL="0" distR="0" wp14:anchorId="7018F166" wp14:editId="36FB005B">
            <wp:extent cx="5943600" cy="2490470"/>
            <wp:effectExtent l="0" t="0" r="0" b="5080"/>
            <wp:docPr id="77231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19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6F34" w14:textId="52A6B24B" w:rsidR="00D05762" w:rsidRDefault="00D05762">
      <w:r w:rsidRPr="00D05762">
        <w:drawing>
          <wp:inline distT="0" distB="0" distL="0" distR="0" wp14:anchorId="6012D0F8" wp14:editId="5C284689">
            <wp:extent cx="5943600" cy="2234565"/>
            <wp:effectExtent l="0" t="0" r="0" b="0"/>
            <wp:docPr id="144555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56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01E9" w14:textId="60EC057A" w:rsidR="00D05762" w:rsidRDefault="00D05762">
      <w:r w:rsidRPr="00D05762">
        <w:lastRenderedPageBreak/>
        <w:drawing>
          <wp:inline distT="0" distB="0" distL="0" distR="0" wp14:anchorId="599B0C7C" wp14:editId="62438456">
            <wp:extent cx="5943600" cy="2921000"/>
            <wp:effectExtent l="0" t="0" r="0" b="0"/>
            <wp:docPr id="106148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88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7BB7" w14:textId="0949A3BC" w:rsidR="00B433EA" w:rsidRDefault="00B433EA">
      <w:r w:rsidRPr="00B433EA">
        <w:drawing>
          <wp:inline distT="0" distB="0" distL="0" distR="0" wp14:anchorId="691B2335" wp14:editId="430CD4C7">
            <wp:extent cx="5943600" cy="3094990"/>
            <wp:effectExtent l="0" t="0" r="0" b="0"/>
            <wp:docPr id="207777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74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46E3" w14:textId="3CBD2701" w:rsidR="00B433EA" w:rsidRDefault="00B433EA">
      <w:r w:rsidRPr="00B433EA">
        <w:lastRenderedPageBreak/>
        <w:drawing>
          <wp:inline distT="0" distB="0" distL="0" distR="0" wp14:anchorId="3F8E201D" wp14:editId="2C6B9DDA">
            <wp:extent cx="5943600" cy="2078182"/>
            <wp:effectExtent l="0" t="0" r="0" b="0"/>
            <wp:docPr id="90777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76772" name=""/>
                    <pic:cNvPicPr/>
                  </pic:nvPicPr>
                  <pic:blipFill rotWithShape="1">
                    <a:blip r:embed="rId10"/>
                    <a:srcRect b="11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8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ECC0D" w14:textId="3E4C793E" w:rsidR="00B433EA" w:rsidRDefault="001C52A6">
      <w:r w:rsidRPr="001C52A6">
        <w:drawing>
          <wp:inline distT="0" distB="0" distL="0" distR="0" wp14:anchorId="16D4091B" wp14:editId="3DDF058E">
            <wp:extent cx="5943600" cy="3474720"/>
            <wp:effectExtent l="0" t="0" r="0" b="0"/>
            <wp:docPr id="91587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78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47915"/>
    <w:multiLevelType w:val="multilevel"/>
    <w:tmpl w:val="BA7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5D3673"/>
    <w:multiLevelType w:val="multilevel"/>
    <w:tmpl w:val="131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48029">
    <w:abstractNumId w:val="1"/>
  </w:num>
  <w:num w:numId="2" w16cid:durableId="189191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0B"/>
    <w:rsid w:val="001C52A6"/>
    <w:rsid w:val="0020234F"/>
    <w:rsid w:val="00307F0B"/>
    <w:rsid w:val="00314DC4"/>
    <w:rsid w:val="009551CD"/>
    <w:rsid w:val="00B433EA"/>
    <w:rsid w:val="00B71551"/>
    <w:rsid w:val="00B74A36"/>
    <w:rsid w:val="00D05762"/>
    <w:rsid w:val="00D57D61"/>
    <w:rsid w:val="00D8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DC5EF"/>
  <w15:chartTrackingRefBased/>
  <w15:docId w15:val="{EB9A1029-B209-4B3D-BE4E-2B50EB837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F0B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B74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B74A36"/>
  </w:style>
  <w:style w:type="character" w:styleId="Strong">
    <w:name w:val="Strong"/>
    <w:basedOn w:val="DefaultParagraphFont"/>
    <w:uiPriority w:val="22"/>
    <w:qFormat/>
    <w:rsid w:val="00B74A36"/>
    <w:rPr>
      <w:b/>
      <w:bCs/>
    </w:rPr>
  </w:style>
  <w:style w:type="character" w:styleId="Emphasis">
    <w:name w:val="Emphasis"/>
    <w:basedOn w:val="DefaultParagraphFont"/>
    <w:uiPriority w:val="20"/>
    <w:qFormat/>
    <w:rsid w:val="00B74A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ACEN</dc:creator>
  <cp:keywords/>
  <dc:description/>
  <cp:lastModifiedBy>CAROLINE ACEN</cp:lastModifiedBy>
  <cp:revision>13</cp:revision>
  <dcterms:created xsi:type="dcterms:W3CDTF">2026-07-24T02:19:00Z</dcterms:created>
  <dcterms:modified xsi:type="dcterms:W3CDTF">2026-07-24T03:09:00Z</dcterms:modified>
</cp:coreProperties>
</file>