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1945A" w14:textId="77777777" w:rsidR="004B5AFB" w:rsidRPr="004B5AFB" w:rsidRDefault="004B5AFB" w:rsidP="004B5AFB">
      <w:pPr>
        <w:rPr>
          <w:b/>
          <w:bCs/>
        </w:rPr>
      </w:pPr>
      <w:r w:rsidRPr="004B5AFB">
        <w:rPr>
          <w:b/>
          <w:bCs/>
        </w:rPr>
        <w:t>The Novel Matching Method: Dynamic Injectivity-Distance Pareto Allocation (DIDPA)</w:t>
      </w:r>
    </w:p>
    <w:p w14:paraId="43B52360" w14:textId="654A8E49" w:rsidR="004B5AFB" w:rsidRPr="004B5AFB" w:rsidRDefault="004B5AFB" w:rsidP="004B5AFB">
      <w:r w:rsidRPr="004B5AFB">
        <w:t>In traditional papers, a source matches with the absolute closest sink. However, if that close sink has a terrible injection rate (R</w:t>
      </w:r>
      <w:r>
        <w:t>i</w:t>
      </w:r>
      <w:r w:rsidRPr="004B5AFB">
        <w:t>), it is a bottleneck. If a source matches with a massive, fast sink that is slightly further away, it might be more efficient.</w:t>
      </w:r>
    </w:p>
    <w:p w14:paraId="755FFC94" w14:textId="0271B514" w:rsidR="001924D5" w:rsidRDefault="004B5AFB">
      <w:r w:rsidRPr="004B5AFB">
        <w:t xml:space="preserve">We define a novel </w:t>
      </w:r>
      <w:r w:rsidRPr="004B5AFB">
        <w:rPr>
          <w:b/>
          <w:bCs/>
        </w:rPr>
        <w:t>Sink Suitability Score (</w:t>
      </w:r>
      <w:r w:rsidRPr="00F00984">
        <w:rPr>
          <w:b/>
          <w:bCs/>
        </w:rPr>
        <w:t>SS</w:t>
      </w:r>
      <w:r w:rsidRPr="00F00984">
        <w:rPr>
          <w:b/>
          <w:bCs/>
          <w:i/>
          <w:iCs/>
          <w:vertAlign w:val="subscript"/>
        </w:rPr>
        <w:t>i,j</w:t>
      </w:r>
      <w:r w:rsidRPr="004B5AFB">
        <w:rPr>
          <w:b/>
          <w:bCs/>
        </w:rPr>
        <w:t>)</w:t>
      </w:r>
      <w:r w:rsidRPr="004B5AFB">
        <w:t xml:space="preserve"> for matching any industrial facility grid </w:t>
      </w:r>
      <w:r w:rsidRPr="00CA2CC7">
        <w:rPr>
          <w:i/>
          <w:iCs/>
        </w:rPr>
        <w:t>j</w:t>
      </w:r>
      <w:r w:rsidRPr="004B5AFB">
        <w:t xml:space="preserve"> to a storage grid cell </w:t>
      </w:r>
      <w:r w:rsidRPr="00CA2CC7">
        <w:rPr>
          <w:i/>
          <w:iCs/>
        </w:rPr>
        <w:t>i</w:t>
      </w:r>
      <w:r w:rsidRPr="004B5AFB">
        <w:t>:</w:t>
      </w:r>
    </w:p>
    <w:p w14:paraId="29572048" w14:textId="77777777" w:rsidR="00F00984" w:rsidRPr="00F00984" w:rsidRDefault="00F00984" w:rsidP="00F00984">
      <w:pPr>
        <w:rPr>
          <w:b/>
          <w:bCs/>
        </w:rPr>
      </w:pPr>
      <w:r w:rsidRPr="00F00984">
        <w:rPr>
          <w:b/>
          <w:bCs/>
        </w:rPr>
        <w:t>Why this math is novel:</w:t>
      </w:r>
    </w:p>
    <w:p w14:paraId="0E7E2D12" w14:textId="0B054CDB" w:rsidR="00F00984" w:rsidRPr="00F00984" w:rsidRDefault="00F00984" w:rsidP="00F00984">
      <w:pPr>
        <w:numPr>
          <w:ilvl w:val="0"/>
          <w:numId w:val="1"/>
        </w:numPr>
      </w:pPr>
      <w:r w:rsidRPr="00F00984">
        <w:rPr>
          <w:b/>
          <w:bCs/>
        </w:rPr>
        <w:t>The Gravity Model Approach:</w:t>
      </w:r>
      <w:r w:rsidRPr="00F00984">
        <w:t xml:space="preserve"> By using </w:t>
      </w:r>
      <w:r>
        <w:t>(d</w:t>
      </w:r>
      <w:r w:rsidRPr="00F00984">
        <w:rPr>
          <w:vertAlign w:val="superscript"/>
        </w:rPr>
        <w:t>2</w:t>
      </w:r>
      <w:r w:rsidRPr="00F00984">
        <w:t>) in the denominator, it acts like a gravity model in economics. Distance heavily penalizes the match.</w:t>
      </w:r>
    </w:p>
    <w:p w14:paraId="1993C6E3" w14:textId="2BCD0AE5" w:rsidR="00F00984" w:rsidRPr="00F00984" w:rsidRDefault="00F00984" w:rsidP="00F00984">
      <w:pPr>
        <w:numPr>
          <w:ilvl w:val="0"/>
          <w:numId w:val="1"/>
        </w:numPr>
      </w:pPr>
      <w:r w:rsidRPr="00F00984">
        <w:rPr>
          <w:b/>
          <w:bCs/>
        </w:rPr>
        <w:t>Subsurface Priority:</w:t>
      </w:r>
      <w:r w:rsidRPr="00F00984">
        <w:t xml:space="preserve"> In the numerator, we multiply injection speed by total volume (</w:t>
      </w:r>
      <w:r>
        <w:t>R</w:t>
      </w:r>
      <w:r w:rsidRPr="00F00984">
        <w:rPr>
          <w:vertAlign w:val="subscript"/>
        </w:rPr>
        <w:t>i</w:t>
      </w:r>
      <w:r>
        <w:t xml:space="preserve"> x S</w:t>
      </w:r>
      <w:r w:rsidRPr="00F00984">
        <w:rPr>
          <w:vertAlign w:val="subscript"/>
        </w:rPr>
        <w:t>i</w:t>
      </w:r>
      <w:r w:rsidRPr="00F00984">
        <w:t xml:space="preserve">). A sink is highly attractive only if it is </w:t>
      </w:r>
      <w:r w:rsidRPr="00F00984">
        <w:rPr>
          <w:b/>
          <w:bCs/>
        </w:rPr>
        <w:t>both big and fast</w:t>
      </w:r>
      <w:r w:rsidRPr="00F00984">
        <w:t>.</w:t>
      </w:r>
    </w:p>
    <w:p w14:paraId="5541A08B" w14:textId="5FC34369" w:rsidR="00F00984" w:rsidRDefault="00F00984" w:rsidP="00F00984">
      <w:pPr>
        <w:numPr>
          <w:ilvl w:val="0"/>
          <w:numId w:val="1"/>
        </w:numPr>
      </w:pPr>
      <w:r w:rsidRPr="00F00984">
        <w:rPr>
          <w:b/>
          <w:bCs/>
        </w:rPr>
        <w:t>The Matching Algorithm Rule:</w:t>
      </w:r>
      <w:r w:rsidRPr="00F00984">
        <w:t xml:space="preserve"> For every industrial grid cell j, the code loops through all storage cells within 250 km and matches with the cell </w:t>
      </w:r>
      <w:r w:rsidRPr="00F00984">
        <w:rPr>
          <w:i/>
          <w:iCs/>
        </w:rPr>
        <w:t>i</w:t>
      </w:r>
      <w:r w:rsidRPr="00F00984">
        <w:t xml:space="preserve"> that yields the </w:t>
      </w:r>
      <w:r w:rsidRPr="00F00984">
        <w:rPr>
          <w:b/>
          <w:bCs/>
        </w:rPr>
        <w:t>highest SS</w:t>
      </w:r>
      <w:r w:rsidRPr="00F00984">
        <w:rPr>
          <w:b/>
          <w:bCs/>
          <w:i/>
          <w:iCs/>
          <w:vertAlign w:val="subscript"/>
        </w:rPr>
        <w:t>i,j</w:t>
      </w:r>
      <w:r>
        <w:rPr>
          <w:b/>
          <w:bCs/>
        </w:rPr>
        <w:t xml:space="preserve"> </w:t>
      </w:r>
      <w:r w:rsidRPr="00F00984">
        <w:rPr>
          <w:b/>
          <w:bCs/>
        </w:rPr>
        <w:t>score</w:t>
      </w:r>
      <w:r w:rsidRPr="00F00984">
        <w:t>, rather than simply picking the absolute closest distance.</w:t>
      </w:r>
    </w:p>
    <w:p w14:paraId="502698B2" w14:textId="7B990A3E" w:rsidR="001A5DFB" w:rsidRDefault="001A5DFB" w:rsidP="001A5DFB">
      <w:pPr>
        <w:ind w:left="360"/>
      </w:pPr>
      <w:r w:rsidRPr="001A5DFB">
        <w:t xml:space="preserve">The allocation engine operates via a cost-and-throughput optimization loop. Instead of pairing manufacturing clusters with the absolute closest geographical sink, the engine ranks and allocates emission streams to the reservoir node that maximizes the Sink Suitability Score. This mathematical formulation ensures that the matching architecture simultaneously prioritizes minimizing surface transport infrastructure friction </w:t>
      </w:r>
      <w:r w:rsidR="00EE7408">
        <w:t>(d</w:t>
      </w:r>
      <w:r w:rsidR="00EE7408" w:rsidRPr="00F00984">
        <w:rPr>
          <w:vertAlign w:val="superscript"/>
        </w:rPr>
        <w:t>2</w:t>
      </w:r>
      <w:r w:rsidR="00EE7408" w:rsidRPr="00F00984">
        <w:t>)</w:t>
      </w:r>
      <w:r w:rsidRPr="001A5DFB">
        <w:t xml:space="preserve"> while maximizing subsurface operational fluid receptivity (R</w:t>
      </w:r>
      <w:r w:rsidRPr="001A5DFB">
        <w:rPr>
          <w:i/>
          <w:iCs/>
        </w:rPr>
        <w:t>i</w:t>
      </w:r>
      <w:r>
        <w:t xml:space="preserve"> x S</w:t>
      </w:r>
      <w:r w:rsidRPr="001A5DFB">
        <w:rPr>
          <w:i/>
          <w:iCs/>
        </w:rPr>
        <w:t>i</w:t>
      </w:r>
      <w:r w:rsidRPr="001A5DFB">
        <w:t>).</w:t>
      </w:r>
    </w:p>
    <w:p w14:paraId="44CD8CBE" w14:textId="4E4DCE4C" w:rsidR="00172A92" w:rsidRDefault="00172A92" w:rsidP="001A5DFB">
      <w:pPr>
        <w:ind w:left="360"/>
      </w:pPr>
      <w:r w:rsidRPr="00172A92">
        <w:t>Because direct facility-level continuous emission metrics are proprietary, point-source emission intensities (E</w:t>
      </w:r>
      <w:r w:rsidRPr="00172A92">
        <w:rPr>
          <w:vertAlign w:val="subscript"/>
        </w:rPr>
        <w:t>j,t</w:t>
      </w:r>
      <w:r w:rsidRPr="00172A92">
        <w:t>, in MtCO</w:t>
      </w:r>
      <w:r w:rsidRPr="00172A92">
        <w:rPr>
          <w:vertAlign w:val="subscript"/>
        </w:rPr>
        <w:t>2</w:t>
      </w:r>
      <w:r>
        <w:t>/</w:t>
      </w:r>
      <w:r w:rsidRPr="00172A92">
        <w:t>year) are assigned by downscaling official sector-specific provincial emission limits proportionally onto grid nodes based on local facility density indices. Emitter magnitudes are represented as a continuous mass flux clustered at each grid node's centroid.</w:t>
      </w:r>
    </w:p>
    <w:p w14:paraId="44E84D8B" w14:textId="5C775F48" w:rsidR="00145342" w:rsidRDefault="00145342" w:rsidP="001A5DFB">
      <w:pPr>
        <w:ind w:left="360"/>
        <w:rPr>
          <w:b/>
          <w:bCs/>
        </w:rPr>
      </w:pPr>
      <w:r w:rsidRPr="00145342">
        <w:rPr>
          <w:b/>
          <w:bCs/>
        </w:rPr>
        <w:t>Since the injection capacity and storage potential are in Mt/year, you should convert to tones/year before calculating the Sink Suitability Score</w:t>
      </w:r>
    </w:p>
    <w:p w14:paraId="7DC5E94B" w14:textId="77777777" w:rsidR="00A40F47" w:rsidRPr="00A40F47" w:rsidRDefault="00A40F47" w:rsidP="00A40F47">
      <w:pPr>
        <w:ind w:left="360"/>
        <w:rPr>
          <w:b/>
          <w:bCs/>
        </w:rPr>
      </w:pPr>
      <w:r w:rsidRPr="00A40F47">
        <w:rPr>
          <w:b/>
          <w:bCs/>
        </w:rPr>
        <w:t>Temporal Resolution of Competing Infrastructure Demands</w:t>
      </w:r>
    </w:p>
    <w:p w14:paraId="2C93D869" w14:textId="77777777" w:rsidR="00A40F47" w:rsidRPr="00A40F47" w:rsidRDefault="00A40F47" w:rsidP="00A40F47">
      <w:pPr>
        <w:ind w:left="360"/>
        <w:jc w:val="both"/>
      </w:pPr>
      <w:r w:rsidRPr="00A40F47">
        <w:t xml:space="preserve">Because highly receptive geological storage nodes naturally yield elevated suitability indices, competing multi-sectoral industrial clusters frequently target identical reservoir grids. To resolve these spatial overlaps across the 2025–2050 timeline, a Dynamic Saturation and Marginal Disregard (SMD) loop is integrated into the allocation engine. At </w:t>
      </w:r>
      <w:r w:rsidRPr="00A40F47">
        <w:lastRenderedPageBreak/>
        <w:t>each chronological timestep, emission streams are directed to sink nodes in descending order of their calculated \(SS_{i,j}\) matrix.</w:t>
      </w:r>
    </w:p>
    <w:p w14:paraId="7308C73F" w14:textId="76CE9231" w:rsidR="00A40F47" w:rsidRPr="00A40F47" w:rsidRDefault="00A40F47" w:rsidP="00A40F47">
      <w:pPr>
        <w:ind w:left="360"/>
        <w:jc w:val="both"/>
      </w:pPr>
      <w:r w:rsidRPr="00A40F47">
        <w:t>The maximum intake of any localized storage cell is strictly capped by its real-time technical injection capacity (\(R_{i,t}\)), formulated in Equation 4. Once the combined multi-sectoral demand matches this injection ceiling (\(\sum E_{j,t} \ge R_{i,t}\)), or if the cumulative volume reaches total exhaustion (\(S_{i,t} = 0\)), the node is locked and temporarily or permanently removed from the active pairing matrix. The remaining unallocated industrial emission streams are then systematically rerouted to the next available node that maximizes their residual suitability score. This progressive spatial displacement models the transition of infrastructure layouts from localized regional hubs to broader inter-provincial pipeline corridors as optimal basins near structural saturation.</w:t>
      </w:r>
    </w:p>
    <w:p w14:paraId="226EA3DA" w14:textId="6022D2EF" w:rsidR="00F00984" w:rsidRDefault="00F00984">
      <w:r w:rsidRPr="001924D5">
        <w:rPr>
          <w:noProof/>
        </w:rPr>
        <w:drawing>
          <wp:inline distT="0" distB="0" distL="0" distR="0" wp14:anchorId="3302F26B" wp14:editId="44DDCEFB">
            <wp:extent cx="5943600" cy="2598420"/>
            <wp:effectExtent l="0" t="0" r="0" b="0"/>
            <wp:docPr id="560205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05960" name=""/>
                    <pic:cNvPicPr/>
                  </pic:nvPicPr>
                  <pic:blipFill>
                    <a:blip r:embed="rId7"/>
                    <a:stretch>
                      <a:fillRect/>
                    </a:stretch>
                  </pic:blipFill>
                  <pic:spPr>
                    <a:xfrm>
                      <a:off x="0" y="0"/>
                      <a:ext cx="5943600" cy="2598420"/>
                    </a:xfrm>
                    <a:prstGeom prst="rect">
                      <a:avLst/>
                    </a:prstGeom>
                  </pic:spPr>
                </pic:pic>
              </a:graphicData>
            </a:graphic>
          </wp:inline>
        </w:drawing>
      </w:r>
    </w:p>
    <w:p w14:paraId="4D432642" w14:textId="2EB207F4" w:rsidR="00F00984" w:rsidRDefault="00F00984">
      <w:r w:rsidRPr="001924D5">
        <w:rPr>
          <w:noProof/>
        </w:rPr>
        <w:drawing>
          <wp:inline distT="0" distB="0" distL="0" distR="0" wp14:anchorId="7EE7E1D8" wp14:editId="70A68021">
            <wp:extent cx="5943600" cy="2028190"/>
            <wp:effectExtent l="0" t="0" r="0" b="0"/>
            <wp:docPr id="54706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06443" name=""/>
                    <pic:cNvPicPr/>
                  </pic:nvPicPr>
                  <pic:blipFill>
                    <a:blip r:embed="rId8"/>
                    <a:stretch>
                      <a:fillRect/>
                    </a:stretch>
                  </pic:blipFill>
                  <pic:spPr>
                    <a:xfrm>
                      <a:off x="0" y="0"/>
                      <a:ext cx="5943600" cy="2028190"/>
                    </a:xfrm>
                    <a:prstGeom prst="rect">
                      <a:avLst/>
                    </a:prstGeom>
                  </pic:spPr>
                </pic:pic>
              </a:graphicData>
            </a:graphic>
          </wp:inline>
        </w:drawing>
      </w:r>
    </w:p>
    <w:p w14:paraId="71FC1BE5" w14:textId="77B6C8A9" w:rsidR="00FB57C1" w:rsidRDefault="00FB57C1">
      <w:r w:rsidRPr="00FB57C1">
        <w:lastRenderedPageBreak/>
        <w:drawing>
          <wp:inline distT="0" distB="0" distL="0" distR="0" wp14:anchorId="3A3CE891" wp14:editId="1CBDB2C9">
            <wp:extent cx="5943600" cy="2988310"/>
            <wp:effectExtent l="0" t="0" r="0" b="2540"/>
            <wp:docPr id="741492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92264" name=""/>
                    <pic:cNvPicPr/>
                  </pic:nvPicPr>
                  <pic:blipFill>
                    <a:blip r:embed="rId9"/>
                    <a:stretch>
                      <a:fillRect/>
                    </a:stretch>
                  </pic:blipFill>
                  <pic:spPr>
                    <a:xfrm>
                      <a:off x="0" y="0"/>
                      <a:ext cx="5943600" cy="2988310"/>
                    </a:xfrm>
                    <a:prstGeom prst="rect">
                      <a:avLst/>
                    </a:prstGeom>
                  </pic:spPr>
                </pic:pic>
              </a:graphicData>
            </a:graphic>
          </wp:inline>
        </w:drawing>
      </w:r>
    </w:p>
    <w:p w14:paraId="55E4BE72" w14:textId="0547E4AF" w:rsidR="00AD6F57" w:rsidRDefault="00AD6F57">
      <w:r w:rsidRPr="00AD6F57">
        <w:drawing>
          <wp:inline distT="0" distB="0" distL="0" distR="0" wp14:anchorId="321CBCB5" wp14:editId="7C6B1176">
            <wp:extent cx="5943600" cy="1268095"/>
            <wp:effectExtent l="0" t="0" r="0" b="8255"/>
            <wp:docPr id="1834696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696656" name=""/>
                    <pic:cNvPicPr/>
                  </pic:nvPicPr>
                  <pic:blipFill>
                    <a:blip r:embed="rId10"/>
                    <a:stretch>
                      <a:fillRect/>
                    </a:stretch>
                  </pic:blipFill>
                  <pic:spPr>
                    <a:xfrm>
                      <a:off x="0" y="0"/>
                      <a:ext cx="5943600" cy="1268095"/>
                    </a:xfrm>
                    <a:prstGeom prst="rect">
                      <a:avLst/>
                    </a:prstGeom>
                  </pic:spPr>
                </pic:pic>
              </a:graphicData>
            </a:graphic>
          </wp:inline>
        </w:drawing>
      </w:r>
    </w:p>
    <w:sectPr w:rsidR="00AD6F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73D6F" w14:textId="77777777" w:rsidR="00F90455" w:rsidRDefault="00F90455" w:rsidP="001A5DFB">
      <w:pPr>
        <w:spacing w:after="0" w:line="240" w:lineRule="auto"/>
      </w:pPr>
      <w:r>
        <w:separator/>
      </w:r>
    </w:p>
  </w:endnote>
  <w:endnote w:type="continuationSeparator" w:id="0">
    <w:p w14:paraId="4D7349F0" w14:textId="77777777" w:rsidR="00F90455" w:rsidRDefault="00F90455" w:rsidP="001A5D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FDF3D" w14:textId="77777777" w:rsidR="00F90455" w:rsidRDefault="00F90455" w:rsidP="001A5DFB">
      <w:pPr>
        <w:spacing w:after="0" w:line="240" w:lineRule="auto"/>
      </w:pPr>
      <w:r>
        <w:separator/>
      </w:r>
    </w:p>
  </w:footnote>
  <w:footnote w:type="continuationSeparator" w:id="0">
    <w:p w14:paraId="14D587E1" w14:textId="77777777" w:rsidR="00F90455" w:rsidRDefault="00F90455" w:rsidP="001A5D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E366CB"/>
    <w:multiLevelType w:val="multilevel"/>
    <w:tmpl w:val="7DF83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8369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D51"/>
    <w:rsid w:val="00091BC7"/>
    <w:rsid w:val="00145342"/>
    <w:rsid w:val="00172A92"/>
    <w:rsid w:val="001924D5"/>
    <w:rsid w:val="001A5DFB"/>
    <w:rsid w:val="004B5AFB"/>
    <w:rsid w:val="005743DF"/>
    <w:rsid w:val="006F7B88"/>
    <w:rsid w:val="0099641D"/>
    <w:rsid w:val="00A40F47"/>
    <w:rsid w:val="00AD6F57"/>
    <w:rsid w:val="00B20226"/>
    <w:rsid w:val="00B76D51"/>
    <w:rsid w:val="00CA2CC7"/>
    <w:rsid w:val="00E00629"/>
    <w:rsid w:val="00EE7408"/>
    <w:rsid w:val="00F00984"/>
    <w:rsid w:val="00F90455"/>
    <w:rsid w:val="00F956CD"/>
    <w:rsid w:val="00FB57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E9DC1B"/>
  <w15:chartTrackingRefBased/>
  <w15:docId w15:val="{18A21F49-7F55-4C5B-92D5-B71854F82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6D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6D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6D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6D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6D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6D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6D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6D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6D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D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6D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6D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6D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6D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6D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6D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6D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6D51"/>
    <w:rPr>
      <w:rFonts w:eastAsiaTheme="majorEastAsia" w:cstheme="majorBidi"/>
      <w:color w:val="272727" w:themeColor="text1" w:themeTint="D8"/>
    </w:rPr>
  </w:style>
  <w:style w:type="paragraph" w:styleId="Title">
    <w:name w:val="Title"/>
    <w:basedOn w:val="Normal"/>
    <w:next w:val="Normal"/>
    <w:link w:val="TitleChar"/>
    <w:uiPriority w:val="10"/>
    <w:qFormat/>
    <w:rsid w:val="00B76D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6D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6D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6D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6D51"/>
    <w:pPr>
      <w:spacing w:before="160"/>
      <w:jc w:val="center"/>
    </w:pPr>
    <w:rPr>
      <w:i/>
      <w:iCs/>
      <w:color w:val="404040" w:themeColor="text1" w:themeTint="BF"/>
    </w:rPr>
  </w:style>
  <w:style w:type="character" w:customStyle="1" w:styleId="QuoteChar">
    <w:name w:val="Quote Char"/>
    <w:basedOn w:val="DefaultParagraphFont"/>
    <w:link w:val="Quote"/>
    <w:uiPriority w:val="29"/>
    <w:rsid w:val="00B76D51"/>
    <w:rPr>
      <w:i/>
      <w:iCs/>
      <w:color w:val="404040" w:themeColor="text1" w:themeTint="BF"/>
    </w:rPr>
  </w:style>
  <w:style w:type="paragraph" w:styleId="ListParagraph">
    <w:name w:val="List Paragraph"/>
    <w:basedOn w:val="Normal"/>
    <w:uiPriority w:val="34"/>
    <w:qFormat/>
    <w:rsid w:val="00B76D51"/>
    <w:pPr>
      <w:ind w:left="720"/>
      <w:contextualSpacing/>
    </w:pPr>
  </w:style>
  <w:style w:type="character" w:styleId="IntenseEmphasis">
    <w:name w:val="Intense Emphasis"/>
    <w:basedOn w:val="DefaultParagraphFont"/>
    <w:uiPriority w:val="21"/>
    <w:qFormat/>
    <w:rsid w:val="00B76D51"/>
    <w:rPr>
      <w:i/>
      <w:iCs/>
      <w:color w:val="0F4761" w:themeColor="accent1" w:themeShade="BF"/>
    </w:rPr>
  </w:style>
  <w:style w:type="paragraph" w:styleId="IntenseQuote">
    <w:name w:val="Intense Quote"/>
    <w:basedOn w:val="Normal"/>
    <w:next w:val="Normal"/>
    <w:link w:val="IntenseQuoteChar"/>
    <w:uiPriority w:val="30"/>
    <w:qFormat/>
    <w:rsid w:val="00B76D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6D51"/>
    <w:rPr>
      <w:i/>
      <w:iCs/>
      <w:color w:val="0F4761" w:themeColor="accent1" w:themeShade="BF"/>
    </w:rPr>
  </w:style>
  <w:style w:type="character" w:styleId="IntenseReference">
    <w:name w:val="Intense Reference"/>
    <w:basedOn w:val="DefaultParagraphFont"/>
    <w:uiPriority w:val="32"/>
    <w:qFormat/>
    <w:rsid w:val="00B76D51"/>
    <w:rPr>
      <w:b/>
      <w:bCs/>
      <w:smallCaps/>
      <w:color w:val="0F4761" w:themeColor="accent1" w:themeShade="BF"/>
      <w:spacing w:val="5"/>
    </w:rPr>
  </w:style>
  <w:style w:type="paragraph" w:styleId="Header">
    <w:name w:val="header"/>
    <w:basedOn w:val="Normal"/>
    <w:link w:val="HeaderChar"/>
    <w:uiPriority w:val="99"/>
    <w:unhideWhenUsed/>
    <w:rsid w:val="001A5D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5DFB"/>
  </w:style>
  <w:style w:type="paragraph" w:styleId="Footer">
    <w:name w:val="footer"/>
    <w:basedOn w:val="Normal"/>
    <w:link w:val="FooterChar"/>
    <w:uiPriority w:val="99"/>
    <w:unhideWhenUsed/>
    <w:rsid w:val="001A5D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5D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506</Words>
  <Characters>2888</Characters>
  <Application>Microsoft Office Word</Application>
  <DocSecurity>0</DocSecurity>
  <Lines>24</Lines>
  <Paragraphs>6</Paragraphs>
  <ScaleCrop>false</ScaleCrop>
  <Company/>
  <LinksUpToDate>false</LinksUpToDate>
  <CharactersWithSpaces>3388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ACEN</dc:creator>
  <cp:keywords/>
  <dc:description/>
  <cp:lastModifiedBy>CAROLINE ACEN</cp:lastModifiedBy>
  <cp:revision>15</cp:revision>
  <dcterms:created xsi:type="dcterms:W3CDTF">2026-07-20T16:53:00Z</dcterms:created>
  <dcterms:modified xsi:type="dcterms:W3CDTF">2026-07-26T22:12:00Z</dcterms:modified>
</cp:coreProperties>
</file>