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2BAEB1">
      <w:pPr>
        <w:bidi w:val="0"/>
        <w:spacing w:line="360" w:lineRule="auto"/>
        <w:rPr>
          <w:rFonts w:hint="eastAsia" w:ascii="宋体" w:hAnsi="宋体" w:eastAsia="宋体" w:cs="宋体"/>
          <w:b/>
          <w:bCs/>
          <w:sz w:val="28"/>
          <w:szCs w:val="28"/>
        </w:rPr>
      </w:pPr>
      <w:r>
        <w:rPr>
          <w:rFonts w:hint="eastAsia" w:ascii="宋体" w:hAnsi="宋体" w:eastAsia="宋体" w:cs="宋体"/>
          <w:b/>
          <w:bCs/>
          <w:sz w:val="28"/>
          <w:szCs w:val="28"/>
        </w:rPr>
        <w:t>项目研究方向最终报告</w:t>
      </w:r>
    </w:p>
    <w:p w14:paraId="38BC81F1">
      <w:pPr>
        <w:bidi w:val="0"/>
        <w:spacing w:line="360" w:lineRule="auto"/>
        <w:rPr>
          <w:rFonts w:hint="eastAsia" w:ascii="宋体" w:hAnsi="宋体" w:eastAsia="宋体" w:cs="宋体"/>
          <w:b/>
          <w:bCs/>
          <w:sz w:val="24"/>
          <w:szCs w:val="24"/>
        </w:rPr>
      </w:pPr>
      <w:r>
        <w:rPr>
          <w:rFonts w:hint="eastAsia" w:ascii="宋体" w:hAnsi="宋体" w:eastAsia="宋体" w:cs="宋体"/>
          <w:b/>
          <w:bCs/>
          <w:sz w:val="24"/>
          <w:szCs w:val="24"/>
        </w:rPr>
        <w:t>一、研究背景与政策基础</w:t>
      </w:r>
    </w:p>
    <w:p w14:paraId="5BD5F159">
      <w:pPr>
        <w:bidi w:val="0"/>
        <w:spacing w:line="360" w:lineRule="auto"/>
        <w:rPr>
          <w:rFonts w:hint="eastAsia" w:ascii="宋体" w:hAnsi="宋体" w:eastAsia="宋体" w:cs="宋体"/>
          <w:b/>
          <w:bCs/>
          <w:sz w:val="22"/>
          <w:szCs w:val="22"/>
        </w:rPr>
      </w:pPr>
      <w:r>
        <w:rPr>
          <w:rFonts w:hint="eastAsia" w:ascii="宋体" w:hAnsi="宋体" w:eastAsia="宋体" w:cs="宋体"/>
          <w:b/>
          <w:bCs/>
          <w:sz w:val="22"/>
          <w:szCs w:val="22"/>
        </w:rPr>
        <w:t>1.1 研究背景</w:t>
      </w:r>
    </w:p>
    <w:p w14:paraId="3CA5421F">
      <w:pPr>
        <w:bidi w:val="0"/>
        <w:spacing w:line="360" w:lineRule="auto"/>
        <w:rPr>
          <w:rFonts w:hint="eastAsia" w:ascii="宋体" w:hAnsi="宋体" w:eastAsia="宋体" w:cs="宋体"/>
          <w:sz w:val="21"/>
          <w:szCs w:val="21"/>
        </w:rPr>
      </w:pPr>
      <w:r>
        <w:rPr>
          <w:rFonts w:hint="eastAsia" w:ascii="宋体" w:hAnsi="宋体" w:eastAsia="宋体" w:cs="宋体"/>
          <w:sz w:val="21"/>
          <w:szCs w:val="21"/>
        </w:rPr>
        <w:t>随着电力现货市场建设的全面提速和新型电力系统主体的多元化发展，虚拟电厂（VPP）作为聚合分布式资源参与电力市场的重要载体，正面临从“政策鼓励”到“市场落地”的关键转折。2025年底前，南方区域电力现货市场要启动连续结算试运行，成为我国首个打破省级行政区划限制实现多省区电力资源统一优化配置的电力现货市场</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"https://gbdy.ndrc.gov.cn/gbdyzcjd/202504/t20250429_1397490.html" \t "https://chat.deepseek.com/a/chat/s/_blank" </w:instrText>
      </w:r>
      <w:r>
        <w:rPr>
          <w:rFonts w:hint="eastAsia" w:ascii="宋体" w:hAnsi="宋体" w:eastAsia="宋体" w:cs="宋体"/>
          <w:sz w:val="21"/>
          <w:szCs w:val="21"/>
        </w:rPr>
        <w:fldChar w:fldCharType="separate"/>
      </w:r>
      <w:r>
        <w:rPr>
          <w:rFonts w:hint="eastAsia" w:ascii="宋体" w:hAnsi="宋体" w:eastAsia="宋体" w:cs="宋体"/>
          <w:sz w:val="21"/>
          <w:szCs w:val="21"/>
        </w:rPr>
        <w:fldChar w:fldCharType="end"/>
      </w:r>
      <w:r>
        <w:rPr>
          <w:rFonts w:hint="eastAsia" w:ascii="宋体" w:hAnsi="宋体" w:eastAsia="宋体" w:cs="宋体"/>
          <w:sz w:val="21"/>
          <w:szCs w:val="21"/>
        </w:rPr>
        <w:t>。与此同时，储能、虚拟电厂等新型经营主体的准入和结算机制正在加速建立</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"https://gbdy.ndrc.gov.cn/gbdyzcjd/202504/t20250429_1397490.html" \t "https://chat.deepseek.com/a/chat/s/_blank" </w:instrText>
      </w:r>
      <w:r>
        <w:rPr>
          <w:rFonts w:hint="eastAsia" w:ascii="宋体" w:hAnsi="宋体" w:eastAsia="宋体" w:cs="宋体"/>
          <w:sz w:val="21"/>
          <w:szCs w:val="21"/>
        </w:rPr>
        <w:fldChar w:fldCharType="separate"/>
      </w:r>
      <w:r>
        <w:rPr>
          <w:rFonts w:hint="eastAsia" w:ascii="宋体" w:hAnsi="宋体" w:eastAsia="宋体" w:cs="宋体"/>
          <w:sz w:val="21"/>
          <w:szCs w:val="21"/>
        </w:rPr>
        <w:fldChar w:fldCharType="end"/>
      </w:r>
      <w:r>
        <w:rPr>
          <w:rFonts w:hint="eastAsia" w:ascii="宋体" w:hAnsi="宋体" w:eastAsia="宋体" w:cs="宋体"/>
          <w:sz w:val="21"/>
          <w:szCs w:val="21"/>
        </w:rPr>
        <w:t>。</w:t>
      </w:r>
    </w:p>
    <w:p w14:paraId="2E8F96F4">
      <w:pPr>
        <w:bidi w:val="0"/>
        <w:spacing w:line="360" w:lineRule="auto"/>
        <w:rPr>
          <w:rFonts w:hint="eastAsia" w:ascii="宋体" w:hAnsi="宋体" w:eastAsia="宋体" w:cs="宋体"/>
          <w:sz w:val="21"/>
          <w:szCs w:val="21"/>
        </w:rPr>
      </w:pPr>
      <w:r>
        <w:rPr>
          <w:rFonts w:hint="eastAsia" w:ascii="宋体" w:hAnsi="宋体" w:eastAsia="宋体" w:cs="宋体"/>
          <w:sz w:val="21"/>
          <w:szCs w:val="21"/>
        </w:rPr>
        <w:t>在这一背景下，VPP参与市场交易面临的核心挑战在于：如何在高不确定性的环境中做出最优决策。这种不确定性来自两个层面——一是可再生能源出力预测的不确定性，二是电力用户响应行为的不确定性（即用户的“有限理性”）。本项目正是围绕这一核心问题展开研究。</w:t>
      </w:r>
    </w:p>
    <w:p w14:paraId="30E593C7">
      <w:pPr>
        <w:bidi w:val="0"/>
        <w:spacing w:line="360" w:lineRule="auto"/>
        <w:rPr>
          <w:rFonts w:hint="eastAsia" w:ascii="宋体" w:hAnsi="宋体" w:eastAsia="宋体" w:cs="宋体"/>
          <w:b/>
          <w:bCs/>
          <w:sz w:val="22"/>
          <w:szCs w:val="22"/>
        </w:rPr>
      </w:pPr>
      <w:r>
        <w:rPr>
          <w:rFonts w:hint="eastAsia" w:ascii="宋体" w:hAnsi="宋体" w:eastAsia="宋体" w:cs="宋体"/>
          <w:b/>
          <w:bCs/>
          <w:sz w:val="22"/>
          <w:szCs w:val="22"/>
        </w:rPr>
        <w:t>1.2 核心政策依据</w:t>
      </w:r>
    </w:p>
    <w:p w14:paraId="173619A1">
      <w:pPr>
        <w:bidi w:val="0"/>
        <w:spacing w:line="360" w:lineRule="auto"/>
        <w:rPr>
          <w:rFonts w:hint="eastAsia" w:ascii="宋体" w:hAnsi="宋体" w:eastAsia="宋体" w:cs="宋体"/>
          <w:sz w:val="21"/>
          <w:szCs w:val="21"/>
        </w:rPr>
      </w:pPr>
      <w:r>
        <w:rPr>
          <w:rFonts w:hint="eastAsia" w:ascii="宋体" w:hAnsi="宋体" w:eastAsia="宋体" w:cs="宋体"/>
          <w:sz w:val="21"/>
          <w:szCs w:val="21"/>
        </w:rPr>
        <w:t>本项目的研究设计紧密围绕以下政策框架展开：</w:t>
      </w:r>
    </w:p>
    <w:p w14:paraId="2558D02E">
      <w:pPr>
        <w:bidi w:val="0"/>
        <w:spacing w:line="360" w:lineRule="auto"/>
        <w:rPr>
          <w:rFonts w:hint="eastAsia" w:ascii="宋体" w:hAnsi="宋体" w:eastAsia="宋体" w:cs="宋体"/>
          <w:b/>
          <w:bCs/>
          <w:sz w:val="21"/>
          <w:szCs w:val="21"/>
        </w:rPr>
      </w:pPr>
      <w:r>
        <w:rPr>
          <w:rFonts w:hint="eastAsia" w:ascii="宋体" w:hAnsi="宋体" w:eastAsia="宋体" w:cs="宋体"/>
          <w:b/>
          <w:bCs/>
          <w:sz w:val="21"/>
          <w:szCs w:val="21"/>
        </w:rPr>
        <w:t>（1）分时电价与峰谷价差机制</w:t>
      </w:r>
    </w:p>
    <w:p w14:paraId="7EF06553">
      <w:pPr>
        <w:bidi w:val="0"/>
        <w:spacing w:line="360" w:lineRule="auto"/>
        <w:rPr>
          <w:rFonts w:hint="eastAsia" w:ascii="宋体" w:hAnsi="宋体" w:eastAsia="宋体" w:cs="宋体"/>
          <w:sz w:val="21"/>
          <w:szCs w:val="21"/>
        </w:rPr>
      </w:pPr>
      <w:r>
        <w:rPr>
          <w:rFonts w:hint="eastAsia" w:ascii="宋体" w:hAnsi="宋体" w:eastAsia="宋体" w:cs="宋体"/>
          <w:sz w:val="21"/>
          <w:szCs w:val="21"/>
        </w:rPr>
        <w:t>国家发展改革委《关于进一步完善分时电价机制的通知》（发改价格〔2021〕1093号）明确要求，上年或当年预计最大系统峰谷差率超过40%的地方，峰谷电价价差原则上不低于4:1</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"https://www.ndrc.gov.cn/xwdt/tzgg/202107/t20210729_1292068_ext.html" \t "https://chat.deepseek.com/a/chat/s/_blank" </w:instrText>
      </w:r>
      <w:r>
        <w:rPr>
          <w:rFonts w:hint="eastAsia" w:ascii="宋体" w:hAnsi="宋体" w:eastAsia="宋体" w:cs="宋体"/>
          <w:sz w:val="21"/>
          <w:szCs w:val="21"/>
        </w:rPr>
        <w:fldChar w:fldCharType="separate"/>
      </w:r>
      <w:r>
        <w:rPr>
          <w:rFonts w:hint="eastAsia" w:ascii="宋体" w:hAnsi="宋体" w:eastAsia="宋体" w:cs="宋体"/>
          <w:sz w:val="21"/>
          <w:szCs w:val="21"/>
        </w:rPr>
        <w:fldChar w:fldCharType="end"/>
      </w:r>
      <w:r>
        <w:rPr>
          <w:rFonts w:hint="eastAsia" w:ascii="宋体" w:hAnsi="宋体" w:eastAsia="宋体" w:cs="宋体"/>
          <w:sz w:val="21"/>
          <w:szCs w:val="21"/>
        </w:rPr>
        <w:t>；尖峰电价在峰段电价基础上上浮比例原则上不低于20%</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"https://www.ndrc.gov.cn/xwdt/tzgg/202107/t20210729_1292068_ext.html" \t "https://chat.deepseek.com/a/chat/s/_blank" </w:instrText>
      </w:r>
      <w:r>
        <w:rPr>
          <w:rFonts w:hint="eastAsia" w:ascii="宋体" w:hAnsi="宋体" w:eastAsia="宋体" w:cs="宋体"/>
          <w:sz w:val="21"/>
          <w:szCs w:val="21"/>
        </w:rPr>
        <w:fldChar w:fldCharType="separate"/>
      </w:r>
      <w:r>
        <w:rPr>
          <w:rFonts w:hint="eastAsia" w:ascii="宋体" w:hAnsi="宋体" w:eastAsia="宋体" w:cs="宋体"/>
          <w:sz w:val="21"/>
          <w:szCs w:val="21"/>
        </w:rPr>
        <w:fldChar w:fldCharType="end"/>
      </w:r>
      <w:r>
        <w:rPr>
          <w:rFonts w:hint="eastAsia" w:ascii="宋体" w:hAnsi="宋体" w:eastAsia="宋体" w:cs="宋体"/>
          <w:sz w:val="21"/>
          <w:szCs w:val="21"/>
        </w:rPr>
        <w:t>。通知鼓励工商业用户通过配置储能、开展综合能源利用等方式降低高峰时段用电负荷、增加低谷用电量</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"https://www.ndrc.gov.cn/xwdt/tzgg/202107/t20210729_1292068_ext.html" \t "https://chat.deepseek.com/a/chat/s/_blank" </w:instrText>
      </w:r>
      <w:r>
        <w:rPr>
          <w:rFonts w:hint="eastAsia" w:ascii="宋体" w:hAnsi="宋体" w:eastAsia="宋体" w:cs="宋体"/>
          <w:sz w:val="21"/>
          <w:szCs w:val="21"/>
        </w:rPr>
        <w:fldChar w:fldCharType="separate"/>
      </w:r>
      <w:r>
        <w:rPr>
          <w:rFonts w:hint="eastAsia" w:ascii="宋体" w:hAnsi="宋体" w:eastAsia="宋体" w:cs="宋体"/>
          <w:sz w:val="21"/>
          <w:szCs w:val="21"/>
        </w:rPr>
        <w:fldChar w:fldCharType="end"/>
      </w:r>
      <w:r>
        <w:rPr>
          <w:rFonts w:hint="eastAsia" w:ascii="宋体" w:hAnsi="宋体" w:eastAsia="宋体" w:cs="宋体"/>
          <w:sz w:val="21"/>
          <w:szCs w:val="21"/>
        </w:rPr>
        <w:t>。</w:t>
      </w:r>
    </w:p>
    <w:p w14:paraId="6994FCE2">
      <w:pPr>
        <w:bidi w:val="0"/>
        <w:spacing w:line="360" w:lineRule="auto"/>
        <w:rPr>
          <w:rFonts w:hint="eastAsia" w:ascii="宋体" w:hAnsi="宋体" w:eastAsia="宋体" w:cs="宋体"/>
          <w:sz w:val="21"/>
          <w:szCs w:val="21"/>
        </w:rPr>
      </w:pPr>
      <w:r>
        <w:rPr>
          <w:rFonts w:hint="eastAsia" w:ascii="宋体" w:hAnsi="宋体" w:eastAsia="宋体" w:cs="宋体"/>
          <w:sz w:val="21"/>
          <w:szCs w:val="21"/>
        </w:rPr>
        <w:t>广东省在此基础上进一步细化，粤发改价格〔2021〕331号文规定峰平谷比价为1.7:1:0.38，尖峰电价在峰段电价基础上上浮25%，尖峰执行时段为每天11-12时、15-17时</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"https://www.ndrc.gov.cn/xwdt/tzgg/202107/t20210729_1292068_ext.html" \t "https://chat.deepseek.com/a/chat/s/_blank" </w:instrText>
      </w:r>
      <w:r>
        <w:rPr>
          <w:rFonts w:hint="eastAsia" w:ascii="宋体" w:hAnsi="宋体" w:eastAsia="宋体" w:cs="宋体"/>
          <w:sz w:val="21"/>
          <w:szCs w:val="21"/>
        </w:rPr>
        <w:fldChar w:fldCharType="separate"/>
      </w:r>
      <w:r>
        <w:rPr>
          <w:rFonts w:hint="eastAsia" w:ascii="宋体" w:hAnsi="宋体" w:eastAsia="宋体" w:cs="宋体"/>
          <w:sz w:val="21"/>
          <w:szCs w:val="21"/>
        </w:rPr>
        <w:fldChar w:fldCharType="end"/>
      </w:r>
      <w:r>
        <w:rPr>
          <w:rFonts w:hint="eastAsia" w:ascii="宋体" w:hAnsi="宋体" w:eastAsia="宋体" w:cs="宋体"/>
          <w:sz w:val="21"/>
          <w:szCs w:val="21"/>
        </w:rPr>
        <w:t>。这一价差结构为储能峰谷套利和VPP需求响应提供了明确的经济激励。</w:t>
      </w:r>
    </w:p>
    <w:p w14:paraId="743CA59A">
      <w:pPr>
        <w:bidi w:val="0"/>
        <w:spacing w:line="360" w:lineRule="auto"/>
        <w:rPr>
          <w:rFonts w:hint="eastAsia" w:ascii="宋体" w:hAnsi="宋体" w:eastAsia="宋体" w:cs="宋体"/>
          <w:b/>
          <w:bCs/>
          <w:sz w:val="21"/>
          <w:szCs w:val="21"/>
        </w:rPr>
      </w:pPr>
      <w:r>
        <w:rPr>
          <w:rFonts w:hint="eastAsia" w:ascii="宋体" w:hAnsi="宋体" w:eastAsia="宋体" w:cs="宋体"/>
          <w:b/>
          <w:bCs/>
          <w:sz w:val="21"/>
          <w:szCs w:val="21"/>
        </w:rPr>
        <w:t>（2）电力现货市场建设</w:t>
      </w:r>
    </w:p>
    <w:p w14:paraId="7DDD7BE6">
      <w:pPr>
        <w:bidi w:val="0"/>
        <w:spacing w:line="360" w:lineRule="auto"/>
        <w:rPr>
          <w:rFonts w:hint="eastAsia" w:ascii="宋体" w:hAnsi="宋体" w:eastAsia="宋体" w:cs="宋体"/>
          <w:sz w:val="21"/>
          <w:szCs w:val="21"/>
        </w:rPr>
      </w:pPr>
      <w:r>
        <w:rPr>
          <w:rFonts w:hint="eastAsia" w:ascii="宋体" w:hAnsi="宋体" w:eastAsia="宋体" w:cs="宋体"/>
          <w:sz w:val="21"/>
          <w:szCs w:val="21"/>
        </w:rPr>
        <w:t>《关于全面加快电力现货市场建设工作的通知》（发改办体改〔2025〕394号）要求2025年底前实现用户侧主体参与现货市场申报、出清、结算，建立适应储能、虚拟电厂等新型经营主体的准入和结算机制</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"https://gbdy.ndrc.gov.cn/gbdyzcjd/202504/t20250429_1397490.html" \t "https://chat.deepseek.com/a/chat/s/_blank" </w:instrText>
      </w:r>
      <w:r>
        <w:rPr>
          <w:rFonts w:hint="eastAsia" w:ascii="宋体" w:hAnsi="宋体" w:eastAsia="宋体" w:cs="宋体"/>
          <w:sz w:val="21"/>
          <w:szCs w:val="21"/>
        </w:rPr>
        <w:fldChar w:fldCharType="separate"/>
      </w:r>
      <w:r>
        <w:rPr>
          <w:rFonts w:hint="eastAsia" w:ascii="宋体" w:hAnsi="宋体" w:eastAsia="宋体" w:cs="宋体"/>
          <w:sz w:val="21"/>
          <w:szCs w:val="21"/>
        </w:rPr>
        <w:fldChar w:fldCharType="end"/>
      </w:r>
      <w:r>
        <w:rPr>
          <w:rFonts w:hint="eastAsia" w:ascii="宋体" w:hAnsi="宋体" w:eastAsia="宋体" w:cs="宋体"/>
          <w:sz w:val="21"/>
          <w:szCs w:val="21"/>
        </w:rPr>
        <w:t>。南方区域电力现货市场要启动连续结算试运行</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"https://gbdy.ndrc.gov.cn/gbdyzcjd/202504/t20250429_1397490.html" \t "https://chat.deepseek.com/a/chat/s/_blank" </w:instrText>
      </w:r>
      <w:r>
        <w:rPr>
          <w:rFonts w:hint="eastAsia" w:ascii="宋体" w:hAnsi="宋体" w:eastAsia="宋体" w:cs="宋体"/>
          <w:sz w:val="21"/>
          <w:szCs w:val="21"/>
        </w:rPr>
        <w:fldChar w:fldCharType="separate"/>
      </w:r>
      <w:r>
        <w:rPr>
          <w:rFonts w:hint="eastAsia" w:ascii="宋体" w:hAnsi="宋体" w:eastAsia="宋体" w:cs="宋体"/>
          <w:sz w:val="21"/>
          <w:szCs w:val="21"/>
        </w:rPr>
        <w:fldChar w:fldCharType="end"/>
      </w:r>
      <w:r>
        <w:rPr>
          <w:rFonts w:hint="eastAsia" w:ascii="宋体" w:hAnsi="宋体" w:eastAsia="宋体" w:cs="宋体"/>
          <w:sz w:val="21"/>
          <w:szCs w:val="21"/>
        </w:rPr>
        <w:t>。</w:t>
      </w:r>
    </w:p>
    <w:p w14:paraId="6C7AA46E">
      <w:pPr>
        <w:bidi w:val="0"/>
        <w:spacing w:line="360" w:lineRule="auto"/>
        <w:rPr>
          <w:rFonts w:hint="eastAsia" w:ascii="宋体" w:hAnsi="宋体" w:eastAsia="宋体" w:cs="宋体"/>
          <w:b/>
          <w:bCs/>
          <w:sz w:val="21"/>
          <w:szCs w:val="21"/>
        </w:rPr>
      </w:pPr>
      <w:r>
        <w:rPr>
          <w:rFonts w:hint="eastAsia" w:ascii="宋体" w:hAnsi="宋体" w:eastAsia="宋体" w:cs="宋体"/>
          <w:b/>
          <w:bCs/>
          <w:sz w:val="21"/>
          <w:szCs w:val="21"/>
        </w:rPr>
        <w:t>（3）广东电力市场交易规则</w:t>
      </w:r>
    </w:p>
    <w:p w14:paraId="171A548F">
      <w:pPr>
        <w:bidi w:val="0"/>
        <w:spacing w:line="360" w:lineRule="auto"/>
        <w:rPr>
          <w:rFonts w:hint="eastAsia" w:ascii="宋体" w:hAnsi="宋体" w:eastAsia="宋体" w:cs="宋体"/>
          <w:sz w:val="21"/>
          <w:szCs w:val="21"/>
        </w:rPr>
      </w:pPr>
      <w:r>
        <w:rPr>
          <w:rFonts w:hint="eastAsia" w:ascii="宋体" w:hAnsi="宋体" w:eastAsia="宋体" w:cs="宋体"/>
          <w:sz w:val="21"/>
          <w:szCs w:val="21"/>
        </w:rPr>
        <w:t>广东省2025年电力市场交易有关事项通知明确，2025年广东电力市场规模约为6500亿千瓦时</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"http://drc.gd.gov.cn/gdsnyj/gkmlpt/content/4/4582/post_4582746.html" \t "https://chat.deepseek.com/a/chat/s/_blank" </w:instrText>
      </w:r>
      <w:r>
        <w:rPr>
          <w:rFonts w:hint="eastAsia" w:ascii="宋体" w:hAnsi="宋体" w:eastAsia="宋体" w:cs="宋体"/>
          <w:sz w:val="21"/>
          <w:szCs w:val="21"/>
        </w:rPr>
        <w:fldChar w:fldCharType="separate"/>
      </w:r>
      <w:r>
        <w:rPr>
          <w:rFonts w:hint="eastAsia" w:ascii="宋体" w:hAnsi="宋体" w:eastAsia="宋体" w:cs="宋体"/>
          <w:sz w:val="21"/>
          <w:szCs w:val="21"/>
        </w:rPr>
        <w:fldChar w:fldCharType="end"/>
      </w:r>
      <w:r>
        <w:rPr>
          <w:rFonts w:hint="eastAsia" w:ascii="宋体" w:hAnsi="宋体" w:eastAsia="宋体" w:cs="宋体"/>
          <w:sz w:val="21"/>
          <w:szCs w:val="21"/>
        </w:rPr>
        <w:t>。年用电量500万千瓦时及以上的工商业用户原则上直接参与市场交易</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"http://drc.gd.gov.cn/gdsnyj/gkmlpt/content/4/4582/post_4582746.html" \t "https://chat.deepseek.com/a/chat/s/_blank" </w:instrText>
      </w:r>
      <w:r>
        <w:rPr>
          <w:rFonts w:hint="eastAsia" w:ascii="宋体" w:hAnsi="宋体" w:eastAsia="宋体" w:cs="宋体"/>
          <w:sz w:val="21"/>
          <w:szCs w:val="21"/>
        </w:rPr>
        <w:fldChar w:fldCharType="separate"/>
      </w:r>
      <w:r>
        <w:rPr>
          <w:rFonts w:hint="eastAsia" w:ascii="宋体" w:hAnsi="宋体" w:eastAsia="宋体" w:cs="宋体"/>
          <w:sz w:val="21"/>
          <w:szCs w:val="21"/>
        </w:rPr>
        <w:fldChar w:fldCharType="end"/>
      </w:r>
      <w:r>
        <w:rPr>
          <w:rFonts w:hint="eastAsia" w:ascii="宋体" w:hAnsi="宋体" w:eastAsia="宋体" w:cs="宋体"/>
          <w:sz w:val="21"/>
          <w:szCs w:val="21"/>
        </w:rPr>
        <w:t>。零售电费由零售合同电费、输配电费、上网环节线损费用、系统运行费用、政府性基金及附加、其他分摊费用、市场化需求响应费用、尖峰加价电费等组成</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"http://drc.gd.gov.cn/gdsnyj/gkmlpt/content/4/4582/post_4582746.html" \t "https://chat.deepseek.com/a/chat/s/_blank" </w:instrText>
      </w:r>
      <w:r>
        <w:rPr>
          <w:rFonts w:hint="eastAsia" w:ascii="宋体" w:hAnsi="宋体" w:eastAsia="宋体" w:cs="宋体"/>
          <w:sz w:val="21"/>
          <w:szCs w:val="21"/>
        </w:rPr>
        <w:fldChar w:fldCharType="separate"/>
      </w:r>
      <w:r>
        <w:rPr>
          <w:rFonts w:hint="eastAsia" w:ascii="宋体" w:hAnsi="宋体" w:eastAsia="宋体" w:cs="宋体"/>
          <w:sz w:val="21"/>
          <w:szCs w:val="21"/>
        </w:rPr>
        <w:fldChar w:fldCharType="end"/>
      </w:r>
      <w:r>
        <w:rPr>
          <w:rFonts w:hint="eastAsia" w:ascii="宋体" w:hAnsi="宋体" w:eastAsia="宋体" w:cs="宋体"/>
          <w:sz w:val="21"/>
          <w:szCs w:val="21"/>
        </w:rPr>
        <w:t>。</w:t>
      </w:r>
    </w:p>
    <w:p w14:paraId="4B4DD051">
      <w:pPr>
        <w:bidi w:val="0"/>
        <w:spacing w:line="360" w:lineRule="auto"/>
        <w:rPr>
          <w:rFonts w:hint="eastAsia" w:ascii="宋体" w:hAnsi="宋体" w:eastAsia="宋体" w:cs="宋体"/>
          <w:b/>
          <w:bCs/>
          <w:sz w:val="21"/>
          <w:szCs w:val="21"/>
        </w:rPr>
      </w:pPr>
      <w:r>
        <w:rPr>
          <w:rFonts w:hint="eastAsia" w:ascii="宋体" w:hAnsi="宋体" w:eastAsia="宋体" w:cs="宋体"/>
          <w:b/>
          <w:bCs/>
          <w:sz w:val="21"/>
          <w:szCs w:val="21"/>
        </w:rPr>
        <w:t>（4）虚拟电厂实施细则</w:t>
      </w:r>
    </w:p>
    <w:p w14:paraId="564C795B">
      <w:pPr>
        <w:bidi w:val="0"/>
        <w:spacing w:line="360" w:lineRule="auto"/>
        <w:rPr>
          <w:rFonts w:hint="eastAsia" w:ascii="宋体" w:hAnsi="宋体" w:eastAsia="宋体" w:cs="宋体"/>
          <w:sz w:val="21"/>
          <w:szCs w:val="21"/>
        </w:rPr>
      </w:pPr>
      <w:r>
        <w:rPr>
          <w:rFonts w:hint="eastAsia" w:ascii="宋体" w:hAnsi="宋体" w:eastAsia="宋体" w:cs="宋体"/>
          <w:sz w:val="21"/>
          <w:szCs w:val="21"/>
        </w:rPr>
        <w:t>广东电力交易中心发布的《广东虚拟电厂参与电能量交易实施细则（试行）》（广东交易〔2025〕152号）明确，虚拟电厂运营商可代理参与电能量交易、需求响应交易和辅助服务交易</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"https://news.bjx.com.cn/html/20250818/1448744.shtml" \t "https://chat.deepseek.com/a/chat/s/_blank" </w:instrText>
      </w:r>
      <w:r>
        <w:rPr>
          <w:rFonts w:hint="eastAsia" w:ascii="宋体" w:hAnsi="宋体" w:eastAsia="宋体" w:cs="宋体"/>
          <w:sz w:val="21"/>
          <w:szCs w:val="21"/>
        </w:rPr>
        <w:fldChar w:fldCharType="separate"/>
      </w:r>
      <w:r>
        <w:rPr>
          <w:rFonts w:hint="eastAsia" w:ascii="宋体" w:hAnsi="宋体" w:eastAsia="宋体" w:cs="宋体"/>
          <w:sz w:val="21"/>
          <w:szCs w:val="21"/>
        </w:rPr>
        <w:fldChar w:fldCharType="end"/>
      </w:r>
      <w:r>
        <w:rPr>
          <w:rFonts w:hint="eastAsia" w:ascii="宋体" w:hAnsi="宋体" w:eastAsia="宋体" w:cs="宋体"/>
          <w:sz w:val="21"/>
          <w:szCs w:val="21"/>
        </w:rPr>
        <w:t>。负荷类VPP单个交易单元不小于1MW，响应持续时间不低于1小时，直控型响应时间不大于300秒</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"https://www.ndrc.gov.cn/xwdt/tzgg/202107/t20210729_1292068_ext.html" \t "https://chat.deepseek.com/a/chat/s/_blank" </w:instrText>
      </w:r>
      <w:r>
        <w:rPr>
          <w:rFonts w:hint="eastAsia" w:ascii="宋体" w:hAnsi="宋体" w:eastAsia="宋体" w:cs="宋体"/>
          <w:sz w:val="21"/>
          <w:szCs w:val="21"/>
        </w:rPr>
        <w:fldChar w:fldCharType="separate"/>
      </w:r>
      <w:r>
        <w:rPr>
          <w:rFonts w:hint="eastAsia" w:ascii="宋体" w:hAnsi="宋体" w:eastAsia="宋体" w:cs="宋体"/>
          <w:sz w:val="21"/>
          <w:szCs w:val="21"/>
        </w:rPr>
        <w:fldChar w:fldCharType="end"/>
      </w:r>
      <w:r>
        <w:rPr>
          <w:rFonts w:hint="eastAsia" w:ascii="宋体" w:hAnsi="宋体" w:eastAsia="宋体" w:cs="宋体"/>
          <w:sz w:val="21"/>
          <w:szCs w:val="21"/>
        </w:rPr>
        <w:t>。独立储能参与现货市场现阶段采取“报量不报价”方式</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"https://www.ndrc.gov.cn/xwdt/tzgg/202107/t20210729_1292068_ext.html" \t "https://chat.deepseek.com/a/chat/s/_blank" </w:instrText>
      </w:r>
      <w:r>
        <w:rPr>
          <w:rFonts w:hint="eastAsia" w:ascii="宋体" w:hAnsi="宋体" w:eastAsia="宋体" w:cs="宋体"/>
          <w:sz w:val="21"/>
          <w:szCs w:val="21"/>
        </w:rPr>
        <w:fldChar w:fldCharType="separate"/>
      </w:r>
      <w:r>
        <w:rPr>
          <w:rFonts w:hint="eastAsia" w:ascii="宋体" w:hAnsi="宋体" w:eastAsia="宋体" w:cs="宋体"/>
          <w:sz w:val="21"/>
          <w:szCs w:val="21"/>
        </w:rPr>
        <w:fldChar w:fldCharType="end"/>
      </w:r>
      <w:r>
        <w:rPr>
          <w:rFonts w:hint="eastAsia" w:ascii="宋体" w:hAnsi="宋体" w:eastAsia="宋体" w:cs="宋体"/>
          <w:sz w:val="21"/>
          <w:szCs w:val="21"/>
        </w:rPr>
        <w:t>。</w:t>
      </w:r>
    </w:p>
    <w:p w14:paraId="298DE2E1">
      <w:pPr>
        <w:bidi w:val="0"/>
        <w:spacing w:line="360" w:lineRule="auto"/>
        <w:rPr>
          <w:rFonts w:hint="eastAsia" w:ascii="宋体" w:hAnsi="宋体" w:eastAsia="宋体" w:cs="宋体"/>
          <w:sz w:val="21"/>
          <w:szCs w:val="21"/>
        </w:rPr>
      </w:pPr>
      <w:r>
        <w:rPr>
          <w:rFonts w:hint="eastAsia" w:ascii="宋体" w:hAnsi="宋体" w:eastAsia="宋体" w:cs="宋体"/>
          <w:sz w:val="21"/>
          <w:szCs w:val="21"/>
        </w:rPr>
        <w:t>上述政策共同构成了本项目的制度基础：峰谷价差提供了套利空间，现货市场提供了价格信号，VPP细则明确了准入门槛和交易规则。</w:t>
      </w:r>
    </w:p>
    <w:p w14:paraId="12E1C9F5">
      <w:pPr>
        <w:bidi w:val="0"/>
        <w:spacing w:line="360" w:lineRule="auto"/>
        <w:rPr>
          <w:rFonts w:hint="eastAsia" w:ascii="宋体" w:hAnsi="宋体" w:eastAsia="宋体" w:cs="宋体"/>
          <w:b/>
          <w:bCs/>
          <w:sz w:val="24"/>
          <w:szCs w:val="24"/>
        </w:rPr>
      </w:pPr>
      <w:r>
        <w:rPr>
          <w:rFonts w:hint="eastAsia" w:ascii="宋体" w:hAnsi="宋体" w:eastAsia="宋体" w:cs="宋体"/>
          <w:b/>
          <w:bCs/>
          <w:sz w:val="24"/>
          <w:szCs w:val="24"/>
        </w:rPr>
        <w:t>二、技术方案实现原理</w:t>
      </w:r>
    </w:p>
    <w:p w14:paraId="129BFDF8">
      <w:pPr>
        <w:bidi w:val="0"/>
        <w:spacing w:line="360" w:lineRule="auto"/>
        <w:rPr>
          <w:rFonts w:hint="eastAsia" w:ascii="宋体" w:hAnsi="宋体" w:eastAsia="宋体" w:cs="宋体"/>
          <w:sz w:val="21"/>
          <w:szCs w:val="21"/>
        </w:rPr>
      </w:pPr>
      <w:r>
        <w:rPr>
          <w:rFonts w:hint="eastAsia" w:ascii="宋体" w:hAnsi="宋体" w:eastAsia="宋体" w:cs="宋体"/>
          <w:sz w:val="21"/>
          <w:szCs w:val="21"/>
        </w:rPr>
        <w:t>本项目定位为：聚焦虚拟电厂中个体行为不确定性与聚合出力不确定性这一核心问题，构建“行为感知——统计推断——滚动优化”的闭环决策框架。</w:t>
      </w:r>
    </w:p>
    <w:p w14:paraId="0FD7B2D9">
      <w:pPr>
        <w:bidi w:val="0"/>
        <w:spacing w:line="360" w:lineRule="auto"/>
        <w:rPr>
          <w:rFonts w:hint="eastAsia" w:ascii="宋体" w:hAnsi="宋体" w:eastAsia="宋体" w:cs="宋体"/>
          <w:b/>
          <w:bCs/>
          <w:sz w:val="22"/>
          <w:szCs w:val="22"/>
        </w:rPr>
      </w:pPr>
      <w:r>
        <w:rPr>
          <w:rFonts w:hint="eastAsia" w:ascii="宋体" w:hAnsi="宋体" w:eastAsia="宋体" w:cs="宋体"/>
          <w:b/>
          <w:bCs/>
          <w:sz w:val="22"/>
          <w:szCs w:val="22"/>
        </w:rPr>
        <w:t>2.1 整体架构</w:t>
      </w:r>
    </w:p>
    <w:tbl>
      <w:tblPr>
        <w:tblW w:w="75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19"/>
        <w:gridCol w:w="2994"/>
        <w:gridCol w:w="3207"/>
      </w:tblGrid>
      <w:tr w14:paraId="04C005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319" w:type="dxa"/>
            <w:tcBorders>
              <w:top w:val="nil"/>
            </w:tcBorders>
            <w:shd w:val="clear"/>
            <w:tcMar>
              <w:top w:w="100" w:type="dxa"/>
              <w:left w:w="0" w:type="dxa"/>
              <w:bottom w:w="100" w:type="dxa"/>
              <w:right w:w="160" w:type="dxa"/>
            </w:tcMar>
            <w:vAlign w:val="center"/>
          </w:tcPr>
          <w:p w14:paraId="1141F6B9">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模块</w:t>
            </w:r>
          </w:p>
        </w:tc>
        <w:tc>
          <w:tcPr>
            <w:tcW w:w="2994" w:type="dxa"/>
            <w:tcBorders>
              <w:top w:val="nil"/>
            </w:tcBorders>
            <w:shd w:val="clear"/>
            <w:tcMar>
              <w:top w:w="100" w:type="dxa"/>
              <w:left w:w="160" w:type="dxa"/>
              <w:bottom w:w="100" w:type="dxa"/>
              <w:right w:w="160" w:type="dxa"/>
            </w:tcMar>
            <w:vAlign w:val="center"/>
          </w:tcPr>
          <w:p w14:paraId="31DE59EA">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核心技术</w:t>
            </w:r>
          </w:p>
        </w:tc>
        <w:tc>
          <w:tcPr>
            <w:tcW w:w="0" w:type="auto"/>
            <w:tcBorders>
              <w:top w:val="nil"/>
            </w:tcBorders>
            <w:shd w:val="clear"/>
            <w:tcMar>
              <w:top w:w="100" w:type="dxa"/>
              <w:left w:w="160" w:type="dxa"/>
              <w:bottom w:w="100" w:type="dxa"/>
              <w:right w:w="160" w:type="dxa"/>
            </w:tcMar>
            <w:vAlign w:val="center"/>
          </w:tcPr>
          <w:p w14:paraId="14C91C8C">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功能</w:t>
            </w:r>
          </w:p>
        </w:tc>
      </w:tr>
      <w:tr w14:paraId="27D4AE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319" w:type="dxa"/>
            <w:shd w:val="clear"/>
            <w:tcMar>
              <w:top w:w="100" w:type="dxa"/>
              <w:left w:w="0" w:type="dxa"/>
              <w:bottom w:w="100" w:type="dxa"/>
              <w:right w:w="160" w:type="dxa"/>
            </w:tcMar>
            <w:vAlign w:val="center"/>
          </w:tcPr>
          <w:p w14:paraId="03798185">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行为感知层</w:t>
            </w:r>
          </w:p>
        </w:tc>
        <w:tc>
          <w:tcPr>
            <w:tcW w:w="2994" w:type="dxa"/>
            <w:shd w:val="clear"/>
            <w:tcMar>
              <w:top w:w="100" w:type="dxa"/>
              <w:left w:w="160" w:type="dxa"/>
              <w:bottom w:w="100" w:type="dxa"/>
              <w:right w:w="160" w:type="dxa"/>
            </w:tcMar>
            <w:vAlign w:val="center"/>
          </w:tcPr>
          <w:p w14:paraId="225C6D7C">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前景理论（Prospect Theory）</w:t>
            </w:r>
          </w:p>
        </w:tc>
        <w:tc>
          <w:tcPr>
            <w:tcW w:w="0" w:type="auto"/>
            <w:shd w:val="clear"/>
            <w:tcMar>
              <w:top w:w="100" w:type="dxa"/>
              <w:left w:w="160" w:type="dxa"/>
              <w:bottom w:w="100" w:type="dxa"/>
              <w:right w:w="0" w:type="dxa"/>
            </w:tcMar>
            <w:vAlign w:val="center"/>
          </w:tcPr>
          <w:p w14:paraId="4BE8B00A">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建模用户“有限理性”响应行为，量化损失厌恶系数λ等参数</w:t>
            </w:r>
          </w:p>
        </w:tc>
      </w:tr>
      <w:tr w14:paraId="3B2E0D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319" w:type="dxa"/>
            <w:shd w:val="clear"/>
            <w:tcMar>
              <w:top w:w="100" w:type="dxa"/>
              <w:left w:w="0" w:type="dxa"/>
              <w:bottom w:w="100" w:type="dxa"/>
              <w:right w:w="160" w:type="dxa"/>
            </w:tcMar>
            <w:vAlign w:val="center"/>
          </w:tcPr>
          <w:p w14:paraId="3170142E">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不确定性量化层</w:t>
            </w:r>
          </w:p>
        </w:tc>
        <w:tc>
          <w:tcPr>
            <w:tcW w:w="2994" w:type="dxa"/>
            <w:shd w:val="clear"/>
            <w:tcMar>
              <w:top w:w="100" w:type="dxa"/>
              <w:left w:w="160" w:type="dxa"/>
              <w:bottom w:w="100" w:type="dxa"/>
              <w:right w:w="160" w:type="dxa"/>
            </w:tcMar>
            <w:vAlign w:val="center"/>
          </w:tcPr>
          <w:p w14:paraId="49710295">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共形预测（Conformal Prediction）</w:t>
            </w:r>
          </w:p>
        </w:tc>
        <w:tc>
          <w:tcPr>
            <w:tcW w:w="0" w:type="auto"/>
            <w:shd w:val="clear"/>
            <w:tcMar>
              <w:top w:w="100" w:type="dxa"/>
              <w:left w:w="160" w:type="dxa"/>
              <w:bottom w:w="100" w:type="dxa"/>
              <w:right w:w="0" w:type="dxa"/>
            </w:tcMar>
            <w:vAlign w:val="center"/>
          </w:tcPr>
          <w:p w14:paraId="530A7052">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提供聚合出力概率预测区间，免分布假设，有限样本覆盖保证</w:t>
            </w:r>
          </w:p>
        </w:tc>
      </w:tr>
      <w:tr w14:paraId="4E3CC5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319" w:type="dxa"/>
            <w:shd w:val="clear"/>
            <w:tcMar>
              <w:top w:w="100" w:type="dxa"/>
              <w:left w:w="0" w:type="dxa"/>
              <w:bottom w:w="100" w:type="dxa"/>
              <w:right w:w="160" w:type="dxa"/>
            </w:tcMar>
            <w:vAlign w:val="center"/>
          </w:tcPr>
          <w:p w14:paraId="404036D4">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滚动优化层</w:t>
            </w:r>
          </w:p>
        </w:tc>
        <w:tc>
          <w:tcPr>
            <w:tcW w:w="2994" w:type="dxa"/>
            <w:shd w:val="clear"/>
            <w:tcMar>
              <w:top w:w="100" w:type="dxa"/>
              <w:left w:w="160" w:type="dxa"/>
              <w:bottom w:w="100" w:type="dxa"/>
              <w:right w:w="160" w:type="dxa"/>
            </w:tcMar>
            <w:vAlign w:val="center"/>
          </w:tcPr>
          <w:p w14:paraId="1C756E26">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模型预测控制（MPC）+ 混合整数线性规划（MILP）</w:t>
            </w:r>
          </w:p>
        </w:tc>
        <w:tc>
          <w:tcPr>
            <w:tcW w:w="0" w:type="auto"/>
            <w:shd w:val="clear"/>
            <w:tcMar>
              <w:top w:w="100" w:type="dxa"/>
              <w:left w:w="160" w:type="dxa"/>
              <w:bottom w:w="100" w:type="dxa"/>
              <w:right w:w="0" w:type="dxa"/>
            </w:tcMar>
            <w:vAlign w:val="center"/>
          </w:tcPr>
          <w:p w14:paraId="392F4F26">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15分钟级闭环决策，动态求解多市场最优策略</w:t>
            </w:r>
          </w:p>
        </w:tc>
      </w:tr>
    </w:tbl>
    <w:p w14:paraId="65F91791">
      <w:pPr>
        <w:bidi w:val="0"/>
        <w:spacing w:line="360" w:lineRule="auto"/>
        <w:rPr>
          <w:rFonts w:hint="eastAsia" w:ascii="宋体" w:hAnsi="宋体" w:eastAsia="宋体" w:cs="宋体"/>
          <w:b/>
          <w:bCs/>
          <w:sz w:val="22"/>
          <w:szCs w:val="22"/>
        </w:rPr>
      </w:pPr>
      <w:r>
        <w:rPr>
          <w:rFonts w:hint="eastAsia" w:ascii="宋体" w:hAnsi="宋体" w:eastAsia="宋体" w:cs="宋体"/>
          <w:b/>
          <w:bCs/>
          <w:sz w:val="22"/>
          <w:szCs w:val="22"/>
        </w:rPr>
        <w:t>2.2 各模块实现原理</w:t>
      </w:r>
    </w:p>
    <w:p w14:paraId="2825B0BA">
      <w:pPr>
        <w:bidi w:val="0"/>
        <w:spacing w:line="360" w:lineRule="auto"/>
        <w:rPr>
          <w:rFonts w:hint="eastAsia" w:ascii="宋体" w:hAnsi="宋体" w:eastAsia="宋体" w:cs="宋体"/>
          <w:b/>
          <w:bCs/>
          <w:sz w:val="21"/>
          <w:szCs w:val="21"/>
        </w:rPr>
      </w:pPr>
      <w:r>
        <w:rPr>
          <w:rFonts w:hint="eastAsia" w:ascii="宋体" w:hAnsi="宋体" w:eastAsia="宋体" w:cs="宋体"/>
          <w:b/>
          <w:bCs/>
          <w:sz w:val="21"/>
          <w:szCs w:val="21"/>
        </w:rPr>
        <w:t>（1）行为感知层——前景理论建模</w:t>
      </w:r>
    </w:p>
    <w:p w14:paraId="0110D23E">
      <w:pPr>
        <w:bidi w:val="0"/>
        <w:spacing w:line="360" w:lineRule="auto"/>
        <w:rPr>
          <w:rFonts w:hint="eastAsia" w:ascii="宋体" w:hAnsi="宋体" w:eastAsia="宋体" w:cs="宋体"/>
          <w:sz w:val="21"/>
          <w:szCs w:val="21"/>
        </w:rPr>
      </w:pPr>
      <w:r>
        <w:rPr>
          <w:rFonts w:hint="eastAsia" w:ascii="宋体" w:hAnsi="宋体" w:eastAsia="宋体" w:cs="宋体"/>
          <w:sz w:val="21"/>
          <w:szCs w:val="21"/>
        </w:rPr>
        <w:t>核心问题：传统优化框架往往依赖确定性或同质化的用户行为假设，从而高估了可控性、低估了风险。电力用户在面对电价信号时并非完全理性，而是表现出损失厌恶、概率权重扭曲等“有限理性”特征。</w:t>
      </w:r>
    </w:p>
    <w:p w14:paraId="2D1A179E">
      <w:pPr>
        <w:bidi w:val="0"/>
        <w:spacing w:line="360" w:lineRule="auto"/>
        <w:rPr>
          <w:rFonts w:hint="eastAsia" w:ascii="宋体" w:hAnsi="宋体" w:eastAsia="宋体" w:cs="宋体"/>
          <w:sz w:val="21"/>
          <w:szCs w:val="21"/>
        </w:rPr>
      </w:pPr>
      <w:r>
        <w:rPr>
          <w:rFonts w:hint="eastAsia" w:ascii="宋体" w:hAnsi="宋体" w:eastAsia="宋体" w:cs="宋体"/>
          <w:sz w:val="21"/>
          <w:szCs w:val="21"/>
        </w:rPr>
        <w:t>实现方法：前景理论通过三个核心参数刻画用户决策行为——损失厌恶系数λ（反映用户对损失的敏感程度高于收益）、概率权重函数（反映用户对低概率事件的高估和高概率事件的低估）、价值函数曲率（反映边际效用递减）。本项目通过历史负荷数据和电价数据，采用最大似然估计或贝叶斯推断方法拟合这些参数，从而建立用户对电价信号的响应模型。</w:t>
      </w:r>
    </w:p>
    <w:p w14:paraId="3F2D266B">
      <w:pPr>
        <w:bidi w:val="0"/>
        <w:spacing w:line="360" w:lineRule="auto"/>
        <w:rPr>
          <w:rFonts w:hint="eastAsia" w:ascii="宋体" w:hAnsi="宋体" w:eastAsia="宋体" w:cs="宋体"/>
          <w:sz w:val="21"/>
          <w:szCs w:val="21"/>
        </w:rPr>
      </w:pPr>
      <w:r>
        <w:rPr>
          <w:rFonts w:hint="eastAsia" w:ascii="宋体" w:hAnsi="宋体" w:eastAsia="宋体" w:cs="宋体"/>
          <w:sz w:val="21"/>
          <w:szCs w:val="21"/>
        </w:rPr>
        <w:t>国际研究支撑：Lu等人（2025）在Sustainability期刊明确提出基于前景理论的行为感知两阶段随机调度框架</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"https://www.ndrc.gov.cn/xwdt/tzgg/202107/t20210729_1292068_ext.html" \t "https://chat.deepseek.com/a/chat/s/_blank" </w:instrText>
      </w:r>
      <w:r>
        <w:rPr>
          <w:rFonts w:hint="eastAsia" w:ascii="宋体" w:hAnsi="宋体" w:eastAsia="宋体" w:cs="宋体"/>
          <w:sz w:val="21"/>
          <w:szCs w:val="21"/>
        </w:rPr>
        <w:fldChar w:fldCharType="separate"/>
      </w:r>
      <w:r>
        <w:rPr>
          <w:rFonts w:hint="eastAsia" w:ascii="宋体" w:hAnsi="宋体" w:eastAsia="宋体" w:cs="宋体"/>
          <w:sz w:val="21"/>
          <w:szCs w:val="21"/>
        </w:rPr>
        <w:fldChar w:fldCharType="end"/>
      </w:r>
      <w:r>
        <w:rPr>
          <w:rFonts w:hint="eastAsia" w:ascii="宋体" w:hAnsi="宋体" w:eastAsia="宋体" w:cs="宋体"/>
          <w:sz w:val="21"/>
          <w:szCs w:val="21"/>
        </w:rPr>
        <w:t>；Dorahaki等人（2025）将前景理论嵌入多载波能源系统的日前自调度模型，通过动态损失厌恶系数和时间偏好贴现来刻画决策者的非理性行为</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"https://www.ndrc.gov.cn/xwdt/tzgg/202107/t20210729_1292068_ext.html" \t "https://chat.deepseek.com/a/chat/s/_blank" </w:instrText>
      </w:r>
      <w:r>
        <w:rPr>
          <w:rFonts w:hint="eastAsia" w:ascii="宋体" w:hAnsi="宋体" w:eastAsia="宋体" w:cs="宋体"/>
          <w:sz w:val="21"/>
          <w:szCs w:val="21"/>
        </w:rPr>
        <w:fldChar w:fldCharType="separate"/>
      </w:r>
      <w:r>
        <w:rPr>
          <w:rFonts w:hint="eastAsia" w:ascii="宋体" w:hAnsi="宋体" w:eastAsia="宋体" w:cs="宋体"/>
          <w:sz w:val="21"/>
          <w:szCs w:val="21"/>
        </w:rPr>
        <w:fldChar w:fldCharType="end"/>
      </w:r>
      <w:r>
        <w:rPr>
          <w:rFonts w:hint="eastAsia" w:ascii="宋体" w:hAnsi="宋体" w:eastAsia="宋体" w:cs="宋体"/>
          <w:sz w:val="21"/>
          <w:szCs w:val="21"/>
        </w:rPr>
        <w:t>。</w:t>
      </w:r>
    </w:p>
    <w:p w14:paraId="46103A56">
      <w:pPr>
        <w:bidi w:val="0"/>
        <w:spacing w:line="360" w:lineRule="auto"/>
        <w:rPr>
          <w:rFonts w:hint="eastAsia" w:ascii="宋体" w:hAnsi="宋体" w:eastAsia="宋体" w:cs="宋体"/>
          <w:b/>
          <w:bCs/>
          <w:sz w:val="21"/>
          <w:szCs w:val="21"/>
        </w:rPr>
      </w:pPr>
      <w:r>
        <w:rPr>
          <w:rFonts w:hint="eastAsia" w:ascii="宋体" w:hAnsi="宋体" w:eastAsia="宋体" w:cs="宋体"/>
          <w:b/>
          <w:bCs/>
          <w:sz w:val="21"/>
          <w:szCs w:val="21"/>
        </w:rPr>
        <w:t>（2）不确定性量化层——共形预测</w:t>
      </w:r>
    </w:p>
    <w:p w14:paraId="3489ADDE">
      <w:pPr>
        <w:bidi w:val="0"/>
        <w:spacing w:line="360" w:lineRule="auto"/>
        <w:rPr>
          <w:rFonts w:hint="eastAsia" w:ascii="宋体" w:hAnsi="宋体" w:eastAsia="宋体" w:cs="宋体"/>
          <w:sz w:val="21"/>
          <w:szCs w:val="21"/>
        </w:rPr>
      </w:pPr>
      <w:r>
        <w:rPr>
          <w:rFonts w:hint="eastAsia" w:ascii="宋体" w:hAnsi="宋体" w:eastAsia="宋体" w:cs="宋体"/>
          <w:sz w:val="21"/>
          <w:szCs w:val="21"/>
        </w:rPr>
        <w:t>核心问题：VPP聚合的光伏出力和用户负荷存在显著的不确定性，传统点预测无法提供可靠的不确定性度量，而参数化概率预测往往依赖强分布假设。</w:t>
      </w:r>
    </w:p>
    <w:p w14:paraId="7E96769F">
      <w:pPr>
        <w:bidi w:val="0"/>
        <w:spacing w:line="360" w:lineRule="auto"/>
        <w:rPr>
          <w:rFonts w:hint="eastAsia" w:ascii="宋体" w:hAnsi="宋体" w:eastAsia="宋体" w:cs="宋体"/>
          <w:sz w:val="21"/>
          <w:szCs w:val="21"/>
        </w:rPr>
      </w:pPr>
      <w:r>
        <w:rPr>
          <w:rFonts w:hint="eastAsia" w:ascii="宋体" w:hAnsi="宋体" w:eastAsia="宋体" w:cs="宋体"/>
          <w:sz w:val="21"/>
          <w:szCs w:val="21"/>
        </w:rPr>
        <w:t>实现方法：共形预测是一种免分布假设的统计推断框架，能够在有限样本条件下提供具有严格统计保证的预测区间。其核心思想是：基于历史数据计算“非 conformity score”（不一致性得分），然后通过分位数校准构建预测区间，使得真实值以预设的置信水平（如90%）落入区间内。</w:t>
      </w:r>
    </w:p>
    <w:p w14:paraId="3FB0A1BD">
      <w:pPr>
        <w:bidi w:val="0"/>
        <w:spacing w:line="360" w:lineRule="auto"/>
        <w:rPr>
          <w:rFonts w:hint="eastAsia" w:ascii="宋体" w:hAnsi="宋体" w:eastAsia="宋体" w:cs="宋体"/>
          <w:sz w:val="21"/>
          <w:szCs w:val="21"/>
        </w:rPr>
      </w:pPr>
      <w:r>
        <w:rPr>
          <w:rFonts w:hint="eastAsia" w:ascii="宋体" w:hAnsi="宋体" w:eastAsia="宋体" w:cs="宋体"/>
          <w:sz w:val="21"/>
          <w:szCs w:val="21"/>
        </w:rPr>
        <w:t>国际研究支撑：Zhu等人（2026年1月）在Applied Sciences将共形预测应用于电价预测，提出分位数回归与共形校准的混合方法，验证了共形预测在电力预测领域的可行性</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"https://www.ndrc.gov.cn/xwdt/tzgg/202107/t20210729_1292068_ext.html" \t "https://chat.deepseek.com/a/chat/s/_blank" </w:instrText>
      </w:r>
      <w:r>
        <w:rPr>
          <w:rFonts w:hint="eastAsia" w:ascii="宋体" w:hAnsi="宋体" w:eastAsia="宋体" w:cs="宋体"/>
          <w:sz w:val="21"/>
          <w:szCs w:val="21"/>
        </w:rPr>
        <w:fldChar w:fldCharType="separate"/>
      </w:r>
      <w:r>
        <w:rPr>
          <w:rFonts w:hint="eastAsia" w:ascii="宋体" w:hAnsi="宋体" w:eastAsia="宋体" w:cs="宋体"/>
          <w:sz w:val="21"/>
          <w:szCs w:val="21"/>
        </w:rPr>
        <w:fldChar w:fldCharType="end"/>
      </w:r>
      <w:r>
        <w:rPr>
          <w:rFonts w:hint="eastAsia" w:ascii="宋体" w:hAnsi="宋体" w:eastAsia="宋体" w:cs="宋体"/>
          <w:sz w:val="21"/>
          <w:szCs w:val="21"/>
        </w:rPr>
        <w:t>。</w:t>
      </w:r>
    </w:p>
    <w:p w14:paraId="424FCC0B">
      <w:pPr>
        <w:bidi w:val="0"/>
        <w:spacing w:line="360" w:lineRule="auto"/>
        <w:rPr>
          <w:rFonts w:hint="eastAsia" w:ascii="宋体" w:hAnsi="宋体" w:eastAsia="宋体" w:cs="宋体"/>
          <w:sz w:val="21"/>
          <w:szCs w:val="21"/>
        </w:rPr>
      </w:pPr>
      <w:r>
        <w:rPr>
          <w:rFonts w:hint="eastAsia" w:ascii="宋体" w:hAnsi="宋体" w:eastAsia="宋体" w:cs="宋体"/>
          <w:sz w:val="21"/>
          <w:szCs w:val="21"/>
        </w:rPr>
        <w:t>工具验证：unifiedbooster库提供统一接口，支持XGBoost、LightGBM等模型的共形预测。Moudiki（2024）的示例代码显示，在加州房价数据集上覆盖率可达94.86%</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"https://www.ndrc.gov.cn/xwdt/tzgg/202107/t20210729_1292068_ext.html" \t "https://chat.deepseek.com/a/chat/s/_blank" </w:instrText>
      </w:r>
      <w:r>
        <w:rPr>
          <w:rFonts w:hint="eastAsia" w:ascii="宋体" w:hAnsi="宋体" w:eastAsia="宋体" w:cs="宋体"/>
          <w:sz w:val="21"/>
          <w:szCs w:val="21"/>
        </w:rPr>
        <w:fldChar w:fldCharType="separate"/>
      </w:r>
      <w:r>
        <w:rPr>
          <w:rFonts w:hint="eastAsia" w:ascii="宋体" w:hAnsi="宋体" w:eastAsia="宋体" w:cs="宋体"/>
          <w:sz w:val="21"/>
          <w:szCs w:val="21"/>
        </w:rPr>
        <w:fldChar w:fldCharType="end"/>
      </w:r>
      <w:r>
        <w:rPr>
          <w:rFonts w:hint="eastAsia" w:ascii="宋体" w:hAnsi="宋体" w:eastAsia="宋体" w:cs="宋体"/>
          <w:sz w:val="21"/>
          <w:szCs w:val="21"/>
        </w:rPr>
        <w:t>。</w:t>
      </w:r>
    </w:p>
    <w:p w14:paraId="079E00F4">
      <w:pPr>
        <w:bidi w:val="0"/>
        <w:spacing w:line="360" w:lineRule="auto"/>
        <w:rPr>
          <w:rFonts w:hint="eastAsia" w:ascii="宋体" w:hAnsi="宋体" w:eastAsia="宋体" w:cs="宋体"/>
          <w:b/>
          <w:bCs/>
          <w:sz w:val="21"/>
          <w:szCs w:val="21"/>
        </w:rPr>
      </w:pPr>
      <w:r>
        <w:rPr>
          <w:rFonts w:hint="eastAsia" w:ascii="宋体" w:hAnsi="宋体" w:eastAsia="宋体" w:cs="宋体"/>
          <w:b/>
          <w:bCs/>
          <w:sz w:val="21"/>
          <w:szCs w:val="21"/>
        </w:rPr>
        <w:t>（3）滚动优化层——MPC + MILP</w:t>
      </w:r>
    </w:p>
    <w:p w14:paraId="03BE5058">
      <w:pPr>
        <w:bidi w:val="0"/>
        <w:spacing w:line="360" w:lineRule="auto"/>
        <w:rPr>
          <w:rFonts w:hint="eastAsia" w:ascii="宋体" w:hAnsi="宋体" w:eastAsia="宋体" w:cs="宋体"/>
          <w:sz w:val="21"/>
          <w:szCs w:val="21"/>
        </w:rPr>
      </w:pPr>
      <w:r>
        <w:rPr>
          <w:rFonts w:hint="eastAsia" w:ascii="宋体" w:hAnsi="宋体" w:eastAsia="宋体" w:cs="宋体"/>
          <w:sz w:val="21"/>
          <w:szCs w:val="21"/>
        </w:rPr>
        <w:t>核心问题：现货市场电价每15分钟波动一次</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"https://www.ndrc.gov.cn/xwdt/tzgg/202107/t20210729_1292068_ext.html" \t "https://chat.deepseek.com/a/chat/s/_blank" </w:instrText>
      </w:r>
      <w:r>
        <w:rPr>
          <w:rFonts w:hint="eastAsia" w:ascii="宋体" w:hAnsi="宋体" w:eastAsia="宋体" w:cs="宋体"/>
          <w:sz w:val="21"/>
          <w:szCs w:val="21"/>
        </w:rPr>
        <w:fldChar w:fldCharType="separate"/>
      </w:r>
      <w:r>
        <w:rPr>
          <w:rFonts w:hint="eastAsia" w:ascii="宋体" w:hAnsi="宋体" w:eastAsia="宋体" w:cs="宋体"/>
          <w:sz w:val="21"/>
          <w:szCs w:val="21"/>
        </w:rPr>
        <w:fldChar w:fldCharType="end"/>
      </w:r>
      <w:r>
        <w:rPr>
          <w:rFonts w:hint="eastAsia" w:ascii="宋体" w:hAnsi="宋体" w:eastAsia="宋体" w:cs="宋体"/>
          <w:sz w:val="21"/>
          <w:szCs w:val="21"/>
        </w:rPr>
        <w:t>，VPP需要在多市场（中长期、日前、实时、需求响应、辅助服务）之间动态分配资源。</w:t>
      </w:r>
    </w:p>
    <w:p w14:paraId="527084DF">
      <w:pPr>
        <w:bidi w:val="0"/>
        <w:spacing w:line="360" w:lineRule="auto"/>
        <w:rPr>
          <w:rFonts w:hint="eastAsia" w:ascii="宋体" w:hAnsi="宋体" w:eastAsia="宋体" w:cs="宋体"/>
          <w:sz w:val="21"/>
          <w:szCs w:val="21"/>
        </w:rPr>
      </w:pPr>
      <w:r>
        <w:rPr>
          <w:rFonts w:hint="eastAsia" w:ascii="宋体" w:hAnsi="宋体" w:eastAsia="宋体" w:cs="宋体"/>
          <w:sz w:val="21"/>
          <w:szCs w:val="21"/>
        </w:rPr>
        <w:t>实现方法：模型预测控制（MPC）采用滚动时域策略——在每个决策时刻，基于当前状态和未来预测，求解一个有限时域内的最优控制问题，但只执行第一个时段的决策，然后在下一时刻重新优化。混合整数线性规划（MILP）用于处理储能充放电状态、机组启停等离散决策变量。</w:t>
      </w:r>
    </w:p>
    <w:p w14:paraId="469EF780">
      <w:pPr>
        <w:bidi w:val="0"/>
        <w:spacing w:line="360" w:lineRule="auto"/>
        <w:rPr>
          <w:rFonts w:hint="eastAsia" w:ascii="宋体" w:hAnsi="宋体" w:eastAsia="宋体" w:cs="宋体"/>
          <w:sz w:val="21"/>
          <w:szCs w:val="21"/>
        </w:rPr>
      </w:pPr>
      <w:r>
        <w:rPr>
          <w:rFonts w:hint="eastAsia" w:ascii="宋体" w:hAnsi="宋体" w:eastAsia="宋体" w:cs="宋体"/>
          <w:sz w:val="21"/>
          <w:szCs w:val="21"/>
        </w:rPr>
        <w:t>国际研究支撑：Wang等人（2026年2月）在Applied Energy提出基于分布鲁棒模型预测控制（DRMPC）的VPP灵活运行框架，首次区分了静态不确定性（可再生能源预测误差）和动态不确定性（EV充电行为）</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"https://www.ndrc.gov.cn/xwdt/tzgg/202107/t20210729_1292068_ext.html" \t "https://chat.deepseek.com/a/chat/s/_blank" </w:instrText>
      </w:r>
      <w:r>
        <w:rPr>
          <w:rFonts w:hint="eastAsia" w:ascii="宋体" w:hAnsi="宋体" w:eastAsia="宋体" w:cs="宋体"/>
          <w:sz w:val="21"/>
          <w:szCs w:val="21"/>
        </w:rPr>
        <w:fldChar w:fldCharType="separate"/>
      </w:r>
      <w:r>
        <w:rPr>
          <w:rFonts w:hint="eastAsia" w:ascii="宋体" w:hAnsi="宋体" w:eastAsia="宋体" w:cs="宋体"/>
          <w:sz w:val="21"/>
          <w:szCs w:val="21"/>
        </w:rPr>
        <w:fldChar w:fldCharType="end"/>
      </w:r>
      <w:r>
        <w:rPr>
          <w:rFonts w:hint="eastAsia" w:ascii="宋体" w:hAnsi="宋体" w:eastAsia="宋体" w:cs="宋体"/>
          <w:sz w:val="21"/>
          <w:szCs w:val="21"/>
        </w:rPr>
        <w:t>。</w:t>
      </w:r>
    </w:p>
    <w:p w14:paraId="5A202483">
      <w:pPr>
        <w:bidi w:val="0"/>
        <w:spacing w:line="360" w:lineRule="auto"/>
        <w:rPr>
          <w:rFonts w:hint="eastAsia" w:ascii="宋体" w:hAnsi="宋体" w:eastAsia="宋体" w:cs="宋体"/>
          <w:b/>
          <w:bCs/>
          <w:sz w:val="22"/>
          <w:szCs w:val="22"/>
        </w:rPr>
      </w:pPr>
      <w:r>
        <w:rPr>
          <w:rFonts w:hint="eastAsia" w:ascii="宋体" w:hAnsi="宋体" w:eastAsia="宋体" w:cs="宋体"/>
          <w:b/>
          <w:bCs/>
          <w:sz w:val="22"/>
          <w:szCs w:val="22"/>
        </w:rPr>
        <w:t>2.3 技术方案与政策场景的匹配</w:t>
      </w:r>
    </w:p>
    <w:tbl>
      <w:tblPr>
        <w:tblW w:w="75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88"/>
        <w:gridCol w:w="2911"/>
        <w:gridCol w:w="2521"/>
      </w:tblGrid>
      <w:tr w14:paraId="2BA5BC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088" w:type="dxa"/>
            <w:tcBorders>
              <w:top w:val="nil"/>
            </w:tcBorders>
            <w:shd w:val="clear"/>
            <w:tcMar>
              <w:top w:w="100" w:type="dxa"/>
              <w:left w:w="0" w:type="dxa"/>
              <w:bottom w:w="100" w:type="dxa"/>
              <w:right w:w="160" w:type="dxa"/>
            </w:tcMar>
            <w:vAlign w:val="center"/>
          </w:tcPr>
          <w:p w14:paraId="735DA822">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政策环境</w:t>
            </w:r>
          </w:p>
        </w:tc>
        <w:tc>
          <w:tcPr>
            <w:tcW w:w="2911" w:type="dxa"/>
            <w:tcBorders>
              <w:top w:val="nil"/>
            </w:tcBorders>
            <w:shd w:val="clear"/>
            <w:tcMar>
              <w:top w:w="100" w:type="dxa"/>
              <w:left w:w="160" w:type="dxa"/>
              <w:bottom w:w="100" w:type="dxa"/>
              <w:right w:w="160" w:type="dxa"/>
            </w:tcMar>
            <w:vAlign w:val="center"/>
          </w:tcPr>
          <w:p w14:paraId="4CFA3C76">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业务挑战</w:t>
            </w:r>
          </w:p>
        </w:tc>
        <w:tc>
          <w:tcPr>
            <w:tcW w:w="2521" w:type="dxa"/>
            <w:tcBorders>
              <w:top w:val="nil"/>
            </w:tcBorders>
            <w:shd w:val="clear"/>
            <w:tcMar>
              <w:top w:w="100" w:type="dxa"/>
              <w:left w:w="160" w:type="dxa"/>
              <w:bottom w:w="100" w:type="dxa"/>
              <w:right w:w="160" w:type="dxa"/>
            </w:tcMar>
            <w:vAlign w:val="center"/>
          </w:tcPr>
          <w:p w14:paraId="7852A820">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方案应对</w:t>
            </w:r>
          </w:p>
        </w:tc>
      </w:tr>
      <w:tr w14:paraId="63A885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088" w:type="dxa"/>
            <w:shd w:val="clear"/>
            <w:tcMar>
              <w:top w:w="100" w:type="dxa"/>
              <w:left w:w="0" w:type="dxa"/>
              <w:bottom w:w="100" w:type="dxa"/>
              <w:right w:w="160" w:type="dxa"/>
            </w:tcMar>
            <w:vAlign w:val="center"/>
          </w:tcPr>
          <w:p w14:paraId="57546D99">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电力现货市场连续结算试运行</w:t>
            </w:r>
          </w:p>
        </w:tc>
        <w:tc>
          <w:tcPr>
            <w:tcW w:w="2911" w:type="dxa"/>
            <w:shd w:val="clear"/>
            <w:tcMar>
              <w:top w:w="100" w:type="dxa"/>
              <w:left w:w="160" w:type="dxa"/>
              <w:bottom w:w="100" w:type="dxa"/>
              <w:right w:w="160" w:type="dxa"/>
            </w:tcMar>
            <w:vAlign w:val="center"/>
          </w:tcPr>
          <w:p w14:paraId="52B3B0C9">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电价每15分钟波动</w:t>
            </w:r>
          </w:p>
        </w:tc>
        <w:tc>
          <w:tcPr>
            <w:tcW w:w="2521" w:type="dxa"/>
            <w:shd w:val="clear"/>
            <w:tcMar>
              <w:top w:w="100" w:type="dxa"/>
              <w:left w:w="160" w:type="dxa"/>
              <w:bottom w:w="100" w:type="dxa"/>
              <w:right w:w="0" w:type="dxa"/>
            </w:tcMar>
            <w:vAlign w:val="center"/>
          </w:tcPr>
          <w:p w14:paraId="0A4AC50D">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MPC滚动优化动态求解最优策略</w:t>
            </w:r>
          </w:p>
        </w:tc>
      </w:tr>
      <w:tr w14:paraId="2F442A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088" w:type="dxa"/>
            <w:shd w:val="clear"/>
            <w:tcMar>
              <w:top w:w="100" w:type="dxa"/>
              <w:left w:w="0" w:type="dxa"/>
              <w:bottom w:w="100" w:type="dxa"/>
              <w:right w:w="160" w:type="dxa"/>
            </w:tcMar>
            <w:vAlign w:val="center"/>
          </w:tcPr>
          <w:p w14:paraId="675687BB">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虚拟电厂聚合储能参与交易</w:t>
            </w:r>
          </w:p>
        </w:tc>
        <w:tc>
          <w:tcPr>
            <w:tcW w:w="2911" w:type="dxa"/>
            <w:shd w:val="clear"/>
            <w:tcMar>
              <w:top w:w="100" w:type="dxa"/>
              <w:left w:w="160" w:type="dxa"/>
              <w:bottom w:w="100" w:type="dxa"/>
              <w:right w:w="160" w:type="dxa"/>
            </w:tcMar>
            <w:vAlign w:val="center"/>
          </w:tcPr>
          <w:p w14:paraId="3C105A98">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聚合出力预测存在</w:t>
            </w:r>
            <w:bookmarkStart w:id="0" w:name="_GoBack"/>
            <w:bookmarkEnd w:id="0"/>
            <w:r>
              <w:rPr>
                <w:rFonts w:hint="eastAsia" w:ascii="宋体" w:hAnsi="宋体" w:eastAsia="宋体" w:cs="宋体"/>
                <w:sz w:val="21"/>
                <w:szCs w:val="21"/>
                <w:lang w:val="en-US" w:eastAsia="zh-CN"/>
              </w:rPr>
              <w:t>不确定性</w:t>
            </w:r>
          </w:p>
        </w:tc>
        <w:tc>
          <w:tcPr>
            <w:tcW w:w="2521" w:type="dxa"/>
            <w:shd w:val="clear"/>
            <w:tcMar>
              <w:top w:w="100" w:type="dxa"/>
              <w:left w:w="160" w:type="dxa"/>
              <w:bottom w:w="100" w:type="dxa"/>
              <w:right w:w="0" w:type="dxa"/>
            </w:tcMar>
            <w:vAlign w:val="center"/>
          </w:tcPr>
          <w:p w14:paraId="04851F62">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共形预测量化预测区间</w:t>
            </w:r>
          </w:p>
        </w:tc>
      </w:tr>
      <w:tr w14:paraId="6860B5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088" w:type="dxa"/>
            <w:shd w:val="clear"/>
            <w:tcMar>
              <w:top w:w="100" w:type="dxa"/>
              <w:left w:w="0" w:type="dxa"/>
              <w:bottom w:w="100" w:type="dxa"/>
              <w:right w:w="160" w:type="dxa"/>
            </w:tcMar>
            <w:vAlign w:val="center"/>
          </w:tcPr>
          <w:p w14:paraId="4D9306A9">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工商业用户全面入市</w:t>
            </w:r>
          </w:p>
        </w:tc>
        <w:tc>
          <w:tcPr>
            <w:tcW w:w="2911" w:type="dxa"/>
            <w:shd w:val="clear"/>
            <w:tcMar>
              <w:top w:w="100" w:type="dxa"/>
              <w:left w:w="160" w:type="dxa"/>
              <w:bottom w:w="100" w:type="dxa"/>
              <w:right w:w="160" w:type="dxa"/>
            </w:tcMar>
            <w:vAlign w:val="center"/>
          </w:tcPr>
          <w:p w14:paraId="27E9E752">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用户响应行为“有限理性”</w:t>
            </w:r>
          </w:p>
        </w:tc>
        <w:tc>
          <w:tcPr>
            <w:tcW w:w="2521" w:type="dxa"/>
            <w:shd w:val="clear"/>
            <w:tcMar>
              <w:top w:w="100" w:type="dxa"/>
              <w:left w:w="160" w:type="dxa"/>
              <w:bottom w:w="100" w:type="dxa"/>
              <w:right w:w="0" w:type="dxa"/>
            </w:tcMar>
            <w:vAlign w:val="center"/>
          </w:tcPr>
          <w:p w14:paraId="1D0196F9">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前景理论建模心理偏差</w:t>
            </w:r>
          </w:p>
        </w:tc>
      </w:tr>
    </w:tbl>
    <w:p w14:paraId="68AB03CC">
      <w:pPr>
        <w:bidi w:val="0"/>
        <w:spacing w:line="360" w:lineRule="auto"/>
        <w:rPr>
          <w:rFonts w:hint="eastAsia" w:ascii="宋体" w:hAnsi="宋体" w:eastAsia="宋体" w:cs="宋体"/>
          <w:b/>
          <w:bCs/>
          <w:sz w:val="22"/>
          <w:szCs w:val="22"/>
        </w:rPr>
      </w:pPr>
      <w:r>
        <w:rPr>
          <w:rFonts w:hint="eastAsia" w:ascii="宋体" w:hAnsi="宋体" w:eastAsia="宋体" w:cs="宋体"/>
          <w:b/>
          <w:bCs/>
          <w:sz w:val="22"/>
          <w:szCs w:val="22"/>
        </w:rPr>
        <w:t>2.4 差异化创新点</w:t>
      </w:r>
    </w:p>
    <w:p w14:paraId="458599BF">
      <w:pPr>
        <w:bidi w:val="0"/>
        <w:spacing w:line="360" w:lineRule="auto"/>
        <w:rPr>
          <w:rFonts w:hint="eastAsia" w:ascii="宋体" w:hAnsi="宋体" w:eastAsia="宋体" w:cs="宋体"/>
          <w:sz w:val="21"/>
          <w:szCs w:val="21"/>
        </w:rPr>
      </w:pPr>
      <w:r>
        <w:rPr>
          <w:rFonts w:hint="eastAsia" w:ascii="宋体" w:hAnsi="宋体" w:eastAsia="宋体" w:cs="宋体"/>
          <w:sz w:val="21"/>
          <w:szCs w:val="21"/>
        </w:rPr>
        <w:t>通过文献调研可以发现：将共形预测引入VPP聚合出力不确定性量化，并与前景理论行为建模结合，在已有文献中尚未见到类似研究</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"https://www.ndrc.gov.cn/xwdt/tzgg/202107/t20210729_1292068_ext.html" \t "https://chat.deepseek.com/a/chat/s/_blank" </w:instrText>
      </w:r>
      <w:r>
        <w:rPr>
          <w:rFonts w:hint="eastAsia" w:ascii="宋体" w:hAnsi="宋体" w:eastAsia="宋体" w:cs="宋体"/>
          <w:sz w:val="21"/>
          <w:szCs w:val="21"/>
        </w:rPr>
        <w:fldChar w:fldCharType="separate"/>
      </w:r>
      <w:r>
        <w:rPr>
          <w:rFonts w:hint="eastAsia" w:ascii="宋体" w:hAnsi="宋体" w:eastAsia="宋体" w:cs="宋体"/>
          <w:sz w:val="21"/>
          <w:szCs w:val="21"/>
        </w:rPr>
        <w:fldChar w:fldCharType="end"/>
      </w:r>
      <w:r>
        <w:rPr>
          <w:rFonts w:hint="eastAsia" w:ascii="宋体" w:hAnsi="宋体" w:eastAsia="宋体" w:cs="宋体"/>
          <w:sz w:val="21"/>
          <w:szCs w:val="21"/>
        </w:rPr>
        <w:t>。这是本项目可以形成差异化创新的核心空间。</w:t>
      </w:r>
    </w:p>
    <w:p w14:paraId="07322962">
      <w:pPr>
        <w:bidi w:val="0"/>
        <w:spacing w:line="360" w:lineRule="auto"/>
        <w:rPr>
          <w:rFonts w:hint="eastAsia" w:ascii="宋体" w:hAnsi="宋体" w:eastAsia="宋体" w:cs="宋体"/>
          <w:b/>
          <w:bCs/>
          <w:sz w:val="24"/>
          <w:szCs w:val="24"/>
        </w:rPr>
      </w:pPr>
      <w:r>
        <w:rPr>
          <w:rFonts w:hint="eastAsia" w:ascii="宋体" w:hAnsi="宋体" w:eastAsia="宋体" w:cs="宋体"/>
          <w:b/>
          <w:bCs/>
          <w:sz w:val="24"/>
          <w:szCs w:val="24"/>
        </w:rPr>
        <w:t>三、所需条件</w:t>
      </w:r>
    </w:p>
    <w:p w14:paraId="1A66D96F">
      <w:pPr>
        <w:bidi w:val="0"/>
        <w:spacing w:line="360" w:lineRule="auto"/>
        <w:rPr>
          <w:rFonts w:hint="eastAsia" w:ascii="宋体" w:hAnsi="宋体" w:eastAsia="宋体" w:cs="宋体"/>
          <w:b/>
          <w:bCs/>
          <w:sz w:val="22"/>
          <w:szCs w:val="22"/>
        </w:rPr>
      </w:pPr>
      <w:r>
        <w:rPr>
          <w:rFonts w:hint="eastAsia" w:ascii="宋体" w:hAnsi="宋体" w:eastAsia="宋体" w:cs="宋体"/>
          <w:b/>
          <w:bCs/>
          <w:sz w:val="22"/>
          <w:szCs w:val="22"/>
        </w:rPr>
        <w:t>3.1 工具与软件</w:t>
      </w:r>
    </w:p>
    <w:p w14:paraId="304E3CE1">
      <w:pPr>
        <w:bidi w:val="0"/>
        <w:spacing w:line="360" w:lineRule="auto"/>
        <w:rPr>
          <w:rFonts w:hint="eastAsia" w:ascii="宋体" w:hAnsi="宋体" w:eastAsia="宋体" w:cs="宋体"/>
          <w:sz w:val="21"/>
          <w:szCs w:val="21"/>
        </w:rPr>
      </w:pPr>
      <w:r>
        <w:rPr>
          <w:rFonts w:hint="eastAsia" w:ascii="宋体" w:hAnsi="宋体" w:eastAsia="宋体" w:cs="宋体"/>
          <w:sz w:val="21"/>
          <w:szCs w:val="21"/>
        </w:rPr>
        <w:t>所有工具均为开源或免费：</w:t>
      </w:r>
    </w:p>
    <w:tbl>
      <w:tblPr>
        <w:tblW w:w="75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81"/>
        <w:gridCol w:w="5039"/>
      </w:tblGrid>
      <w:tr w14:paraId="1D8CCA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1A28B376">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工具</w:t>
            </w:r>
          </w:p>
        </w:tc>
        <w:tc>
          <w:tcPr>
            <w:tcW w:w="0" w:type="auto"/>
            <w:tcBorders>
              <w:top w:val="nil"/>
            </w:tcBorders>
            <w:shd w:val="clear"/>
            <w:tcMar>
              <w:top w:w="100" w:type="dxa"/>
              <w:left w:w="160" w:type="dxa"/>
              <w:bottom w:w="100" w:type="dxa"/>
              <w:right w:w="160" w:type="dxa"/>
            </w:tcMar>
            <w:vAlign w:val="center"/>
          </w:tcPr>
          <w:p w14:paraId="3A5D7064">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用途</w:t>
            </w:r>
          </w:p>
        </w:tc>
      </w:tr>
      <w:tr w14:paraId="6ECCD4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9701D82">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Python 3.9</w:t>
            </w:r>
          </w:p>
        </w:tc>
        <w:tc>
          <w:tcPr>
            <w:tcW w:w="0" w:type="auto"/>
            <w:shd w:val="clear"/>
            <w:tcMar>
              <w:top w:w="100" w:type="dxa"/>
              <w:left w:w="160" w:type="dxa"/>
              <w:bottom w:w="100" w:type="dxa"/>
              <w:right w:w="0" w:type="dxa"/>
            </w:tcMar>
            <w:vAlign w:val="center"/>
          </w:tcPr>
          <w:p w14:paraId="0C925047">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主开发语言</w:t>
            </w:r>
          </w:p>
        </w:tc>
      </w:tr>
      <w:tr w14:paraId="2ABC06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D8A38EE">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pandas / numpy</w:t>
            </w:r>
          </w:p>
        </w:tc>
        <w:tc>
          <w:tcPr>
            <w:tcW w:w="0" w:type="auto"/>
            <w:shd w:val="clear"/>
            <w:tcMar>
              <w:top w:w="100" w:type="dxa"/>
              <w:left w:w="160" w:type="dxa"/>
              <w:bottom w:w="100" w:type="dxa"/>
              <w:right w:w="0" w:type="dxa"/>
            </w:tcMar>
            <w:vAlign w:val="center"/>
          </w:tcPr>
          <w:p w14:paraId="6C37DF9B">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数据处理</w:t>
            </w:r>
          </w:p>
        </w:tc>
      </w:tr>
      <w:tr w14:paraId="617A20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9AD19C8">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xgboost</w:t>
            </w:r>
          </w:p>
        </w:tc>
        <w:tc>
          <w:tcPr>
            <w:tcW w:w="0" w:type="auto"/>
            <w:shd w:val="clear"/>
            <w:tcMar>
              <w:top w:w="100" w:type="dxa"/>
              <w:left w:w="160" w:type="dxa"/>
              <w:bottom w:w="100" w:type="dxa"/>
              <w:right w:w="0" w:type="dxa"/>
            </w:tcMar>
            <w:vAlign w:val="center"/>
          </w:tcPr>
          <w:p w14:paraId="4CD68F6D">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预测模型（光伏出力、负荷预测）</w:t>
            </w:r>
          </w:p>
        </w:tc>
      </w:tr>
      <w:tr w14:paraId="529335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8DCDC44">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unifiedbooster</w:t>
            </w:r>
          </w:p>
        </w:tc>
        <w:tc>
          <w:tcPr>
            <w:tcW w:w="0" w:type="auto"/>
            <w:shd w:val="clear"/>
            <w:tcMar>
              <w:top w:w="100" w:type="dxa"/>
              <w:left w:w="160" w:type="dxa"/>
              <w:bottom w:w="100" w:type="dxa"/>
              <w:right w:w="0" w:type="dxa"/>
            </w:tcMar>
            <w:vAlign w:val="center"/>
          </w:tcPr>
          <w:p w14:paraId="56DDB2C3">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共形预测（不确定性量化）</w:t>
            </w:r>
          </w:p>
        </w:tc>
      </w:tr>
      <w:tr w14:paraId="5CDA1A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356C7FA">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pulp</w:t>
            </w:r>
          </w:p>
        </w:tc>
        <w:tc>
          <w:tcPr>
            <w:tcW w:w="0" w:type="auto"/>
            <w:shd w:val="clear"/>
            <w:tcMar>
              <w:top w:w="100" w:type="dxa"/>
              <w:left w:w="160" w:type="dxa"/>
              <w:bottom w:w="100" w:type="dxa"/>
              <w:right w:w="0" w:type="dxa"/>
            </w:tcMar>
            <w:vAlign w:val="center"/>
          </w:tcPr>
          <w:p w14:paraId="5802472E">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优化建模（MILP求解）</w:t>
            </w:r>
          </w:p>
        </w:tc>
      </w:tr>
      <w:tr w14:paraId="62DA9E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2494C20">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streamlit</w:t>
            </w:r>
          </w:p>
        </w:tc>
        <w:tc>
          <w:tcPr>
            <w:tcW w:w="0" w:type="auto"/>
            <w:shd w:val="clear"/>
            <w:tcMar>
              <w:top w:w="100" w:type="dxa"/>
              <w:left w:w="160" w:type="dxa"/>
              <w:bottom w:w="100" w:type="dxa"/>
              <w:right w:w="0" w:type="dxa"/>
            </w:tcMar>
            <w:vAlign w:val="center"/>
          </w:tcPr>
          <w:p w14:paraId="4362242C">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结果可视化</w:t>
            </w:r>
          </w:p>
        </w:tc>
      </w:tr>
    </w:tbl>
    <w:p w14:paraId="406B7080">
      <w:pPr>
        <w:bidi w:val="0"/>
        <w:spacing w:line="360" w:lineRule="auto"/>
        <w:rPr>
          <w:rFonts w:hint="eastAsia" w:ascii="宋体" w:hAnsi="宋体" w:eastAsia="宋体" w:cs="宋体"/>
          <w:b/>
          <w:bCs/>
          <w:sz w:val="22"/>
          <w:szCs w:val="22"/>
        </w:rPr>
      </w:pPr>
      <w:r>
        <w:rPr>
          <w:rFonts w:hint="eastAsia" w:ascii="宋体" w:hAnsi="宋体" w:eastAsia="宋体" w:cs="宋体"/>
          <w:b/>
          <w:bCs/>
          <w:sz w:val="22"/>
          <w:szCs w:val="22"/>
        </w:rPr>
        <w:t>3.2 数据要求</w:t>
      </w:r>
    </w:p>
    <w:p w14:paraId="731DF3C6">
      <w:pPr>
        <w:bidi w:val="0"/>
        <w:spacing w:line="360" w:lineRule="auto"/>
        <w:rPr>
          <w:rFonts w:hint="eastAsia" w:ascii="宋体" w:hAnsi="宋体" w:eastAsia="宋体" w:cs="宋体"/>
          <w:sz w:val="21"/>
          <w:szCs w:val="21"/>
        </w:rPr>
      </w:pPr>
      <w:r>
        <w:rPr>
          <w:rFonts w:hint="eastAsia" w:ascii="宋体" w:hAnsi="宋体" w:eastAsia="宋体" w:cs="宋体"/>
          <w:sz w:val="21"/>
          <w:szCs w:val="21"/>
        </w:rPr>
        <w:t>本项目所需数据分为四类，均已准备完毕（详见第四部分）：</w:t>
      </w:r>
    </w:p>
    <w:tbl>
      <w:tblPr>
        <w:tblW w:w="75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29"/>
        <w:gridCol w:w="2390"/>
        <w:gridCol w:w="3601"/>
      </w:tblGrid>
      <w:tr w14:paraId="5A025D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529" w:type="dxa"/>
            <w:tcBorders>
              <w:top w:val="nil"/>
            </w:tcBorders>
            <w:shd w:val="clear"/>
            <w:tcMar>
              <w:top w:w="100" w:type="dxa"/>
              <w:left w:w="0" w:type="dxa"/>
              <w:bottom w:w="100" w:type="dxa"/>
              <w:right w:w="160" w:type="dxa"/>
            </w:tcMar>
            <w:vAlign w:val="center"/>
          </w:tcPr>
          <w:p w14:paraId="1D08E7A4">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数据类型</w:t>
            </w:r>
          </w:p>
        </w:tc>
        <w:tc>
          <w:tcPr>
            <w:tcW w:w="2390" w:type="dxa"/>
            <w:tcBorders>
              <w:top w:val="nil"/>
            </w:tcBorders>
            <w:shd w:val="clear"/>
            <w:tcMar>
              <w:top w:w="100" w:type="dxa"/>
              <w:left w:w="160" w:type="dxa"/>
              <w:bottom w:w="100" w:type="dxa"/>
              <w:right w:w="160" w:type="dxa"/>
            </w:tcMar>
            <w:vAlign w:val="center"/>
          </w:tcPr>
          <w:p w14:paraId="22E6F09B">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核心用途</w:t>
            </w:r>
          </w:p>
        </w:tc>
        <w:tc>
          <w:tcPr>
            <w:tcW w:w="3601" w:type="dxa"/>
            <w:tcBorders>
              <w:top w:val="nil"/>
            </w:tcBorders>
            <w:shd w:val="clear"/>
            <w:tcMar>
              <w:top w:w="100" w:type="dxa"/>
              <w:left w:w="160" w:type="dxa"/>
              <w:bottom w:w="100" w:type="dxa"/>
              <w:right w:w="160" w:type="dxa"/>
            </w:tcMar>
            <w:vAlign w:val="center"/>
          </w:tcPr>
          <w:p w14:paraId="7A908078">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关键要求</w:t>
            </w:r>
          </w:p>
        </w:tc>
      </w:tr>
      <w:tr w14:paraId="38A3CF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529" w:type="dxa"/>
            <w:shd w:val="clear"/>
            <w:tcMar>
              <w:top w:w="100" w:type="dxa"/>
              <w:left w:w="0" w:type="dxa"/>
              <w:bottom w:w="100" w:type="dxa"/>
              <w:right w:w="160" w:type="dxa"/>
            </w:tcMar>
            <w:vAlign w:val="center"/>
          </w:tcPr>
          <w:p w14:paraId="225EA884">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光伏数据</w:t>
            </w:r>
          </w:p>
        </w:tc>
        <w:tc>
          <w:tcPr>
            <w:tcW w:w="2390" w:type="dxa"/>
            <w:shd w:val="clear"/>
            <w:tcMar>
              <w:top w:w="100" w:type="dxa"/>
              <w:left w:w="160" w:type="dxa"/>
              <w:bottom w:w="100" w:type="dxa"/>
              <w:right w:w="160" w:type="dxa"/>
            </w:tcMar>
            <w:vAlign w:val="center"/>
          </w:tcPr>
          <w:p w14:paraId="7C600969">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出力预测训练、共形预测校准</w:t>
            </w:r>
          </w:p>
        </w:tc>
        <w:tc>
          <w:tcPr>
            <w:tcW w:w="3601" w:type="dxa"/>
            <w:shd w:val="clear"/>
            <w:tcMar>
              <w:top w:w="100" w:type="dxa"/>
              <w:left w:w="160" w:type="dxa"/>
              <w:bottom w:w="100" w:type="dxa"/>
              <w:right w:w="0" w:type="dxa"/>
            </w:tcMar>
            <w:vAlign w:val="center"/>
          </w:tcPr>
          <w:p w14:paraId="02D3981A">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需包含辐射、气象特征及实际出力</w:t>
            </w:r>
          </w:p>
        </w:tc>
      </w:tr>
      <w:tr w14:paraId="3435B8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529" w:type="dxa"/>
            <w:shd w:val="clear"/>
            <w:tcMar>
              <w:top w:w="100" w:type="dxa"/>
              <w:left w:w="0" w:type="dxa"/>
              <w:bottom w:w="100" w:type="dxa"/>
              <w:right w:w="160" w:type="dxa"/>
            </w:tcMar>
            <w:vAlign w:val="center"/>
          </w:tcPr>
          <w:p w14:paraId="36741C41">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储能电池数据</w:t>
            </w:r>
          </w:p>
        </w:tc>
        <w:tc>
          <w:tcPr>
            <w:tcW w:w="2390" w:type="dxa"/>
            <w:shd w:val="clear"/>
            <w:tcMar>
              <w:top w:w="100" w:type="dxa"/>
              <w:left w:w="160" w:type="dxa"/>
              <w:bottom w:w="100" w:type="dxa"/>
              <w:right w:w="160" w:type="dxa"/>
            </w:tcMar>
            <w:vAlign w:val="center"/>
          </w:tcPr>
          <w:p w14:paraId="481E64FC">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SOH退化约束校准</w:t>
            </w:r>
          </w:p>
        </w:tc>
        <w:tc>
          <w:tcPr>
            <w:tcW w:w="3601" w:type="dxa"/>
            <w:shd w:val="clear"/>
            <w:tcMar>
              <w:top w:w="100" w:type="dxa"/>
              <w:left w:w="160" w:type="dxa"/>
              <w:bottom w:w="100" w:type="dxa"/>
              <w:right w:w="0" w:type="dxa"/>
            </w:tcMar>
            <w:vAlign w:val="center"/>
          </w:tcPr>
          <w:p w14:paraId="29B80A7F">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需包含循环老化测试数据</w:t>
            </w:r>
          </w:p>
        </w:tc>
      </w:tr>
      <w:tr w14:paraId="20DF0A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529" w:type="dxa"/>
            <w:shd w:val="clear"/>
            <w:tcMar>
              <w:top w:w="100" w:type="dxa"/>
              <w:left w:w="0" w:type="dxa"/>
              <w:bottom w:w="100" w:type="dxa"/>
              <w:right w:w="160" w:type="dxa"/>
            </w:tcMar>
            <w:vAlign w:val="center"/>
          </w:tcPr>
          <w:p w14:paraId="6169B80B">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用电负荷数据</w:t>
            </w:r>
          </w:p>
        </w:tc>
        <w:tc>
          <w:tcPr>
            <w:tcW w:w="2390" w:type="dxa"/>
            <w:shd w:val="clear"/>
            <w:tcMar>
              <w:top w:w="100" w:type="dxa"/>
              <w:left w:w="160" w:type="dxa"/>
              <w:bottom w:w="100" w:type="dxa"/>
              <w:right w:w="160" w:type="dxa"/>
            </w:tcMar>
            <w:vAlign w:val="center"/>
          </w:tcPr>
          <w:p w14:paraId="0D3BFBB1">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前景理论参数校准、可调负荷识别</w:t>
            </w:r>
          </w:p>
        </w:tc>
        <w:tc>
          <w:tcPr>
            <w:tcW w:w="3601" w:type="dxa"/>
            <w:shd w:val="clear"/>
            <w:tcMar>
              <w:top w:w="100" w:type="dxa"/>
              <w:left w:w="160" w:type="dxa"/>
              <w:bottom w:w="100" w:type="dxa"/>
              <w:right w:w="0" w:type="dxa"/>
            </w:tcMar>
            <w:vAlign w:val="center"/>
          </w:tcPr>
          <w:p w14:paraId="4A572435">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需包含高分辨率（分钟级）负荷数据</w:t>
            </w:r>
          </w:p>
        </w:tc>
      </w:tr>
      <w:tr w14:paraId="296E79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529" w:type="dxa"/>
            <w:shd w:val="clear"/>
            <w:tcMar>
              <w:top w:w="100" w:type="dxa"/>
              <w:left w:w="0" w:type="dxa"/>
              <w:bottom w:w="100" w:type="dxa"/>
              <w:right w:w="160" w:type="dxa"/>
            </w:tcMar>
            <w:vAlign w:val="center"/>
          </w:tcPr>
          <w:p w14:paraId="3E3FDC0F">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电价数据</w:t>
            </w:r>
          </w:p>
        </w:tc>
        <w:tc>
          <w:tcPr>
            <w:tcW w:w="2390" w:type="dxa"/>
            <w:shd w:val="clear"/>
            <w:tcMar>
              <w:top w:w="100" w:type="dxa"/>
              <w:left w:w="160" w:type="dxa"/>
              <w:bottom w:w="100" w:type="dxa"/>
              <w:right w:w="160" w:type="dxa"/>
            </w:tcMar>
            <w:vAlign w:val="center"/>
          </w:tcPr>
          <w:p w14:paraId="1828EFEC">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MPC实时价格信号、电价预测训练</w:t>
            </w:r>
          </w:p>
        </w:tc>
        <w:tc>
          <w:tcPr>
            <w:tcW w:w="3601" w:type="dxa"/>
            <w:shd w:val="clear"/>
            <w:tcMar>
              <w:top w:w="100" w:type="dxa"/>
              <w:left w:w="160" w:type="dxa"/>
              <w:bottom w:w="100" w:type="dxa"/>
              <w:right w:w="0" w:type="dxa"/>
            </w:tcMar>
            <w:vAlign w:val="center"/>
          </w:tcPr>
          <w:p w14:paraId="0B528287">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需包含日前/实时现货价格</w:t>
            </w:r>
          </w:p>
        </w:tc>
      </w:tr>
    </w:tbl>
    <w:p w14:paraId="042385CF">
      <w:pPr>
        <w:bidi w:val="0"/>
        <w:spacing w:line="360" w:lineRule="auto"/>
        <w:rPr>
          <w:rFonts w:hint="eastAsia" w:ascii="宋体" w:hAnsi="宋体" w:eastAsia="宋体" w:cs="宋体"/>
          <w:b/>
          <w:bCs/>
          <w:sz w:val="24"/>
          <w:szCs w:val="24"/>
        </w:rPr>
      </w:pPr>
      <w:r>
        <w:rPr>
          <w:rFonts w:hint="eastAsia" w:ascii="宋体" w:hAnsi="宋体" w:eastAsia="宋体" w:cs="宋体"/>
          <w:b/>
          <w:bCs/>
          <w:sz w:val="24"/>
          <w:szCs w:val="24"/>
        </w:rPr>
        <w:t>四、已准备的数据资产</w:t>
      </w:r>
    </w:p>
    <w:p w14:paraId="6E3F83C3">
      <w:pPr>
        <w:bidi w:val="0"/>
        <w:spacing w:line="360" w:lineRule="auto"/>
        <w:rPr>
          <w:rFonts w:hint="eastAsia" w:ascii="宋体" w:hAnsi="宋体" w:eastAsia="宋体" w:cs="宋体"/>
          <w:sz w:val="21"/>
          <w:szCs w:val="21"/>
        </w:rPr>
      </w:pPr>
      <w:r>
        <w:rPr>
          <w:rFonts w:hint="eastAsia" w:ascii="宋体" w:hAnsi="宋体" w:eastAsia="宋体" w:cs="宋体"/>
          <w:sz w:val="21"/>
          <w:szCs w:val="21"/>
        </w:rPr>
        <w:t>以下为项目已收集并验证的数据集，所有来源均附直接网址：</w:t>
      </w:r>
    </w:p>
    <w:p w14:paraId="10DFDC62">
      <w:pPr>
        <w:bidi w:val="0"/>
        <w:spacing w:line="360" w:lineRule="auto"/>
        <w:rPr>
          <w:rFonts w:hint="eastAsia" w:ascii="宋体" w:hAnsi="宋体" w:eastAsia="宋体" w:cs="宋体"/>
          <w:b/>
          <w:bCs/>
          <w:sz w:val="22"/>
          <w:szCs w:val="22"/>
        </w:rPr>
      </w:pPr>
      <w:r>
        <w:rPr>
          <w:rFonts w:hint="eastAsia" w:ascii="宋体" w:hAnsi="宋体" w:eastAsia="宋体" w:cs="宋体"/>
          <w:b/>
          <w:bCs/>
          <w:sz w:val="22"/>
          <w:szCs w:val="22"/>
        </w:rPr>
        <w:t>4.1 光伏数据</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658"/>
        <w:gridCol w:w="1220"/>
        <w:gridCol w:w="1180"/>
        <w:gridCol w:w="3740"/>
        <w:gridCol w:w="1668"/>
      </w:tblGrid>
      <w:tr w14:paraId="292DE9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658" w:type="dxa"/>
            <w:tcBorders>
              <w:top w:val="nil"/>
            </w:tcBorders>
            <w:shd w:val="clear"/>
            <w:tcMar>
              <w:top w:w="100" w:type="dxa"/>
              <w:left w:w="0" w:type="dxa"/>
              <w:bottom w:w="100" w:type="dxa"/>
              <w:right w:w="160" w:type="dxa"/>
            </w:tcMar>
            <w:vAlign w:val="center"/>
          </w:tcPr>
          <w:p w14:paraId="574DD46A">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序号</w:t>
            </w:r>
          </w:p>
        </w:tc>
        <w:tc>
          <w:tcPr>
            <w:tcW w:w="1220" w:type="dxa"/>
            <w:tcBorders>
              <w:top w:val="nil"/>
            </w:tcBorders>
            <w:shd w:val="clear"/>
            <w:tcMar>
              <w:top w:w="100" w:type="dxa"/>
              <w:left w:w="160" w:type="dxa"/>
              <w:bottom w:w="100" w:type="dxa"/>
              <w:right w:w="160" w:type="dxa"/>
            </w:tcMar>
            <w:vAlign w:val="center"/>
          </w:tcPr>
          <w:p w14:paraId="26927DB6">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数据集名称</w:t>
            </w:r>
          </w:p>
        </w:tc>
        <w:tc>
          <w:tcPr>
            <w:tcW w:w="1180" w:type="dxa"/>
            <w:tcBorders>
              <w:top w:val="nil"/>
            </w:tcBorders>
            <w:shd w:val="clear"/>
            <w:tcMar>
              <w:top w:w="100" w:type="dxa"/>
              <w:left w:w="160" w:type="dxa"/>
              <w:bottom w:w="100" w:type="dxa"/>
              <w:right w:w="160" w:type="dxa"/>
            </w:tcMar>
            <w:vAlign w:val="center"/>
          </w:tcPr>
          <w:p w14:paraId="2251DB84">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核心内容</w:t>
            </w:r>
          </w:p>
        </w:tc>
        <w:tc>
          <w:tcPr>
            <w:tcW w:w="3740" w:type="dxa"/>
            <w:tcBorders>
              <w:top w:val="nil"/>
            </w:tcBorders>
            <w:shd w:val="clear"/>
            <w:tcMar>
              <w:top w:w="100" w:type="dxa"/>
              <w:left w:w="160" w:type="dxa"/>
              <w:bottom w:w="100" w:type="dxa"/>
              <w:right w:w="160" w:type="dxa"/>
            </w:tcMar>
            <w:vAlign w:val="center"/>
          </w:tcPr>
          <w:p w14:paraId="53FE680E">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直接网址</w:t>
            </w:r>
          </w:p>
        </w:tc>
        <w:tc>
          <w:tcPr>
            <w:tcW w:w="1668" w:type="dxa"/>
            <w:tcBorders>
              <w:top w:val="nil"/>
            </w:tcBorders>
            <w:shd w:val="clear"/>
            <w:tcMar>
              <w:top w:w="100" w:type="dxa"/>
              <w:left w:w="160" w:type="dxa"/>
              <w:bottom w:w="100" w:type="dxa"/>
              <w:right w:w="160" w:type="dxa"/>
            </w:tcMar>
            <w:vAlign w:val="center"/>
          </w:tcPr>
          <w:p w14:paraId="2FCE1D66">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用途</w:t>
            </w:r>
          </w:p>
        </w:tc>
      </w:tr>
      <w:tr w14:paraId="43EDC6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58" w:type="dxa"/>
            <w:shd w:val="clear"/>
            <w:tcMar>
              <w:top w:w="100" w:type="dxa"/>
              <w:left w:w="0" w:type="dxa"/>
              <w:bottom w:w="100" w:type="dxa"/>
              <w:right w:w="160" w:type="dxa"/>
            </w:tcMar>
            <w:vAlign w:val="center"/>
          </w:tcPr>
          <w:p w14:paraId="2E22780E">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1</w:t>
            </w:r>
          </w:p>
        </w:tc>
        <w:tc>
          <w:tcPr>
            <w:tcW w:w="1220" w:type="dxa"/>
            <w:shd w:val="clear"/>
            <w:tcMar>
              <w:top w:w="100" w:type="dxa"/>
              <w:left w:w="160" w:type="dxa"/>
              <w:bottom w:w="100" w:type="dxa"/>
              <w:right w:w="160" w:type="dxa"/>
            </w:tcMar>
            <w:vAlign w:val="center"/>
          </w:tcPr>
          <w:p w14:paraId="5DEE97F1">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广东智能电网AI数据集（优先）</w:t>
            </w:r>
          </w:p>
        </w:tc>
        <w:tc>
          <w:tcPr>
            <w:tcW w:w="1180" w:type="dxa"/>
            <w:shd w:val="clear"/>
            <w:tcMar>
              <w:top w:w="100" w:type="dxa"/>
              <w:left w:w="160" w:type="dxa"/>
              <w:bottom w:w="100" w:type="dxa"/>
              <w:right w:w="160" w:type="dxa"/>
            </w:tcMar>
            <w:vAlign w:val="center"/>
          </w:tcPr>
          <w:p w14:paraId="6E13874B">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2024-2025年现货电价+工商业负荷</w:t>
            </w:r>
          </w:p>
        </w:tc>
        <w:tc>
          <w:tcPr>
            <w:tcW w:w="3740" w:type="dxa"/>
            <w:shd w:val="clear"/>
            <w:tcMar>
              <w:top w:w="100" w:type="dxa"/>
              <w:left w:w="160" w:type="dxa"/>
              <w:bottom w:w="100" w:type="dxa"/>
              <w:right w:w="160" w:type="dxa"/>
            </w:tcMar>
            <w:vAlign w:val="center"/>
          </w:tcPr>
          <w:p w14:paraId="67769603">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fldChar w:fldCharType="begin"/>
            </w:r>
            <w:r>
              <w:rPr>
                <w:rFonts w:hint="eastAsia" w:ascii="宋体" w:hAnsi="宋体" w:eastAsia="宋体" w:cs="宋体"/>
                <w:sz w:val="21"/>
                <w:szCs w:val="21"/>
                <w:lang w:val="en-US" w:eastAsia="zh-CN"/>
              </w:rPr>
              <w:instrText xml:space="preserve"> HYPERLINK "https://ieee-dataport.org/documents/guangdong-smart-grid-ai-dataset" \t "https://chat.deepseek.com/a/chat/s/_blank" </w:instrText>
            </w:r>
            <w:r>
              <w:rPr>
                <w:rFonts w:hint="eastAsia" w:ascii="宋体" w:hAnsi="宋体" w:eastAsia="宋体" w:cs="宋体"/>
                <w:sz w:val="21"/>
                <w:szCs w:val="21"/>
                <w:lang w:val="en-US" w:eastAsia="zh-CN"/>
              </w:rPr>
              <w:fldChar w:fldCharType="separate"/>
            </w:r>
            <w:r>
              <w:rPr>
                <w:rStyle w:val="9"/>
                <w:rFonts w:hint="eastAsia" w:ascii="宋体" w:hAnsi="宋体" w:eastAsia="宋体" w:cs="宋体"/>
                <w:color w:val="3964FE"/>
                <w:sz w:val="21"/>
                <w:szCs w:val="21"/>
                <w:u w:val="none"/>
              </w:rPr>
              <w:t>https://ieee-dataport.org/documents/guangdong-smart-grid-ai-dataset</w:t>
            </w:r>
            <w:r>
              <w:rPr>
                <w:rFonts w:hint="eastAsia" w:ascii="宋体" w:hAnsi="宋体" w:eastAsia="宋体" w:cs="宋体"/>
                <w:sz w:val="21"/>
                <w:szCs w:val="21"/>
                <w:lang w:val="en-US" w:eastAsia="zh-CN"/>
              </w:rPr>
              <w:fldChar w:fldCharType="end"/>
            </w:r>
          </w:p>
        </w:tc>
        <w:tc>
          <w:tcPr>
            <w:tcW w:w="1668" w:type="dxa"/>
            <w:shd w:val="clear"/>
            <w:tcMar>
              <w:top w:w="100" w:type="dxa"/>
              <w:left w:w="160" w:type="dxa"/>
              <w:bottom w:w="100" w:type="dxa"/>
              <w:right w:w="0" w:type="dxa"/>
            </w:tcMar>
            <w:vAlign w:val="center"/>
          </w:tcPr>
          <w:p w14:paraId="33AC7FD8">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共形预测校准、电价预测</w:t>
            </w:r>
          </w:p>
        </w:tc>
      </w:tr>
      <w:tr w14:paraId="137DF3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58" w:type="dxa"/>
            <w:shd w:val="clear"/>
            <w:tcMar>
              <w:top w:w="100" w:type="dxa"/>
              <w:left w:w="0" w:type="dxa"/>
              <w:bottom w:w="100" w:type="dxa"/>
              <w:right w:w="160" w:type="dxa"/>
            </w:tcMar>
            <w:vAlign w:val="center"/>
          </w:tcPr>
          <w:p w14:paraId="5B943B5D">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2</w:t>
            </w:r>
          </w:p>
        </w:tc>
        <w:tc>
          <w:tcPr>
            <w:tcW w:w="1220" w:type="dxa"/>
            <w:shd w:val="clear"/>
            <w:tcMar>
              <w:top w:w="100" w:type="dxa"/>
              <w:left w:w="160" w:type="dxa"/>
              <w:bottom w:w="100" w:type="dxa"/>
              <w:right w:w="160" w:type="dxa"/>
            </w:tcMar>
            <w:vAlign w:val="center"/>
          </w:tcPr>
          <w:p w14:paraId="1ACA0F80">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国家基础学科数据中心——分布式光伏出力估算数据集</w:t>
            </w:r>
          </w:p>
        </w:tc>
        <w:tc>
          <w:tcPr>
            <w:tcW w:w="1180" w:type="dxa"/>
            <w:shd w:val="clear"/>
            <w:tcMar>
              <w:top w:w="100" w:type="dxa"/>
              <w:left w:w="160" w:type="dxa"/>
              <w:bottom w:w="100" w:type="dxa"/>
              <w:right w:w="160" w:type="dxa"/>
            </w:tcMar>
            <w:vAlign w:val="center"/>
          </w:tcPr>
          <w:p w14:paraId="19537963">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93.93MB，含特性分类与出力量化</w:t>
            </w:r>
          </w:p>
        </w:tc>
        <w:tc>
          <w:tcPr>
            <w:tcW w:w="3740" w:type="dxa"/>
            <w:shd w:val="clear"/>
            <w:tcMar>
              <w:top w:w="100" w:type="dxa"/>
              <w:left w:w="160" w:type="dxa"/>
              <w:bottom w:w="100" w:type="dxa"/>
              <w:right w:w="160" w:type="dxa"/>
            </w:tcMar>
            <w:vAlign w:val="center"/>
          </w:tcPr>
          <w:p w14:paraId="2DFF03F3">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fldChar w:fldCharType="begin"/>
            </w:r>
            <w:r>
              <w:rPr>
                <w:rFonts w:hint="eastAsia" w:ascii="宋体" w:hAnsi="宋体" w:eastAsia="宋体" w:cs="宋体"/>
                <w:sz w:val="21"/>
                <w:szCs w:val="21"/>
                <w:lang w:val="en-US" w:eastAsia="zh-CN"/>
              </w:rPr>
              <w:instrText xml:space="preserve"> HYPERLINK "https://www.nbsdc.cn/" \t "https://chat.deepseek.com/a/chat/s/_blank" </w:instrText>
            </w:r>
            <w:r>
              <w:rPr>
                <w:rFonts w:hint="eastAsia" w:ascii="宋体" w:hAnsi="宋体" w:eastAsia="宋体" w:cs="宋体"/>
                <w:sz w:val="21"/>
                <w:szCs w:val="21"/>
                <w:lang w:val="en-US" w:eastAsia="zh-CN"/>
              </w:rPr>
              <w:fldChar w:fldCharType="separate"/>
            </w:r>
            <w:r>
              <w:rPr>
                <w:rStyle w:val="9"/>
                <w:rFonts w:hint="eastAsia" w:ascii="宋体" w:hAnsi="宋体" w:eastAsia="宋体" w:cs="宋体"/>
                <w:color w:val="3964FE"/>
                <w:sz w:val="21"/>
                <w:szCs w:val="21"/>
                <w:u w:val="none"/>
              </w:rPr>
              <w:t>https://www.nbsdc.cn</w:t>
            </w:r>
            <w:r>
              <w:rPr>
                <w:rFonts w:hint="eastAsia" w:ascii="宋体" w:hAnsi="宋体" w:eastAsia="宋体" w:cs="宋体"/>
                <w:sz w:val="21"/>
                <w:szCs w:val="21"/>
                <w:lang w:val="en-US" w:eastAsia="zh-CN"/>
              </w:rPr>
              <w:fldChar w:fldCharType="end"/>
            </w:r>
          </w:p>
        </w:tc>
        <w:tc>
          <w:tcPr>
            <w:tcW w:w="1668" w:type="dxa"/>
            <w:shd w:val="clear"/>
            <w:tcMar>
              <w:top w:w="100" w:type="dxa"/>
              <w:left w:w="160" w:type="dxa"/>
              <w:bottom w:w="100" w:type="dxa"/>
              <w:right w:w="0" w:type="dxa"/>
            </w:tcMar>
            <w:vAlign w:val="center"/>
          </w:tcPr>
          <w:p w14:paraId="03278D35">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光伏出力预测训练</w:t>
            </w:r>
          </w:p>
        </w:tc>
      </w:tr>
      <w:tr w14:paraId="7291CD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58" w:type="dxa"/>
            <w:shd w:val="clear"/>
            <w:tcMar>
              <w:top w:w="100" w:type="dxa"/>
              <w:left w:w="0" w:type="dxa"/>
              <w:bottom w:w="100" w:type="dxa"/>
              <w:right w:w="160" w:type="dxa"/>
            </w:tcMar>
            <w:vAlign w:val="center"/>
          </w:tcPr>
          <w:p w14:paraId="71978FBE">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3</w:t>
            </w:r>
          </w:p>
        </w:tc>
        <w:tc>
          <w:tcPr>
            <w:tcW w:w="1220" w:type="dxa"/>
            <w:shd w:val="clear"/>
            <w:tcMar>
              <w:top w:w="100" w:type="dxa"/>
              <w:left w:w="160" w:type="dxa"/>
              <w:bottom w:w="100" w:type="dxa"/>
              <w:right w:w="160" w:type="dxa"/>
            </w:tcMar>
            <w:vAlign w:val="center"/>
          </w:tcPr>
          <w:p w14:paraId="5F9A009E">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HEEW分层数据集</w:t>
            </w:r>
          </w:p>
        </w:tc>
        <w:tc>
          <w:tcPr>
            <w:tcW w:w="1180" w:type="dxa"/>
            <w:shd w:val="clear"/>
            <w:tcMar>
              <w:top w:w="100" w:type="dxa"/>
              <w:left w:w="160" w:type="dxa"/>
              <w:bottom w:w="100" w:type="dxa"/>
              <w:right w:w="160" w:type="dxa"/>
            </w:tcMar>
            <w:vAlign w:val="center"/>
          </w:tcPr>
          <w:p w14:paraId="51E51F9A">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147栋建筑2014-2022年逐时变量</w:t>
            </w:r>
          </w:p>
        </w:tc>
        <w:tc>
          <w:tcPr>
            <w:tcW w:w="3740" w:type="dxa"/>
            <w:shd w:val="clear"/>
            <w:tcMar>
              <w:top w:w="100" w:type="dxa"/>
              <w:left w:w="160" w:type="dxa"/>
              <w:bottom w:w="100" w:type="dxa"/>
              <w:right w:w="160" w:type="dxa"/>
            </w:tcMar>
            <w:vAlign w:val="center"/>
          </w:tcPr>
          <w:p w14:paraId="277E4A1F">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fldChar w:fldCharType="begin"/>
            </w:r>
            <w:r>
              <w:rPr>
                <w:rFonts w:hint="eastAsia" w:ascii="宋体" w:hAnsi="宋体" w:eastAsia="宋体" w:cs="宋体"/>
                <w:sz w:val="21"/>
                <w:szCs w:val="21"/>
                <w:lang w:val="en-US" w:eastAsia="zh-CN"/>
              </w:rPr>
              <w:instrText xml:space="preserve"> HYPERLINK "https://figshare.com/" \t "https://chat.deepseek.com/a/chat/s/_blank" </w:instrText>
            </w:r>
            <w:r>
              <w:rPr>
                <w:rFonts w:hint="eastAsia" w:ascii="宋体" w:hAnsi="宋体" w:eastAsia="宋体" w:cs="宋体"/>
                <w:sz w:val="21"/>
                <w:szCs w:val="21"/>
                <w:lang w:val="en-US" w:eastAsia="zh-CN"/>
              </w:rPr>
              <w:fldChar w:fldCharType="separate"/>
            </w:r>
            <w:r>
              <w:rPr>
                <w:rStyle w:val="9"/>
                <w:rFonts w:hint="eastAsia" w:ascii="宋体" w:hAnsi="宋体" w:eastAsia="宋体" w:cs="宋体"/>
                <w:color w:val="3964FE"/>
                <w:sz w:val="21"/>
                <w:szCs w:val="21"/>
                <w:u w:val="none"/>
              </w:rPr>
              <w:t>https://figshare.com</w:t>
            </w:r>
            <w:r>
              <w:rPr>
                <w:rFonts w:hint="eastAsia" w:ascii="宋体" w:hAnsi="宋体" w:eastAsia="宋体" w:cs="宋体"/>
                <w:sz w:val="21"/>
                <w:szCs w:val="21"/>
                <w:lang w:val="en-US" w:eastAsia="zh-CN"/>
              </w:rPr>
              <w:fldChar w:fldCharType="end"/>
            </w:r>
            <w:r>
              <w:rPr>
                <w:rFonts w:hint="eastAsia" w:ascii="宋体" w:hAnsi="宋体" w:eastAsia="宋体" w:cs="宋体"/>
                <w:sz w:val="21"/>
                <w:szCs w:val="21"/>
                <w:lang w:val="en-US" w:eastAsia="zh-CN"/>
              </w:rPr>
              <w:t>（搜索“HEEW”）</w:t>
            </w:r>
          </w:p>
        </w:tc>
        <w:tc>
          <w:tcPr>
            <w:tcW w:w="1668" w:type="dxa"/>
            <w:shd w:val="clear"/>
            <w:tcMar>
              <w:top w:w="100" w:type="dxa"/>
              <w:left w:w="160" w:type="dxa"/>
              <w:bottom w:w="100" w:type="dxa"/>
              <w:right w:w="0" w:type="dxa"/>
            </w:tcMar>
            <w:vAlign w:val="center"/>
          </w:tcPr>
          <w:p w14:paraId="41142161">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多类型负荷建模</w:t>
            </w:r>
          </w:p>
        </w:tc>
      </w:tr>
      <w:tr w14:paraId="63DB2A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658" w:type="dxa"/>
            <w:shd w:val="clear"/>
            <w:tcMar>
              <w:top w:w="100" w:type="dxa"/>
              <w:left w:w="0" w:type="dxa"/>
              <w:bottom w:w="100" w:type="dxa"/>
              <w:right w:w="160" w:type="dxa"/>
            </w:tcMar>
            <w:vAlign w:val="center"/>
          </w:tcPr>
          <w:p w14:paraId="14BE512E">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4</w:t>
            </w:r>
          </w:p>
        </w:tc>
        <w:tc>
          <w:tcPr>
            <w:tcW w:w="1220" w:type="dxa"/>
            <w:shd w:val="clear"/>
            <w:tcMar>
              <w:top w:w="100" w:type="dxa"/>
              <w:left w:w="160" w:type="dxa"/>
              <w:bottom w:w="100" w:type="dxa"/>
              <w:right w:w="160" w:type="dxa"/>
            </w:tcMar>
            <w:vAlign w:val="center"/>
          </w:tcPr>
          <w:p w14:paraId="5ABB9D0F">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NASA POWER</w:t>
            </w:r>
          </w:p>
        </w:tc>
        <w:tc>
          <w:tcPr>
            <w:tcW w:w="1180" w:type="dxa"/>
            <w:shd w:val="clear"/>
            <w:tcMar>
              <w:top w:w="100" w:type="dxa"/>
              <w:left w:w="160" w:type="dxa"/>
              <w:bottom w:w="100" w:type="dxa"/>
              <w:right w:w="160" w:type="dxa"/>
            </w:tcMar>
            <w:vAlign w:val="center"/>
          </w:tcPr>
          <w:p w14:paraId="10A2563E">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免费全球卫星太阳辐射与气象数据</w:t>
            </w:r>
          </w:p>
        </w:tc>
        <w:tc>
          <w:tcPr>
            <w:tcW w:w="3740" w:type="dxa"/>
            <w:shd w:val="clear"/>
            <w:tcMar>
              <w:top w:w="100" w:type="dxa"/>
              <w:left w:w="160" w:type="dxa"/>
              <w:bottom w:w="100" w:type="dxa"/>
              <w:right w:w="160" w:type="dxa"/>
            </w:tcMar>
            <w:vAlign w:val="center"/>
          </w:tcPr>
          <w:p w14:paraId="7C2ABABF">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fldChar w:fldCharType="begin"/>
            </w:r>
            <w:r>
              <w:rPr>
                <w:rFonts w:hint="eastAsia" w:ascii="宋体" w:hAnsi="宋体" w:eastAsia="宋体" w:cs="宋体"/>
                <w:sz w:val="21"/>
                <w:szCs w:val="21"/>
                <w:lang w:val="en-US" w:eastAsia="zh-CN"/>
              </w:rPr>
              <w:instrText xml:space="preserve"> HYPERLINK "https://power.larc.nasa.gov/" \t "https://chat.deepseek.com/a/chat/s/_blank" </w:instrText>
            </w:r>
            <w:r>
              <w:rPr>
                <w:rFonts w:hint="eastAsia" w:ascii="宋体" w:hAnsi="宋体" w:eastAsia="宋体" w:cs="宋体"/>
                <w:sz w:val="21"/>
                <w:szCs w:val="21"/>
                <w:lang w:val="en-US" w:eastAsia="zh-CN"/>
              </w:rPr>
              <w:fldChar w:fldCharType="separate"/>
            </w:r>
            <w:r>
              <w:rPr>
                <w:rStyle w:val="9"/>
                <w:rFonts w:hint="eastAsia" w:ascii="宋体" w:hAnsi="宋体" w:eastAsia="宋体" w:cs="宋体"/>
                <w:color w:val="3964FE"/>
                <w:sz w:val="21"/>
                <w:szCs w:val="21"/>
                <w:u w:val="none"/>
              </w:rPr>
              <w:t>https://power.larc.nasa.gov</w:t>
            </w:r>
            <w:r>
              <w:rPr>
                <w:rFonts w:hint="eastAsia" w:ascii="宋体" w:hAnsi="宋体" w:eastAsia="宋体" w:cs="宋体"/>
                <w:sz w:val="21"/>
                <w:szCs w:val="21"/>
                <w:lang w:val="en-US" w:eastAsia="zh-CN"/>
              </w:rPr>
              <w:fldChar w:fldCharType="end"/>
            </w:r>
          </w:p>
        </w:tc>
        <w:tc>
          <w:tcPr>
            <w:tcW w:w="1668" w:type="dxa"/>
            <w:shd w:val="clear"/>
            <w:tcMar>
              <w:top w:w="100" w:type="dxa"/>
              <w:left w:w="160" w:type="dxa"/>
              <w:bottom w:w="100" w:type="dxa"/>
              <w:right w:w="0" w:type="dxa"/>
            </w:tcMar>
            <w:vAlign w:val="center"/>
          </w:tcPr>
          <w:p w14:paraId="595505C8">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太阳辐射与气象特征</w:t>
            </w:r>
          </w:p>
        </w:tc>
      </w:tr>
      <w:tr w14:paraId="7EEC66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58" w:type="dxa"/>
            <w:shd w:val="clear"/>
            <w:tcMar>
              <w:top w:w="100" w:type="dxa"/>
              <w:left w:w="0" w:type="dxa"/>
              <w:bottom w:w="100" w:type="dxa"/>
              <w:right w:w="160" w:type="dxa"/>
            </w:tcMar>
            <w:vAlign w:val="center"/>
          </w:tcPr>
          <w:p w14:paraId="572B6F45">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5</w:t>
            </w:r>
          </w:p>
        </w:tc>
        <w:tc>
          <w:tcPr>
            <w:tcW w:w="1220" w:type="dxa"/>
            <w:shd w:val="clear"/>
            <w:tcMar>
              <w:top w:w="100" w:type="dxa"/>
              <w:left w:w="160" w:type="dxa"/>
              <w:bottom w:w="100" w:type="dxa"/>
              <w:right w:w="160" w:type="dxa"/>
            </w:tcMar>
            <w:vAlign w:val="center"/>
          </w:tcPr>
          <w:p w14:paraId="69D4F5A7">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Global Solar Atlas</w:t>
            </w:r>
          </w:p>
        </w:tc>
        <w:tc>
          <w:tcPr>
            <w:tcW w:w="1180" w:type="dxa"/>
            <w:shd w:val="clear"/>
            <w:tcMar>
              <w:top w:w="100" w:type="dxa"/>
              <w:left w:w="160" w:type="dxa"/>
              <w:bottom w:w="100" w:type="dxa"/>
              <w:right w:w="160" w:type="dxa"/>
            </w:tcMar>
            <w:vAlign w:val="center"/>
          </w:tcPr>
          <w:p w14:paraId="099821BE">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全球太阳能资源数据</w:t>
            </w:r>
          </w:p>
        </w:tc>
        <w:tc>
          <w:tcPr>
            <w:tcW w:w="3740" w:type="dxa"/>
            <w:shd w:val="clear"/>
            <w:tcMar>
              <w:top w:w="100" w:type="dxa"/>
              <w:left w:w="160" w:type="dxa"/>
              <w:bottom w:w="100" w:type="dxa"/>
              <w:right w:w="160" w:type="dxa"/>
            </w:tcMar>
            <w:vAlign w:val="center"/>
          </w:tcPr>
          <w:p w14:paraId="3C233079">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fldChar w:fldCharType="begin"/>
            </w:r>
            <w:r>
              <w:rPr>
                <w:rFonts w:hint="eastAsia" w:ascii="宋体" w:hAnsi="宋体" w:eastAsia="宋体" w:cs="宋体"/>
                <w:sz w:val="21"/>
                <w:szCs w:val="21"/>
                <w:lang w:val="en-US" w:eastAsia="zh-CN"/>
              </w:rPr>
              <w:instrText xml:space="preserve"> HYPERLINK "https://globalsolaratlas.info/" \t "https://chat.deepseek.com/a/chat/s/_blank" </w:instrText>
            </w:r>
            <w:r>
              <w:rPr>
                <w:rFonts w:hint="eastAsia" w:ascii="宋体" w:hAnsi="宋体" w:eastAsia="宋体" w:cs="宋体"/>
                <w:sz w:val="21"/>
                <w:szCs w:val="21"/>
                <w:lang w:val="en-US" w:eastAsia="zh-CN"/>
              </w:rPr>
              <w:fldChar w:fldCharType="separate"/>
            </w:r>
            <w:r>
              <w:rPr>
                <w:rStyle w:val="9"/>
                <w:rFonts w:hint="eastAsia" w:ascii="宋体" w:hAnsi="宋体" w:eastAsia="宋体" w:cs="宋体"/>
                <w:color w:val="3964FE"/>
                <w:sz w:val="21"/>
                <w:szCs w:val="21"/>
                <w:u w:val="none"/>
              </w:rPr>
              <w:t>https://globalsolaratlas.info</w:t>
            </w:r>
            <w:r>
              <w:rPr>
                <w:rFonts w:hint="eastAsia" w:ascii="宋体" w:hAnsi="宋体" w:eastAsia="宋体" w:cs="宋体"/>
                <w:sz w:val="21"/>
                <w:szCs w:val="21"/>
                <w:lang w:val="en-US" w:eastAsia="zh-CN"/>
              </w:rPr>
              <w:fldChar w:fldCharType="end"/>
            </w:r>
          </w:p>
        </w:tc>
        <w:tc>
          <w:tcPr>
            <w:tcW w:w="1668" w:type="dxa"/>
            <w:shd w:val="clear"/>
            <w:tcMar>
              <w:top w:w="100" w:type="dxa"/>
              <w:left w:w="160" w:type="dxa"/>
              <w:bottom w:w="100" w:type="dxa"/>
              <w:right w:w="0" w:type="dxa"/>
            </w:tcMar>
            <w:vAlign w:val="center"/>
          </w:tcPr>
          <w:p w14:paraId="26437A57">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光伏资源评估</w:t>
            </w:r>
          </w:p>
        </w:tc>
      </w:tr>
    </w:tbl>
    <w:p w14:paraId="5656D696">
      <w:pPr>
        <w:bidi w:val="0"/>
        <w:spacing w:line="360" w:lineRule="auto"/>
        <w:rPr>
          <w:rFonts w:hint="eastAsia" w:ascii="宋体" w:hAnsi="宋体" w:eastAsia="宋体" w:cs="宋体"/>
          <w:b/>
          <w:bCs/>
          <w:sz w:val="22"/>
          <w:szCs w:val="22"/>
        </w:rPr>
      </w:pPr>
      <w:r>
        <w:rPr>
          <w:rFonts w:hint="eastAsia" w:ascii="宋体" w:hAnsi="宋体" w:eastAsia="宋体" w:cs="宋体"/>
          <w:b/>
          <w:bCs/>
          <w:sz w:val="22"/>
          <w:szCs w:val="22"/>
        </w:rPr>
        <w:t>4.2 储能电池数据</w:t>
      </w:r>
    </w:p>
    <w:tbl>
      <w:tblPr>
        <w:tblW w:w="879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378"/>
        <w:gridCol w:w="2560"/>
        <w:gridCol w:w="1850"/>
        <w:gridCol w:w="2950"/>
        <w:gridCol w:w="1060"/>
      </w:tblGrid>
      <w:tr w14:paraId="74AD17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378" w:type="dxa"/>
            <w:tcBorders>
              <w:top w:val="nil"/>
            </w:tcBorders>
            <w:shd w:val="clear"/>
            <w:tcMar>
              <w:top w:w="100" w:type="dxa"/>
              <w:left w:w="0" w:type="dxa"/>
              <w:bottom w:w="100" w:type="dxa"/>
              <w:right w:w="160" w:type="dxa"/>
            </w:tcMar>
            <w:vAlign w:val="center"/>
          </w:tcPr>
          <w:p w14:paraId="22D6E6CC">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序号</w:t>
            </w:r>
          </w:p>
        </w:tc>
        <w:tc>
          <w:tcPr>
            <w:tcW w:w="2560" w:type="dxa"/>
            <w:tcBorders>
              <w:top w:val="nil"/>
            </w:tcBorders>
            <w:shd w:val="clear"/>
            <w:tcMar>
              <w:top w:w="100" w:type="dxa"/>
              <w:left w:w="160" w:type="dxa"/>
              <w:bottom w:w="100" w:type="dxa"/>
              <w:right w:w="160" w:type="dxa"/>
            </w:tcMar>
            <w:vAlign w:val="center"/>
          </w:tcPr>
          <w:p w14:paraId="2E153762">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数据集名称</w:t>
            </w:r>
          </w:p>
        </w:tc>
        <w:tc>
          <w:tcPr>
            <w:tcW w:w="1850" w:type="dxa"/>
            <w:tcBorders>
              <w:top w:val="nil"/>
            </w:tcBorders>
            <w:shd w:val="clear"/>
            <w:tcMar>
              <w:top w:w="100" w:type="dxa"/>
              <w:left w:w="160" w:type="dxa"/>
              <w:bottom w:w="100" w:type="dxa"/>
              <w:right w:w="160" w:type="dxa"/>
            </w:tcMar>
            <w:vAlign w:val="center"/>
          </w:tcPr>
          <w:p w14:paraId="0FF394D6">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核心内容</w:t>
            </w:r>
          </w:p>
        </w:tc>
        <w:tc>
          <w:tcPr>
            <w:tcW w:w="2950" w:type="dxa"/>
            <w:tcBorders>
              <w:top w:val="nil"/>
            </w:tcBorders>
            <w:shd w:val="clear"/>
            <w:tcMar>
              <w:top w:w="100" w:type="dxa"/>
              <w:left w:w="160" w:type="dxa"/>
              <w:bottom w:w="100" w:type="dxa"/>
              <w:right w:w="160" w:type="dxa"/>
            </w:tcMar>
            <w:vAlign w:val="center"/>
          </w:tcPr>
          <w:p w14:paraId="05772E58">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直接网址</w:t>
            </w:r>
          </w:p>
        </w:tc>
        <w:tc>
          <w:tcPr>
            <w:tcW w:w="1060" w:type="dxa"/>
            <w:tcBorders>
              <w:top w:val="nil"/>
            </w:tcBorders>
            <w:shd w:val="clear"/>
            <w:tcMar>
              <w:top w:w="100" w:type="dxa"/>
              <w:left w:w="160" w:type="dxa"/>
              <w:bottom w:w="100" w:type="dxa"/>
              <w:right w:w="160" w:type="dxa"/>
            </w:tcMar>
            <w:vAlign w:val="center"/>
          </w:tcPr>
          <w:p w14:paraId="2E1DCB7D">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用途</w:t>
            </w:r>
          </w:p>
        </w:tc>
      </w:tr>
      <w:tr w14:paraId="3C30BB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78" w:type="dxa"/>
            <w:shd w:val="clear"/>
            <w:tcMar>
              <w:top w:w="100" w:type="dxa"/>
              <w:left w:w="0" w:type="dxa"/>
              <w:bottom w:w="100" w:type="dxa"/>
              <w:right w:w="160" w:type="dxa"/>
            </w:tcMar>
            <w:vAlign w:val="center"/>
          </w:tcPr>
          <w:p w14:paraId="5247E77B">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1</w:t>
            </w:r>
          </w:p>
        </w:tc>
        <w:tc>
          <w:tcPr>
            <w:tcW w:w="2560" w:type="dxa"/>
            <w:shd w:val="clear"/>
            <w:tcMar>
              <w:top w:w="100" w:type="dxa"/>
              <w:left w:w="160" w:type="dxa"/>
              <w:bottom w:w="100" w:type="dxa"/>
              <w:right w:w="160" w:type="dxa"/>
            </w:tcMar>
            <w:vAlign w:val="center"/>
          </w:tcPr>
          <w:p w14:paraId="3D49192E">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Stanford梯次电池电网储能老化数据集</w:t>
            </w:r>
          </w:p>
        </w:tc>
        <w:tc>
          <w:tcPr>
            <w:tcW w:w="1850" w:type="dxa"/>
            <w:shd w:val="clear"/>
            <w:tcMar>
              <w:top w:w="100" w:type="dxa"/>
              <w:left w:w="160" w:type="dxa"/>
              <w:bottom w:w="100" w:type="dxa"/>
              <w:right w:w="160" w:type="dxa"/>
            </w:tcMar>
            <w:vAlign w:val="center"/>
          </w:tcPr>
          <w:p w14:paraId="3C146DE4">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6颗NMC 21700，24月，RPT+EIS</w:t>
            </w:r>
          </w:p>
        </w:tc>
        <w:tc>
          <w:tcPr>
            <w:tcW w:w="2950" w:type="dxa"/>
            <w:shd w:val="clear"/>
            <w:tcMar>
              <w:top w:w="100" w:type="dxa"/>
              <w:left w:w="160" w:type="dxa"/>
              <w:bottom w:w="100" w:type="dxa"/>
              <w:right w:w="160" w:type="dxa"/>
            </w:tcMar>
            <w:vAlign w:val="center"/>
          </w:tcPr>
          <w:p w14:paraId="1DC9B803">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fldChar w:fldCharType="begin"/>
            </w:r>
            <w:r>
              <w:rPr>
                <w:rFonts w:hint="eastAsia" w:ascii="宋体" w:hAnsi="宋体" w:eastAsia="宋体" w:cs="宋体"/>
                <w:sz w:val="21"/>
                <w:szCs w:val="21"/>
                <w:lang w:val="en-US" w:eastAsia="zh-CN"/>
              </w:rPr>
              <w:instrText xml:space="preserve"> HYPERLINK "https://osf.io/8jnr5/" \t "https://chat.deepseek.com/a/chat/s/_blank" </w:instrText>
            </w:r>
            <w:r>
              <w:rPr>
                <w:rFonts w:hint="eastAsia" w:ascii="宋体" w:hAnsi="宋体" w:eastAsia="宋体" w:cs="宋体"/>
                <w:sz w:val="21"/>
                <w:szCs w:val="21"/>
                <w:lang w:val="en-US" w:eastAsia="zh-CN"/>
              </w:rPr>
              <w:fldChar w:fldCharType="separate"/>
            </w:r>
            <w:r>
              <w:rPr>
                <w:rStyle w:val="9"/>
                <w:rFonts w:hint="eastAsia" w:ascii="宋体" w:hAnsi="宋体" w:eastAsia="宋体" w:cs="宋体"/>
                <w:color w:val="3964FE"/>
                <w:sz w:val="21"/>
                <w:szCs w:val="21"/>
                <w:u w:val="none"/>
              </w:rPr>
              <w:t>https://osf.io/8jnr5/</w:t>
            </w:r>
            <w:r>
              <w:rPr>
                <w:rFonts w:hint="eastAsia" w:ascii="宋体" w:hAnsi="宋体" w:eastAsia="宋体" w:cs="宋体"/>
                <w:sz w:val="21"/>
                <w:szCs w:val="21"/>
                <w:lang w:val="en-US" w:eastAsia="zh-CN"/>
              </w:rPr>
              <w:fldChar w:fldCharType="end"/>
            </w:r>
          </w:p>
        </w:tc>
        <w:tc>
          <w:tcPr>
            <w:tcW w:w="1060" w:type="dxa"/>
            <w:shd w:val="clear"/>
            <w:tcMar>
              <w:top w:w="100" w:type="dxa"/>
              <w:left w:w="160" w:type="dxa"/>
              <w:bottom w:w="100" w:type="dxa"/>
              <w:right w:w="0" w:type="dxa"/>
            </w:tcMar>
            <w:vAlign w:val="center"/>
          </w:tcPr>
          <w:p w14:paraId="1DAD7E79">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SOH退化约束校准</w:t>
            </w:r>
          </w:p>
        </w:tc>
      </w:tr>
      <w:tr w14:paraId="2D8F8F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78" w:type="dxa"/>
            <w:shd w:val="clear"/>
            <w:tcMar>
              <w:top w:w="100" w:type="dxa"/>
              <w:left w:w="0" w:type="dxa"/>
              <w:bottom w:w="100" w:type="dxa"/>
              <w:right w:w="160" w:type="dxa"/>
            </w:tcMar>
            <w:vAlign w:val="center"/>
          </w:tcPr>
          <w:p w14:paraId="52C0BA8F">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2</w:t>
            </w:r>
          </w:p>
        </w:tc>
        <w:tc>
          <w:tcPr>
            <w:tcW w:w="2560" w:type="dxa"/>
            <w:shd w:val="clear"/>
            <w:tcMar>
              <w:top w:w="100" w:type="dxa"/>
              <w:left w:w="160" w:type="dxa"/>
              <w:bottom w:w="100" w:type="dxa"/>
              <w:right w:w="160" w:type="dxa"/>
            </w:tcMar>
            <w:vAlign w:val="center"/>
          </w:tcPr>
          <w:p w14:paraId="33BAB919">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Stanford锂离子电池日历与循环老化数据集</w:t>
            </w:r>
          </w:p>
        </w:tc>
        <w:tc>
          <w:tcPr>
            <w:tcW w:w="1850" w:type="dxa"/>
            <w:shd w:val="clear"/>
            <w:tcMar>
              <w:top w:w="100" w:type="dxa"/>
              <w:left w:w="160" w:type="dxa"/>
              <w:bottom w:w="100" w:type="dxa"/>
              <w:right w:w="160" w:type="dxa"/>
            </w:tcMar>
            <w:vAlign w:val="center"/>
          </w:tcPr>
          <w:p w14:paraId="0636F6BC">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22颗NMC/石墨，0/25/40°C</w:t>
            </w:r>
          </w:p>
        </w:tc>
        <w:tc>
          <w:tcPr>
            <w:tcW w:w="2950" w:type="dxa"/>
            <w:shd w:val="clear"/>
            <w:tcMar>
              <w:top w:w="100" w:type="dxa"/>
              <w:left w:w="160" w:type="dxa"/>
              <w:bottom w:w="100" w:type="dxa"/>
              <w:right w:w="160" w:type="dxa"/>
            </w:tcMar>
            <w:vAlign w:val="center"/>
          </w:tcPr>
          <w:p w14:paraId="6D0E698F">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fldChar w:fldCharType="begin"/>
            </w:r>
            <w:r>
              <w:rPr>
                <w:rFonts w:hint="eastAsia" w:ascii="宋体" w:hAnsi="宋体" w:eastAsia="宋体" w:cs="宋体"/>
                <w:sz w:val="21"/>
                <w:szCs w:val="21"/>
                <w:lang w:val="en-US" w:eastAsia="zh-CN"/>
              </w:rPr>
              <w:instrText xml:space="preserve"> HYPERLINK "https://osf.io/j2sn4/" \t "https://chat.deepseek.com/a/chat/s/_blank" </w:instrText>
            </w:r>
            <w:r>
              <w:rPr>
                <w:rFonts w:hint="eastAsia" w:ascii="宋体" w:hAnsi="宋体" w:eastAsia="宋体" w:cs="宋体"/>
                <w:sz w:val="21"/>
                <w:szCs w:val="21"/>
                <w:lang w:val="en-US" w:eastAsia="zh-CN"/>
              </w:rPr>
              <w:fldChar w:fldCharType="separate"/>
            </w:r>
            <w:r>
              <w:rPr>
                <w:rStyle w:val="9"/>
                <w:rFonts w:hint="eastAsia" w:ascii="宋体" w:hAnsi="宋体" w:eastAsia="宋体" w:cs="宋体"/>
                <w:color w:val="3964FE"/>
                <w:sz w:val="21"/>
                <w:szCs w:val="21"/>
                <w:u w:val="none"/>
              </w:rPr>
              <w:t>https://osf.io/j2sn4/</w:t>
            </w:r>
            <w:r>
              <w:rPr>
                <w:rFonts w:hint="eastAsia" w:ascii="宋体" w:hAnsi="宋体" w:eastAsia="宋体" w:cs="宋体"/>
                <w:sz w:val="21"/>
                <w:szCs w:val="21"/>
                <w:lang w:val="en-US" w:eastAsia="zh-CN"/>
              </w:rPr>
              <w:fldChar w:fldCharType="end"/>
            </w:r>
          </w:p>
        </w:tc>
        <w:tc>
          <w:tcPr>
            <w:tcW w:w="1060" w:type="dxa"/>
            <w:shd w:val="clear"/>
            <w:tcMar>
              <w:top w:w="100" w:type="dxa"/>
              <w:left w:w="160" w:type="dxa"/>
              <w:bottom w:w="100" w:type="dxa"/>
              <w:right w:w="0" w:type="dxa"/>
            </w:tcMar>
            <w:vAlign w:val="center"/>
          </w:tcPr>
          <w:p w14:paraId="7275BB86">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SOH估计算法开发</w:t>
            </w:r>
          </w:p>
        </w:tc>
      </w:tr>
      <w:tr w14:paraId="0C5228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78" w:type="dxa"/>
            <w:shd w:val="clear"/>
            <w:tcMar>
              <w:top w:w="100" w:type="dxa"/>
              <w:left w:w="0" w:type="dxa"/>
              <w:bottom w:w="100" w:type="dxa"/>
              <w:right w:w="160" w:type="dxa"/>
            </w:tcMar>
            <w:vAlign w:val="center"/>
          </w:tcPr>
          <w:p w14:paraId="73F72F41">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3</w:t>
            </w:r>
          </w:p>
        </w:tc>
        <w:tc>
          <w:tcPr>
            <w:tcW w:w="2560" w:type="dxa"/>
            <w:shd w:val="clear"/>
            <w:tcMar>
              <w:top w:w="100" w:type="dxa"/>
              <w:left w:w="160" w:type="dxa"/>
              <w:bottom w:w="100" w:type="dxa"/>
              <w:right w:w="160" w:type="dxa"/>
            </w:tcMar>
            <w:vAlign w:val="center"/>
          </w:tcPr>
          <w:p w14:paraId="67140231">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BatteryLife_Processed</w:t>
            </w:r>
          </w:p>
        </w:tc>
        <w:tc>
          <w:tcPr>
            <w:tcW w:w="1850" w:type="dxa"/>
            <w:shd w:val="clear"/>
            <w:tcMar>
              <w:top w:w="100" w:type="dxa"/>
              <w:left w:w="160" w:type="dxa"/>
              <w:bottom w:w="100" w:type="dxa"/>
              <w:right w:w="160" w:type="dxa"/>
            </w:tcMar>
            <w:vAlign w:val="center"/>
          </w:tcPr>
          <w:p w14:paraId="1E1AE8B4">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990颗电池，59种化学体系</w:t>
            </w:r>
          </w:p>
        </w:tc>
        <w:tc>
          <w:tcPr>
            <w:tcW w:w="2950" w:type="dxa"/>
            <w:shd w:val="clear"/>
            <w:tcMar>
              <w:top w:w="100" w:type="dxa"/>
              <w:left w:w="160" w:type="dxa"/>
              <w:bottom w:w="100" w:type="dxa"/>
              <w:right w:w="160" w:type="dxa"/>
            </w:tcMar>
            <w:vAlign w:val="center"/>
          </w:tcPr>
          <w:p w14:paraId="324DF144">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fldChar w:fldCharType="begin"/>
            </w:r>
            <w:r>
              <w:rPr>
                <w:rFonts w:hint="eastAsia" w:ascii="宋体" w:hAnsi="宋体" w:eastAsia="宋体" w:cs="宋体"/>
                <w:sz w:val="21"/>
                <w:szCs w:val="21"/>
                <w:lang w:val="en-US" w:eastAsia="zh-CN"/>
              </w:rPr>
              <w:instrText xml:space="preserve"> HYPERLINK "https://zenodo.org/" \t "https://chat.deepseek.com/a/chat/s/_blank" </w:instrText>
            </w:r>
            <w:r>
              <w:rPr>
                <w:rFonts w:hint="eastAsia" w:ascii="宋体" w:hAnsi="宋体" w:eastAsia="宋体" w:cs="宋体"/>
                <w:sz w:val="21"/>
                <w:szCs w:val="21"/>
                <w:lang w:val="en-US" w:eastAsia="zh-CN"/>
              </w:rPr>
              <w:fldChar w:fldCharType="separate"/>
            </w:r>
            <w:r>
              <w:rPr>
                <w:rStyle w:val="9"/>
                <w:rFonts w:hint="eastAsia" w:ascii="宋体" w:hAnsi="宋体" w:eastAsia="宋体" w:cs="宋体"/>
                <w:color w:val="3964FE"/>
                <w:sz w:val="21"/>
                <w:szCs w:val="21"/>
                <w:u w:val="none"/>
              </w:rPr>
              <w:t>https://zenodo.org</w:t>
            </w:r>
            <w:r>
              <w:rPr>
                <w:rFonts w:hint="eastAsia" w:ascii="宋体" w:hAnsi="宋体" w:eastAsia="宋体" w:cs="宋体"/>
                <w:sz w:val="21"/>
                <w:szCs w:val="21"/>
                <w:lang w:val="en-US" w:eastAsia="zh-CN"/>
              </w:rPr>
              <w:fldChar w:fldCharType="end"/>
            </w:r>
            <w:r>
              <w:rPr>
                <w:rFonts w:hint="eastAsia" w:ascii="宋体" w:hAnsi="宋体" w:eastAsia="宋体" w:cs="宋体"/>
                <w:sz w:val="21"/>
                <w:szCs w:val="21"/>
                <w:lang w:val="en-US" w:eastAsia="zh-CN"/>
              </w:rPr>
              <w:t>（搜索“BatteryLife_Processed”）</w:t>
            </w:r>
          </w:p>
        </w:tc>
        <w:tc>
          <w:tcPr>
            <w:tcW w:w="1060" w:type="dxa"/>
            <w:shd w:val="clear"/>
            <w:tcMar>
              <w:top w:w="100" w:type="dxa"/>
              <w:left w:w="160" w:type="dxa"/>
              <w:bottom w:w="100" w:type="dxa"/>
              <w:right w:w="0" w:type="dxa"/>
            </w:tcMar>
            <w:vAlign w:val="center"/>
          </w:tcPr>
          <w:p w14:paraId="2AEB63C2">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多化学体系对比</w:t>
            </w:r>
          </w:p>
        </w:tc>
      </w:tr>
    </w:tbl>
    <w:p w14:paraId="6263C1D6">
      <w:pPr>
        <w:bidi w:val="0"/>
        <w:spacing w:line="360" w:lineRule="auto"/>
        <w:rPr>
          <w:rFonts w:hint="eastAsia" w:ascii="宋体" w:hAnsi="宋体" w:eastAsia="宋体" w:cs="宋体"/>
          <w:b/>
          <w:bCs/>
          <w:sz w:val="22"/>
          <w:szCs w:val="22"/>
        </w:rPr>
      </w:pPr>
      <w:r>
        <w:rPr>
          <w:rFonts w:hint="eastAsia" w:ascii="宋体" w:hAnsi="宋体" w:eastAsia="宋体" w:cs="宋体"/>
          <w:b/>
          <w:bCs/>
          <w:sz w:val="22"/>
          <w:szCs w:val="22"/>
        </w:rPr>
        <w:t>4.3 用电负荷数据</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370"/>
        <w:gridCol w:w="2003"/>
        <w:gridCol w:w="1470"/>
        <w:gridCol w:w="3526"/>
        <w:gridCol w:w="907"/>
      </w:tblGrid>
      <w:tr w14:paraId="0EA10C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370" w:type="dxa"/>
            <w:tcBorders>
              <w:top w:val="nil"/>
            </w:tcBorders>
            <w:shd w:val="clear"/>
            <w:tcMar>
              <w:top w:w="100" w:type="dxa"/>
              <w:left w:w="0" w:type="dxa"/>
              <w:bottom w:w="100" w:type="dxa"/>
              <w:right w:w="160" w:type="dxa"/>
            </w:tcMar>
            <w:vAlign w:val="center"/>
          </w:tcPr>
          <w:p w14:paraId="0073E2F6">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序号</w:t>
            </w:r>
          </w:p>
        </w:tc>
        <w:tc>
          <w:tcPr>
            <w:tcW w:w="2003" w:type="dxa"/>
            <w:tcBorders>
              <w:top w:val="nil"/>
            </w:tcBorders>
            <w:shd w:val="clear"/>
            <w:tcMar>
              <w:top w:w="100" w:type="dxa"/>
              <w:left w:w="160" w:type="dxa"/>
              <w:bottom w:w="100" w:type="dxa"/>
              <w:right w:w="160" w:type="dxa"/>
            </w:tcMar>
            <w:vAlign w:val="center"/>
          </w:tcPr>
          <w:p w14:paraId="3F974902">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数据集名称</w:t>
            </w:r>
          </w:p>
        </w:tc>
        <w:tc>
          <w:tcPr>
            <w:tcW w:w="1470" w:type="dxa"/>
            <w:tcBorders>
              <w:top w:val="nil"/>
            </w:tcBorders>
            <w:shd w:val="clear"/>
            <w:tcMar>
              <w:top w:w="100" w:type="dxa"/>
              <w:left w:w="160" w:type="dxa"/>
              <w:bottom w:w="100" w:type="dxa"/>
              <w:right w:w="160" w:type="dxa"/>
            </w:tcMar>
            <w:vAlign w:val="center"/>
          </w:tcPr>
          <w:p w14:paraId="1A8A663F">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核心内容</w:t>
            </w:r>
          </w:p>
        </w:tc>
        <w:tc>
          <w:tcPr>
            <w:tcW w:w="3526" w:type="dxa"/>
            <w:tcBorders>
              <w:top w:val="nil"/>
            </w:tcBorders>
            <w:shd w:val="clear"/>
            <w:tcMar>
              <w:top w:w="100" w:type="dxa"/>
              <w:left w:w="160" w:type="dxa"/>
              <w:bottom w:w="100" w:type="dxa"/>
              <w:right w:w="160" w:type="dxa"/>
            </w:tcMar>
            <w:vAlign w:val="center"/>
          </w:tcPr>
          <w:p w14:paraId="7B5780D4">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直接网址</w:t>
            </w:r>
          </w:p>
        </w:tc>
        <w:tc>
          <w:tcPr>
            <w:tcW w:w="907" w:type="dxa"/>
            <w:tcBorders>
              <w:top w:val="nil"/>
            </w:tcBorders>
            <w:shd w:val="clear"/>
            <w:tcMar>
              <w:top w:w="100" w:type="dxa"/>
              <w:left w:w="160" w:type="dxa"/>
              <w:bottom w:w="100" w:type="dxa"/>
              <w:right w:w="160" w:type="dxa"/>
            </w:tcMar>
            <w:vAlign w:val="center"/>
          </w:tcPr>
          <w:p w14:paraId="746A592E">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用途</w:t>
            </w:r>
          </w:p>
        </w:tc>
      </w:tr>
      <w:tr w14:paraId="1C7CEE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70" w:type="dxa"/>
            <w:shd w:val="clear"/>
            <w:tcMar>
              <w:top w:w="100" w:type="dxa"/>
              <w:left w:w="0" w:type="dxa"/>
              <w:bottom w:w="100" w:type="dxa"/>
              <w:right w:w="160" w:type="dxa"/>
            </w:tcMar>
            <w:vAlign w:val="center"/>
          </w:tcPr>
          <w:p w14:paraId="5D6F6244">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1</w:t>
            </w:r>
          </w:p>
        </w:tc>
        <w:tc>
          <w:tcPr>
            <w:tcW w:w="2003" w:type="dxa"/>
            <w:shd w:val="clear"/>
            <w:tcMar>
              <w:top w:w="100" w:type="dxa"/>
              <w:left w:w="160" w:type="dxa"/>
              <w:bottom w:w="100" w:type="dxa"/>
              <w:right w:w="160" w:type="dxa"/>
            </w:tcMar>
            <w:vAlign w:val="center"/>
          </w:tcPr>
          <w:p w14:paraId="65C115EC">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国家基础学科数据中心——广州行业用电量数据集</w:t>
            </w:r>
          </w:p>
        </w:tc>
        <w:tc>
          <w:tcPr>
            <w:tcW w:w="1470" w:type="dxa"/>
            <w:shd w:val="clear"/>
            <w:tcMar>
              <w:top w:w="100" w:type="dxa"/>
              <w:left w:w="160" w:type="dxa"/>
              <w:bottom w:w="100" w:type="dxa"/>
              <w:right w:w="160" w:type="dxa"/>
            </w:tcMar>
            <w:vAlign w:val="center"/>
          </w:tcPr>
          <w:p w14:paraId="0343F66E">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广州不同区/行业/用户，30.82MB</w:t>
            </w:r>
          </w:p>
        </w:tc>
        <w:tc>
          <w:tcPr>
            <w:tcW w:w="3526" w:type="dxa"/>
            <w:shd w:val="clear"/>
            <w:tcMar>
              <w:top w:w="100" w:type="dxa"/>
              <w:left w:w="160" w:type="dxa"/>
              <w:bottom w:w="100" w:type="dxa"/>
              <w:right w:w="160" w:type="dxa"/>
            </w:tcMar>
            <w:vAlign w:val="center"/>
          </w:tcPr>
          <w:p w14:paraId="6D684A20">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fldChar w:fldCharType="begin"/>
            </w:r>
            <w:r>
              <w:rPr>
                <w:rFonts w:hint="eastAsia" w:ascii="宋体" w:hAnsi="宋体" w:eastAsia="宋体" w:cs="宋体"/>
                <w:sz w:val="21"/>
                <w:szCs w:val="21"/>
                <w:lang w:val="en-US" w:eastAsia="zh-CN"/>
              </w:rPr>
              <w:instrText xml:space="preserve"> HYPERLINK "https://www.nbsdc.cn/" \t "https://chat.deepseek.com/a/chat/s/_blank" </w:instrText>
            </w:r>
            <w:r>
              <w:rPr>
                <w:rFonts w:hint="eastAsia" w:ascii="宋体" w:hAnsi="宋体" w:eastAsia="宋体" w:cs="宋体"/>
                <w:sz w:val="21"/>
                <w:szCs w:val="21"/>
                <w:lang w:val="en-US" w:eastAsia="zh-CN"/>
              </w:rPr>
              <w:fldChar w:fldCharType="separate"/>
            </w:r>
            <w:r>
              <w:rPr>
                <w:rStyle w:val="9"/>
                <w:rFonts w:hint="eastAsia" w:ascii="宋体" w:hAnsi="宋体" w:eastAsia="宋体" w:cs="宋体"/>
                <w:color w:val="3964FE"/>
                <w:sz w:val="21"/>
                <w:szCs w:val="21"/>
                <w:u w:val="none"/>
              </w:rPr>
              <w:t>https://www.nbsdc.cn</w:t>
            </w:r>
            <w:r>
              <w:rPr>
                <w:rFonts w:hint="eastAsia" w:ascii="宋体" w:hAnsi="宋体" w:eastAsia="宋体" w:cs="宋体"/>
                <w:sz w:val="21"/>
                <w:szCs w:val="21"/>
                <w:lang w:val="en-US" w:eastAsia="zh-CN"/>
              </w:rPr>
              <w:fldChar w:fldCharType="end"/>
            </w:r>
          </w:p>
        </w:tc>
        <w:tc>
          <w:tcPr>
            <w:tcW w:w="907" w:type="dxa"/>
            <w:shd w:val="clear"/>
            <w:tcMar>
              <w:top w:w="100" w:type="dxa"/>
              <w:left w:w="160" w:type="dxa"/>
              <w:bottom w:w="100" w:type="dxa"/>
              <w:right w:w="0" w:type="dxa"/>
            </w:tcMar>
            <w:vAlign w:val="center"/>
          </w:tcPr>
          <w:p w14:paraId="7FEC70BB">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前景理论参数校准</w:t>
            </w:r>
          </w:p>
        </w:tc>
      </w:tr>
      <w:tr w14:paraId="62E296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70" w:type="dxa"/>
            <w:shd w:val="clear"/>
            <w:tcMar>
              <w:top w:w="100" w:type="dxa"/>
              <w:left w:w="0" w:type="dxa"/>
              <w:bottom w:w="100" w:type="dxa"/>
              <w:right w:w="160" w:type="dxa"/>
            </w:tcMar>
            <w:vAlign w:val="center"/>
          </w:tcPr>
          <w:p w14:paraId="2A90D3B5">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2</w:t>
            </w:r>
          </w:p>
        </w:tc>
        <w:tc>
          <w:tcPr>
            <w:tcW w:w="2003" w:type="dxa"/>
            <w:shd w:val="clear"/>
            <w:tcMar>
              <w:top w:w="100" w:type="dxa"/>
              <w:left w:w="160" w:type="dxa"/>
              <w:bottom w:w="100" w:type="dxa"/>
              <w:right w:w="160" w:type="dxa"/>
            </w:tcMar>
            <w:vAlign w:val="center"/>
          </w:tcPr>
          <w:p w14:paraId="7C53A662">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Pecan Street Dataport</w:t>
            </w:r>
          </w:p>
        </w:tc>
        <w:tc>
          <w:tcPr>
            <w:tcW w:w="1470" w:type="dxa"/>
            <w:shd w:val="clear"/>
            <w:tcMar>
              <w:top w:w="100" w:type="dxa"/>
              <w:left w:w="160" w:type="dxa"/>
              <w:bottom w:w="100" w:type="dxa"/>
              <w:right w:w="160" w:type="dxa"/>
            </w:tcMar>
            <w:vAlign w:val="center"/>
          </w:tcPr>
          <w:p w14:paraId="2066A9DD">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1分钟/秒级电路级数据</w:t>
            </w:r>
          </w:p>
        </w:tc>
        <w:tc>
          <w:tcPr>
            <w:tcW w:w="3526" w:type="dxa"/>
            <w:shd w:val="clear"/>
            <w:tcMar>
              <w:top w:w="100" w:type="dxa"/>
              <w:left w:w="160" w:type="dxa"/>
              <w:bottom w:w="100" w:type="dxa"/>
              <w:right w:w="160" w:type="dxa"/>
            </w:tcMar>
            <w:vAlign w:val="center"/>
          </w:tcPr>
          <w:p w14:paraId="721539EA">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fldChar w:fldCharType="begin"/>
            </w:r>
            <w:r>
              <w:rPr>
                <w:rFonts w:hint="eastAsia" w:ascii="宋体" w:hAnsi="宋体" w:eastAsia="宋体" w:cs="宋体"/>
                <w:sz w:val="21"/>
                <w:szCs w:val="21"/>
                <w:lang w:val="en-US" w:eastAsia="zh-CN"/>
              </w:rPr>
              <w:instrText xml:space="preserve"> HYPERLINK "https://www.pecanstreet.org/dataport" \t "https://chat.deepseek.com/a/chat/s/_blank" </w:instrText>
            </w:r>
            <w:r>
              <w:rPr>
                <w:rFonts w:hint="eastAsia" w:ascii="宋体" w:hAnsi="宋体" w:eastAsia="宋体" w:cs="宋体"/>
                <w:sz w:val="21"/>
                <w:szCs w:val="21"/>
                <w:lang w:val="en-US" w:eastAsia="zh-CN"/>
              </w:rPr>
              <w:fldChar w:fldCharType="separate"/>
            </w:r>
            <w:r>
              <w:rPr>
                <w:rStyle w:val="9"/>
                <w:rFonts w:hint="eastAsia" w:ascii="宋体" w:hAnsi="宋体" w:eastAsia="宋体" w:cs="宋体"/>
                <w:color w:val="3964FE"/>
                <w:sz w:val="21"/>
                <w:szCs w:val="21"/>
                <w:u w:val="none"/>
              </w:rPr>
              <w:t>https://www.pecanstreet.org/dataport</w:t>
            </w:r>
            <w:r>
              <w:rPr>
                <w:rFonts w:hint="eastAsia" w:ascii="宋体" w:hAnsi="宋体" w:eastAsia="宋体" w:cs="宋体"/>
                <w:sz w:val="21"/>
                <w:szCs w:val="21"/>
                <w:lang w:val="en-US" w:eastAsia="zh-CN"/>
              </w:rPr>
              <w:fldChar w:fldCharType="end"/>
            </w:r>
          </w:p>
        </w:tc>
        <w:tc>
          <w:tcPr>
            <w:tcW w:w="907" w:type="dxa"/>
            <w:shd w:val="clear"/>
            <w:tcMar>
              <w:top w:w="100" w:type="dxa"/>
              <w:left w:w="160" w:type="dxa"/>
              <w:bottom w:w="100" w:type="dxa"/>
              <w:right w:w="0" w:type="dxa"/>
            </w:tcMar>
            <w:vAlign w:val="center"/>
          </w:tcPr>
          <w:p w14:paraId="3641DEF7">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可调负荷识别</w:t>
            </w:r>
          </w:p>
        </w:tc>
      </w:tr>
      <w:tr w14:paraId="1F84DA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70" w:type="dxa"/>
            <w:shd w:val="clear"/>
            <w:tcMar>
              <w:top w:w="100" w:type="dxa"/>
              <w:left w:w="0" w:type="dxa"/>
              <w:bottom w:w="100" w:type="dxa"/>
              <w:right w:w="160" w:type="dxa"/>
            </w:tcMar>
            <w:vAlign w:val="center"/>
          </w:tcPr>
          <w:p w14:paraId="1CE576FC">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3</w:t>
            </w:r>
          </w:p>
        </w:tc>
        <w:tc>
          <w:tcPr>
            <w:tcW w:w="2003" w:type="dxa"/>
            <w:shd w:val="clear"/>
            <w:tcMar>
              <w:top w:w="100" w:type="dxa"/>
              <w:left w:w="160" w:type="dxa"/>
              <w:bottom w:w="100" w:type="dxa"/>
              <w:right w:w="160" w:type="dxa"/>
            </w:tcMar>
            <w:vAlign w:val="center"/>
          </w:tcPr>
          <w:p w14:paraId="62C7955A">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GEFCom2012负荷预测数据集</w:t>
            </w:r>
          </w:p>
        </w:tc>
        <w:tc>
          <w:tcPr>
            <w:tcW w:w="1470" w:type="dxa"/>
            <w:shd w:val="clear"/>
            <w:tcMar>
              <w:top w:w="100" w:type="dxa"/>
              <w:left w:w="160" w:type="dxa"/>
              <w:bottom w:w="100" w:type="dxa"/>
              <w:right w:w="160" w:type="dxa"/>
            </w:tcMar>
            <w:vAlign w:val="center"/>
          </w:tcPr>
          <w:p w14:paraId="0FBF0FF4">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20区域逐时负荷+气象</w:t>
            </w:r>
          </w:p>
        </w:tc>
        <w:tc>
          <w:tcPr>
            <w:tcW w:w="3526" w:type="dxa"/>
            <w:shd w:val="clear"/>
            <w:tcMar>
              <w:top w:w="100" w:type="dxa"/>
              <w:left w:w="160" w:type="dxa"/>
              <w:bottom w:w="100" w:type="dxa"/>
              <w:right w:w="160" w:type="dxa"/>
            </w:tcMar>
            <w:vAlign w:val="center"/>
          </w:tcPr>
          <w:p w14:paraId="41CEC917">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fldChar w:fldCharType="begin"/>
            </w:r>
            <w:r>
              <w:rPr>
                <w:rFonts w:hint="eastAsia" w:ascii="宋体" w:hAnsi="宋体" w:eastAsia="宋体" w:cs="宋体"/>
                <w:sz w:val="21"/>
                <w:szCs w:val="21"/>
                <w:lang w:val="en-US" w:eastAsia="zh-CN"/>
              </w:rPr>
              <w:instrText xml:space="preserve"> HYPERLINK "https://www.kaggle.com/" \t "https://chat.deepseek.com/a/chat/s/_blank" </w:instrText>
            </w:r>
            <w:r>
              <w:rPr>
                <w:rFonts w:hint="eastAsia" w:ascii="宋体" w:hAnsi="宋体" w:eastAsia="宋体" w:cs="宋体"/>
                <w:sz w:val="21"/>
                <w:szCs w:val="21"/>
                <w:lang w:val="en-US" w:eastAsia="zh-CN"/>
              </w:rPr>
              <w:fldChar w:fldCharType="separate"/>
            </w:r>
            <w:r>
              <w:rPr>
                <w:rStyle w:val="9"/>
                <w:rFonts w:hint="eastAsia" w:ascii="宋体" w:hAnsi="宋体" w:eastAsia="宋体" w:cs="宋体"/>
                <w:color w:val="3964FE"/>
                <w:sz w:val="21"/>
                <w:szCs w:val="21"/>
                <w:u w:val="none"/>
              </w:rPr>
              <w:t>https://www.kaggle.com</w:t>
            </w:r>
            <w:r>
              <w:rPr>
                <w:rFonts w:hint="eastAsia" w:ascii="宋体" w:hAnsi="宋体" w:eastAsia="宋体" w:cs="宋体"/>
                <w:sz w:val="21"/>
                <w:szCs w:val="21"/>
                <w:lang w:val="en-US" w:eastAsia="zh-CN"/>
              </w:rPr>
              <w:fldChar w:fldCharType="end"/>
            </w:r>
            <w:r>
              <w:rPr>
                <w:rFonts w:hint="eastAsia" w:ascii="宋体" w:hAnsi="宋体" w:eastAsia="宋体" w:cs="宋体"/>
                <w:sz w:val="21"/>
                <w:szCs w:val="21"/>
                <w:lang w:val="en-US" w:eastAsia="zh-CN"/>
              </w:rPr>
              <w:t>（搜索“GEFCom 2012”）</w:t>
            </w:r>
          </w:p>
        </w:tc>
        <w:tc>
          <w:tcPr>
            <w:tcW w:w="907" w:type="dxa"/>
            <w:shd w:val="clear"/>
            <w:tcMar>
              <w:top w:w="100" w:type="dxa"/>
              <w:left w:w="160" w:type="dxa"/>
              <w:bottom w:w="100" w:type="dxa"/>
              <w:right w:w="0" w:type="dxa"/>
            </w:tcMar>
            <w:vAlign w:val="center"/>
          </w:tcPr>
          <w:p w14:paraId="52989E48">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负荷预测基准</w:t>
            </w:r>
          </w:p>
        </w:tc>
      </w:tr>
    </w:tbl>
    <w:p w14:paraId="02C344EA">
      <w:pPr>
        <w:bidi w:val="0"/>
        <w:spacing w:line="360" w:lineRule="auto"/>
        <w:rPr>
          <w:rFonts w:hint="eastAsia" w:ascii="宋体" w:hAnsi="宋体" w:eastAsia="宋体" w:cs="宋体"/>
          <w:b/>
          <w:bCs/>
          <w:sz w:val="22"/>
          <w:szCs w:val="22"/>
        </w:rPr>
      </w:pPr>
      <w:r>
        <w:rPr>
          <w:rFonts w:hint="eastAsia" w:ascii="宋体" w:hAnsi="宋体" w:eastAsia="宋体" w:cs="宋体"/>
          <w:b/>
          <w:bCs/>
          <w:sz w:val="22"/>
          <w:szCs w:val="22"/>
        </w:rPr>
        <w:t>4.4 电价数据</w:t>
      </w:r>
    </w:p>
    <w:tbl>
      <w:tblPr>
        <w:tblW w:w="867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629"/>
        <w:gridCol w:w="1090"/>
        <w:gridCol w:w="1380"/>
        <w:gridCol w:w="4490"/>
        <w:gridCol w:w="1084"/>
      </w:tblGrid>
      <w:tr w14:paraId="5B7F07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629" w:type="dxa"/>
            <w:tcBorders>
              <w:top w:val="nil"/>
            </w:tcBorders>
            <w:shd w:val="clear"/>
            <w:tcMar>
              <w:top w:w="100" w:type="dxa"/>
              <w:left w:w="0" w:type="dxa"/>
              <w:bottom w:w="100" w:type="dxa"/>
              <w:right w:w="160" w:type="dxa"/>
            </w:tcMar>
            <w:vAlign w:val="center"/>
          </w:tcPr>
          <w:p w14:paraId="292B0C08">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序号</w:t>
            </w:r>
          </w:p>
        </w:tc>
        <w:tc>
          <w:tcPr>
            <w:tcW w:w="1090" w:type="dxa"/>
            <w:tcBorders>
              <w:top w:val="nil"/>
            </w:tcBorders>
            <w:shd w:val="clear"/>
            <w:tcMar>
              <w:top w:w="100" w:type="dxa"/>
              <w:left w:w="160" w:type="dxa"/>
              <w:bottom w:w="100" w:type="dxa"/>
              <w:right w:w="160" w:type="dxa"/>
            </w:tcMar>
            <w:vAlign w:val="center"/>
          </w:tcPr>
          <w:p w14:paraId="24C3F121">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数据集名称</w:t>
            </w:r>
          </w:p>
        </w:tc>
        <w:tc>
          <w:tcPr>
            <w:tcW w:w="1380" w:type="dxa"/>
            <w:tcBorders>
              <w:top w:val="nil"/>
            </w:tcBorders>
            <w:shd w:val="clear"/>
            <w:tcMar>
              <w:top w:w="100" w:type="dxa"/>
              <w:left w:w="160" w:type="dxa"/>
              <w:bottom w:w="100" w:type="dxa"/>
              <w:right w:w="160" w:type="dxa"/>
            </w:tcMar>
            <w:vAlign w:val="center"/>
          </w:tcPr>
          <w:p w14:paraId="72FBD359">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核心内容</w:t>
            </w:r>
          </w:p>
        </w:tc>
        <w:tc>
          <w:tcPr>
            <w:tcW w:w="4490" w:type="dxa"/>
            <w:tcBorders>
              <w:top w:val="nil"/>
            </w:tcBorders>
            <w:shd w:val="clear"/>
            <w:tcMar>
              <w:top w:w="100" w:type="dxa"/>
              <w:left w:w="160" w:type="dxa"/>
              <w:bottom w:w="100" w:type="dxa"/>
              <w:right w:w="160" w:type="dxa"/>
            </w:tcMar>
            <w:vAlign w:val="center"/>
          </w:tcPr>
          <w:p w14:paraId="3EB431E2">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直接网址</w:t>
            </w:r>
          </w:p>
        </w:tc>
        <w:tc>
          <w:tcPr>
            <w:tcW w:w="1084" w:type="dxa"/>
            <w:tcBorders>
              <w:top w:val="nil"/>
            </w:tcBorders>
            <w:shd w:val="clear"/>
            <w:tcMar>
              <w:top w:w="100" w:type="dxa"/>
              <w:left w:w="160" w:type="dxa"/>
              <w:bottom w:w="100" w:type="dxa"/>
              <w:right w:w="160" w:type="dxa"/>
            </w:tcMar>
            <w:vAlign w:val="center"/>
          </w:tcPr>
          <w:p w14:paraId="39ED2EBF">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用途</w:t>
            </w:r>
          </w:p>
        </w:tc>
      </w:tr>
      <w:tr w14:paraId="15D52F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629" w:type="dxa"/>
            <w:shd w:val="clear"/>
            <w:tcMar>
              <w:top w:w="100" w:type="dxa"/>
              <w:left w:w="0" w:type="dxa"/>
              <w:bottom w:w="100" w:type="dxa"/>
              <w:right w:w="160" w:type="dxa"/>
            </w:tcMar>
            <w:vAlign w:val="center"/>
          </w:tcPr>
          <w:p w14:paraId="501C627A">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1</w:t>
            </w:r>
          </w:p>
        </w:tc>
        <w:tc>
          <w:tcPr>
            <w:tcW w:w="1090" w:type="dxa"/>
            <w:shd w:val="clear"/>
            <w:tcMar>
              <w:top w:w="100" w:type="dxa"/>
              <w:left w:w="160" w:type="dxa"/>
              <w:bottom w:w="100" w:type="dxa"/>
              <w:right w:w="160" w:type="dxa"/>
            </w:tcMar>
            <w:vAlign w:val="center"/>
          </w:tcPr>
          <w:p w14:paraId="1510C9B5">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广东电力交易中心系统</w:t>
            </w:r>
          </w:p>
        </w:tc>
        <w:tc>
          <w:tcPr>
            <w:tcW w:w="1380" w:type="dxa"/>
            <w:shd w:val="clear"/>
            <w:tcMar>
              <w:top w:w="100" w:type="dxa"/>
              <w:left w:w="160" w:type="dxa"/>
              <w:bottom w:w="100" w:type="dxa"/>
              <w:right w:w="160" w:type="dxa"/>
            </w:tcMar>
            <w:vAlign w:val="center"/>
          </w:tcPr>
          <w:p w14:paraId="1282363B">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现货结算月正式结果</w:t>
            </w:r>
          </w:p>
        </w:tc>
        <w:tc>
          <w:tcPr>
            <w:tcW w:w="4490" w:type="dxa"/>
            <w:shd w:val="clear"/>
            <w:tcMar>
              <w:top w:w="100" w:type="dxa"/>
              <w:left w:w="160" w:type="dxa"/>
              <w:bottom w:w="100" w:type="dxa"/>
              <w:right w:w="160" w:type="dxa"/>
            </w:tcMar>
            <w:vAlign w:val="center"/>
          </w:tcPr>
          <w:p w14:paraId="02E99DAA">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fldChar w:fldCharType="begin"/>
            </w:r>
            <w:r>
              <w:rPr>
                <w:rFonts w:hint="eastAsia" w:ascii="宋体" w:hAnsi="宋体" w:eastAsia="宋体" w:cs="宋体"/>
                <w:sz w:val="21"/>
                <w:szCs w:val="21"/>
                <w:lang w:val="en-US" w:eastAsia="zh-CN"/>
              </w:rPr>
              <w:instrText xml:space="preserve"> HYPERLINK "https://pm.gd.csg.cn/" \t "https://chat.deepseek.com/a/chat/s/_blank" </w:instrText>
            </w:r>
            <w:r>
              <w:rPr>
                <w:rFonts w:hint="eastAsia" w:ascii="宋体" w:hAnsi="宋体" w:eastAsia="宋体" w:cs="宋体"/>
                <w:sz w:val="21"/>
                <w:szCs w:val="21"/>
                <w:lang w:val="en-US" w:eastAsia="zh-CN"/>
              </w:rPr>
              <w:fldChar w:fldCharType="separate"/>
            </w:r>
            <w:r>
              <w:rPr>
                <w:rStyle w:val="9"/>
                <w:rFonts w:hint="eastAsia" w:ascii="宋体" w:hAnsi="宋体" w:eastAsia="宋体" w:cs="宋体"/>
                <w:color w:val="3964FE"/>
                <w:sz w:val="21"/>
                <w:szCs w:val="21"/>
                <w:u w:val="none"/>
              </w:rPr>
              <w:t>https://pm.gd.csg.cn</w:t>
            </w:r>
            <w:r>
              <w:rPr>
                <w:rFonts w:hint="eastAsia" w:ascii="宋体" w:hAnsi="宋体" w:eastAsia="宋体" w:cs="宋体"/>
                <w:sz w:val="21"/>
                <w:szCs w:val="21"/>
                <w:lang w:val="en-US" w:eastAsia="zh-CN"/>
              </w:rPr>
              <w:fldChar w:fldCharType="end"/>
            </w:r>
            <w:r>
              <w:rPr>
                <w:rFonts w:hint="eastAsia" w:ascii="宋体" w:hAnsi="宋体" w:eastAsia="宋体" w:cs="宋体"/>
                <w:sz w:val="21"/>
                <w:szCs w:val="21"/>
                <w:lang w:val="en-US" w:eastAsia="zh-CN"/>
              </w:rPr>
              <w:t>（需注册）</w:t>
            </w:r>
          </w:p>
        </w:tc>
        <w:tc>
          <w:tcPr>
            <w:tcW w:w="1084" w:type="dxa"/>
            <w:shd w:val="clear"/>
            <w:tcMar>
              <w:top w:w="100" w:type="dxa"/>
              <w:left w:w="160" w:type="dxa"/>
              <w:bottom w:w="100" w:type="dxa"/>
              <w:right w:w="0" w:type="dxa"/>
            </w:tcMar>
            <w:vAlign w:val="center"/>
          </w:tcPr>
          <w:p w14:paraId="708127C9">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MPC实时价格信号</w:t>
            </w:r>
          </w:p>
        </w:tc>
      </w:tr>
      <w:tr w14:paraId="69285E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29" w:type="dxa"/>
            <w:shd w:val="clear"/>
            <w:tcMar>
              <w:top w:w="100" w:type="dxa"/>
              <w:left w:w="0" w:type="dxa"/>
              <w:bottom w:w="100" w:type="dxa"/>
              <w:right w:w="160" w:type="dxa"/>
            </w:tcMar>
            <w:vAlign w:val="center"/>
          </w:tcPr>
          <w:p w14:paraId="08C87653">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2</w:t>
            </w:r>
          </w:p>
        </w:tc>
        <w:tc>
          <w:tcPr>
            <w:tcW w:w="1090" w:type="dxa"/>
            <w:shd w:val="clear"/>
            <w:tcMar>
              <w:top w:w="100" w:type="dxa"/>
              <w:left w:w="160" w:type="dxa"/>
              <w:bottom w:w="100" w:type="dxa"/>
              <w:right w:w="160" w:type="dxa"/>
            </w:tcMar>
            <w:vAlign w:val="center"/>
          </w:tcPr>
          <w:p w14:paraId="1533DB7D">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广东智能电网AI数据集</w:t>
            </w:r>
          </w:p>
        </w:tc>
        <w:tc>
          <w:tcPr>
            <w:tcW w:w="1380" w:type="dxa"/>
            <w:shd w:val="clear"/>
            <w:tcMar>
              <w:top w:w="100" w:type="dxa"/>
              <w:left w:w="160" w:type="dxa"/>
              <w:bottom w:w="100" w:type="dxa"/>
              <w:right w:w="160" w:type="dxa"/>
            </w:tcMar>
            <w:vAlign w:val="center"/>
          </w:tcPr>
          <w:p w14:paraId="2CC9A59B">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2024-2025年日前/实时电价</w:t>
            </w:r>
          </w:p>
        </w:tc>
        <w:tc>
          <w:tcPr>
            <w:tcW w:w="4490" w:type="dxa"/>
            <w:shd w:val="clear"/>
            <w:tcMar>
              <w:top w:w="100" w:type="dxa"/>
              <w:left w:w="160" w:type="dxa"/>
              <w:bottom w:w="100" w:type="dxa"/>
              <w:right w:w="160" w:type="dxa"/>
            </w:tcMar>
            <w:vAlign w:val="center"/>
          </w:tcPr>
          <w:p w14:paraId="4FE9D3A6">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fldChar w:fldCharType="begin"/>
            </w:r>
            <w:r>
              <w:rPr>
                <w:rFonts w:hint="eastAsia" w:ascii="宋体" w:hAnsi="宋体" w:eastAsia="宋体" w:cs="宋体"/>
                <w:sz w:val="21"/>
                <w:szCs w:val="21"/>
                <w:lang w:val="en-US" w:eastAsia="zh-CN"/>
              </w:rPr>
              <w:instrText xml:space="preserve"> HYPERLINK "https://ieee-dataport.org/documents/guangdong-smart-grid-ai-dataset" \t "https://chat.deepseek.com/a/chat/s/_blank" </w:instrText>
            </w:r>
            <w:r>
              <w:rPr>
                <w:rFonts w:hint="eastAsia" w:ascii="宋体" w:hAnsi="宋体" w:eastAsia="宋体" w:cs="宋体"/>
                <w:sz w:val="21"/>
                <w:szCs w:val="21"/>
                <w:lang w:val="en-US" w:eastAsia="zh-CN"/>
              </w:rPr>
              <w:fldChar w:fldCharType="separate"/>
            </w:r>
            <w:r>
              <w:rPr>
                <w:rStyle w:val="9"/>
                <w:rFonts w:hint="eastAsia" w:ascii="宋体" w:hAnsi="宋体" w:eastAsia="宋体" w:cs="宋体"/>
                <w:color w:val="3964FE"/>
                <w:sz w:val="21"/>
                <w:szCs w:val="21"/>
                <w:u w:val="none"/>
              </w:rPr>
              <w:t>https://ieee-dataport.org/documents/guangdong-smart-grid-ai-dataset</w:t>
            </w:r>
            <w:r>
              <w:rPr>
                <w:rFonts w:hint="eastAsia" w:ascii="宋体" w:hAnsi="宋体" w:eastAsia="宋体" w:cs="宋体"/>
                <w:sz w:val="21"/>
                <w:szCs w:val="21"/>
                <w:lang w:val="en-US" w:eastAsia="zh-CN"/>
              </w:rPr>
              <w:fldChar w:fldCharType="end"/>
            </w:r>
          </w:p>
        </w:tc>
        <w:tc>
          <w:tcPr>
            <w:tcW w:w="1084" w:type="dxa"/>
            <w:shd w:val="clear"/>
            <w:tcMar>
              <w:top w:w="100" w:type="dxa"/>
              <w:left w:w="160" w:type="dxa"/>
              <w:bottom w:w="100" w:type="dxa"/>
              <w:right w:w="0" w:type="dxa"/>
            </w:tcMar>
            <w:vAlign w:val="center"/>
          </w:tcPr>
          <w:p w14:paraId="4B9FA88A">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电价预测模型训练</w:t>
            </w:r>
          </w:p>
        </w:tc>
      </w:tr>
      <w:tr w14:paraId="58BD50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29" w:type="dxa"/>
            <w:shd w:val="clear"/>
            <w:tcMar>
              <w:top w:w="100" w:type="dxa"/>
              <w:left w:w="0" w:type="dxa"/>
              <w:bottom w:w="100" w:type="dxa"/>
              <w:right w:w="160" w:type="dxa"/>
            </w:tcMar>
            <w:vAlign w:val="center"/>
          </w:tcPr>
          <w:p w14:paraId="7D5FAF2C">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3</w:t>
            </w:r>
          </w:p>
        </w:tc>
        <w:tc>
          <w:tcPr>
            <w:tcW w:w="1090" w:type="dxa"/>
            <w:shd w:val="clear"/>
            <w:tcMar>
              <w:top w:w="100" w:type="dxa"/>
              <w:left w:w="160" w:type="dxa"/>
              <w:bottom w:w="100" w:type="dxa"/>
              <w:right w:w="160" w:type="dxa"/>
            </w:tcMar>
            <w:vAlign w:val="center"/>
          </w:tcPr>
          <w:p w14:paraId="4A2E41BA">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广东省发改委官网</w:t>
            </w:r>
          </w:p>
        </w:tc>
        <w:tc>
          <w:tcPr>
            <w:tcW w:w="1380" w:type="dxa"/>
            <w:shd w:val="clear"/>
            <w:tcMar>
              <w:top w:w="100" w:type="dxa"/>
              <w:left w:w="160" w:type="dxa"/>
              <w:bottom w:w="100" w:type="dxa"/>
              <w:right w:w="160" w:type="dxa"/>
            </w:tcMar>
            <w:vAlign w:val="center"/>
          </w:tcPr>
          <w:p w14:paraId="003DDA00">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代理购电电价表、峰谷电价</w:t>
            </w:r>
          </w:p>
        </w:tc>
        <w:tc>
          <w:tcPr>
            <w:tcW w:w="4490" w:type="dxa"/>
            <w:shd w:val="clear"/>
            <w:tcMar>
              <w:top w:w="100" w:type="dxa"/>
              <w:left w:w="160" w:type="dxa"/>
              <w:bottom w:w="100" w:type="dxa"/>
              <w:right w:w="160" w:type="dxa"/>
            </w:tcMar>
            <w:vAlign w:val="center"/>
          </w:tcPr>
          <w:p w14:paraId="2FB5B668">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fldChar w:fldCharType="begin"/>
            </w:r>
            <w:r>
              <w:rPr>
                <w:rFonts w:hint="eastAsia" w:ascii="宋体" w:hAnsi="宋体" w:eastAsia="宋体" w:cs="宋体"/>
                <w:sz w:val="21"/>
                <w:szCs w:val="21"/>
                <w:lang w:val="en-US" w:eastAsia="zh-CN"/>
              </w:rPr>
              <w:instrText xml:space="preserve"> HYPERLINK "https://drc.gd.gov.cn/" \t "https://chat.deepseek.com/a/chat/s/_blank" </w:instrText>
            </w:r>
            <w:r>
              <w:rPr>
                <w:rFonts w:hint="eastAsia" w:ascii="宋体" w:hAnsi="宋体" w:eastAsia="宋体" w:cs="宋体"/>
                <w:sz w:val="21"/>
                <w:szCs w:val="21"/>
                <w:lang w:val="en-US" w:eastAsia="zh-CN"/>
              </w:rPr>
              <w:fldChar w:fldCharType="separate"/>
            </w:r>
            <w:r>
              <w:rPr>
                <w:rStyle w:val="9"/>
                <w:rFonts w:hint="eastAsia" w:ascii="宋体" w:hAnsi="宋体" w:eastAsia="宋体" w:cs="宋体"/>
                <w:color w:val="3964FE"/>
                <w:sz w:val="21"/>
                <w:szCs w:val="21"/>
                <w:u w:val="none"/>
              </w:rPr>
              <w:t>https://drc.gd.gov.cn</w:t>
            </w:r>
            <w:r>
              <w:rPr>
                <w:rFonts w:hint="eastAsia" w:ascii="宋体" w:hAnsi="宋体" w:eastAsia="宋体" w:cs="宋体"/>
                <w:sz w:val="21"/>
                <w:szCs w:val="21"/>
                <w:lang w:val="en-US" w:eastAsia="zh-CN"/>
              </w:rPr>
              <w:fldChar w:fldCharType="end"/>
            </w:r>
          </w:p>
        </w:tc>
        <w:tc>
          <w:tcPr>
            <w:tcW w:w="1084" w:type="dxa"/>
            <w:shd w:val="clear"/>
            <w:tcMar>
              <w:top w:w="100" w:type="dxa"/>
              <w:left w:w="160" w:type="dxa"/>
              <w:bottom w:w="100" w:type="dxa"/>
              <w:right w:w="0" w:type="dxa"/>
            </w:tcMar>
            <w:vAlign w:val="center"/>
          </w:tcPr>
          <w:p w14:paraId="27A6189C">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政策性电价参考</w:t>
            </w:r>
          </w:p>
        </w:tc>
      </w:tr>
    </w:tbl>
    <w:p w14:paraId="7274A106">
      <w:pPr>
        <w:bidi w:val="0"/>
        <w:spacing w:line="360" w:lineRule="auto"/>
        <w:rPr>
          <w:rFonts w:hint="eastAsia" w:ascii="宋体" w:hAnsi="宋体" w:eastAsia="宋体" w:cs="宋体"/>
          <w:b/>
          <w:bCs/>
          <w:sz w:val="22"/>
          <w:szCs w:val="22"/>
        </w:rPr>
      </w:pPr>
      <w:r>
        <w:rPr>
          <w:rFonts w:hint="eastAsia" w:ascii="宋体" w:hAnsi="宋体" w:eastAsia="宋体" w:cs="宋体"/>
          <w:b/>
          <w:bCs/>
          <w:sz w:val="22"/>
          <w:szCs w:val="22"/>
        </w:rPr>
        <w:t>4.5 Open-Meteo气象数据引擎</w:t>
      </w:r>
    </w:p>
    <w:tbl>
      <w:tblPr>
        <w:tblW w:w="75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55"/>
        <w:gridCol w:w="5865"/>
      </w:tblGrid>
      <w:tr w14:paraId="383C88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03A2229F">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项目</w:t>
            </w:r>
          </w:p>
        </w:tc>
        <w:tc>
          <w:tcPr>
            <w:tcW w:w="0" w:type="auto"/>
            <w:tcBorders>
              <w:top w:val="nil"/>
            </w:tcBorders>
            <w:shd w:val="clear"/>
            <w:tcMar>
              <w:top w:w="100" w:type="dxa"/>
              <w:left w:w="160" w:type="dxa"/>
              <w:bottom w:w="100" w:type="dxa"/>
              <w:right w:w="160" w:type="dxa"/>
            </w:tcMar>
            <w:vAlign w:val="center"/>
          </w:tcPr>
          <w:p w14:paraId="1593B0D7">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内容</w:t>
            </w:r>
          </w:p>
        </w:tc>
      </w:tr>
      <w:tr w14:paraId="54E42A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6EF00EA">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官方网址</w:t>
            </w:r>
          </w:p>
        </w:tc>
        <w:tc>
          <w:tcPr>
            <w:tcW w:w="0" w:type="auto"/>
            <w:shd w:val="clear"/>
            <w:tcMar>
              <w:top w:w="100" w:type="dxa"/>
              <w:left w:w="160" w:type="dxa"/>
              <w:bottom w:w="100" w:type="dxa"/>
              <w:right w:w="0" w:type="dxa"/>
            </w:tcMar>
            <w:vAlign w:val="center"/>
          </w:tcPr>
          <w:p w14:paraId="097A44FB">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fldChar w:fldCharType="begin"/>
            </w:r>
            <w:r>
              <w:rPr>
                <w:rFonts w:hint="eastAsia" w:ascii="宋体" w:hAnsi="宋体" w:eastAsia="宋体" w:cs="宋体"/>
                <w:sz w:val="21"/>
                <w:szCs w:val="21"/>
                <w:lang w:val="en-US" w:eastAsia="zh-CN"/>
              </w:rPr>
              <w:instrText xml:space="preserve"> HYPERLINK "https://open-meteo.com/" \t "https://chat.deepseek.com/a/chat/s/_blank" </w:instrText>
            </w:r>
            <w:r>
              <w:rPr>
                <w:rFonts w:hint="eastAsia" w:ascii="宋体" w:hAnsi="宋体" w:eastAsia="宋体" w:cs="宋体"/>
                <w:sz w:val="21"/>
                <w:szCs w:val="21"/>
                <w:lang w:val="en-US" w:eastAsia="zh-CN"/>
              </w:rPr>
              <w:fldChar w:fldCharType="separate"/>
            </w:r>
            <w:r>
              <w:rPr>
                <w:rStyle w:val="9"/>
                <w:rFonts w:hint="eastAsia" w:ascii="宋体" w:hAnsi="宋体" w:eastAsia="宋体" w:cs="宋体"/>
                <w:color w:val="3964FE"/>
                <w:sz w:val="21"/>
                <w:szCs w:val="21"/>
                <w:u w:val="none"/>
              </w:rPr>
              <w:t>https://open-meteo.com</w:t>
            </w:r>
            <w:r>
              <w:rPr>
                <w:rFonts w:hint="eastAsia" w:ascii="宋体" w:hAnsi="宋体" w:eastAsia="宋体" w:cs="宋体"/>
                <w:sz w:val="21"/>
                <w:szCs w:val="21"/>
                <w:lang w:val="en-US" w:eastAsia="zh-CN"/>
              </w:rPr>
              <w:fldChar w:fldCharType="end"/>
            </w:r>
          </w:p>
        </w:tc>
      </w:tr>
      <w:tr w14:paraId="1C8BE4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9BBA4D1">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API文档</w:t>
            </w:r>
          </w:p>
        </w:tc>
        <w:tc>
          <w:tcPr>
            <w:tcW w:w="0" w:type="auto"/>
            <w:shd w:val="clear"/>
            <w:tcMar>
              <w:top w:w="100" w:type="dxa"/>
              <w:left w:w="160" w:type="dxa"/>
              <w:bottom w:w="100" w:type="dxa"/>
              <w:right w:w="0" w:type="dxa"/>
            </w:tcMar>
            <w:vAlign w:val="center"/>
          </w:tcPr>
          <w:p w14:paraId="734C07DE">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fldChar w:fldCharType="begin"/>
            </w:r>
            <w:r>
              <w:rPr>
                <w:rFonts w:hint="eastAsia" w:ascii="宋体" w:hAnsi="宋体" w:eastAsia="宋体" w:cs="宋体"/>
                <w:sz w:val="21"/>
                <w:szCs w:val="21"/>
                <w:lang w:val="en-US" w:eastAsia="zh-CN"/>
              </w:rPr>
              <w:instrText xml:space="preserve"> HYPERLINK "https://open-meteo.com/en/docs" \t "https://chat.deepseek.com/a/chat/s/_blank" </w:instrText>
            </w:r>
            <w:r>
              <w:rPr>
                <w:rFonts w:hint="eastAsia" w:ascii="宋体" w:hAnsi="宋体" w:eastAsia="宋体" w:cs="宋体"/>
                <w:sz w:val="21"/>
                <w:szCs w:val="21"/>
                <w:lang w:val="en-US" w:eastAsia="zh-CN"/>
              </w:rPr>
              <w:fldChar w:fldCharType="separate"/>
            </w:r>
            <w:r>
              <w:rPr>
                <w:rStyle w:val="9"/>
                <w:rFonts w:hint="eastAsia" w:ascii="宋体" w:hAnsi="宋体" w:eastAsia="宋体" w:cs="宋体"/>
                <w:color w:val="3964FE"/>
                <w:sz w:val="21"/>
                <w:szCs w:val="21"/>
                <w:u w:val="none"/>
              </w:rPr>
              <w:t>https://open-meteo.com/en/docs</w:t>
            </w:r>
            <w:r>
              <w:rPr>
                <w:rFonts w:hint="eastAsia" w:ascii="宋体" w:hAnsi="宋体" w:eastAsia="宋体" w:cs="宋体"/>
                <w:sz w:val="21"/>
                <w:szCs w:val="21"/>
                <w:lang w:val="en-US" w:eastAsia="zh-CN"/>
              </w:rPr>
              <w:fldChar w:fldCharType="end"/>
            </w:r>
          </w:p>
        </w:tc>
      </w:tr>
      <w:tr w14:paraId="312360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DD4C341">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可替代的数据源</w:t>
            </w:r>
          </w:p>
        </w:tc>
        <w:tc>
          <w:tcPr>
            <w:tcW w:w="0" w:type="auto"/>
            <w:shd w:val="clear"/>
            <w:tcMar>
              <w:top w:w="100" w:type="dxa"/>
              <w:left w:w="160" w:type="dxa"/>
              <w:bottom w:w="100" w:type="dxa"/>
              <w:right w:w="0" w:type="dxa"/>
            </w:tcMar>
            <w:vAlign w:val="center"/>
          </w:tcPr>
          <w:p w14:paraId="3791DB89">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NASA POWER、CAMS、PVGIS、中国气象局、ERA5</w:t>
            </w:r>
          </w:p>
        </w:tc>
      </w:tr>
      <w:tr w14:paraId="7042DB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F7FF95D">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核心能力</w:t>
            </w:r>
          </w:p>
        </w:tc>
        <w:tc>
          <w:tcPr>
            <w:tcW w:w="0" w:type="auto"/>
            <w:shd w:val="clear"/>
            <w:tcMar>
              <w:top w:w="100" w:type="dxa"/>
              <w:left w:w="160" w:type="dxa"/>
              <w:bottom w:w="100" w:type="dxa"/>
              <w:right w:w="0" w:type="dxa"/>
            </w:tcMar>
            <w:vAlign w:val="center"/>
          </w:tcPr>
          <w:p w14:paraId="5580722A">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1-11km分辨率、15分钟级数据；16天预报；历史再分析数据</w:t>
            </w:r>
            <w:r>
              <w:rPr>
                <w:rFonts w:hint="eastAsia" w:ascii="宋体" w:hAnsi="宋体" w:eastAsia="宋体" w:cs="宋体"/>
                <w:sz w:val="21"/>
                <w:szCs w:val="21"/>
                <w:lang w:val="en-US" w:eastAsia="zh-CN"/>
              </w:rPr>
              <w:fldChar w:fldCharType="begin"/>
            </w:r>
            <w:r>
              <w:rPr>
                <w:rFonts w:hint="eastAsia" w:ascii="宋体" w:hAnsi="宋体" w:eastAsia="宋体" w:cs="宋体"/>
                <w:sz w:val="21"/>
                <w:szCs w:val="21"/>
                <w:lang w:val="en-US" w:eastAsia="zh-CN"/>
              </w:rPr>
              <w:instrText xml:space="preserve"> HYPERLINK "https://open-meteo.com/" \t "https://chat.deepseek.com/a/chat/s/_blank" </w:instrText>
            </w:r>
            <w:r>
              <w:rPr>
                <w:rFonts w:hint="eastAsia" w:ascii="宋体" w:hAnsi="宋体" w:eastAsia="宋体" w:cs="宋体"/>
                <w:sz w:val="21"/>
                <w:szCs w:val="21"/>
                <w:lang w:val="en-US" w:eastAsia="zh-CN"/>
              </w:rPr>
              <w:fldChar w:fldCharType="separate"/>
            </w:r>
            <w:r>
              <w:rPr>
                <w:rFonts w:hint="eastAsia" w:ascii="宋体" w:hAnsi="宋体" w:eastAsia="宋体" w:cs="宋体"/>
                <w:sz w:val="21"/>
                <w:szCs w:val="21"/>
                <w:lang w:val="en-US" w:eastAsia="zh-CN"/>
              </w:rPr>
              <w:fldChar w:fldCharType="end"/>
            </w:r>
            <w:r>
              <w:rPr>
                <w:rFonts w:hint="eastAsia" w:ascii="宋体" w:hAnsi="宋体" w:eastAsia="宋体" w:cs="宋体"/>
                <w:sz w:val="21"/>
                <w:szCs w:val="21"/>
                <w:lang w:val="en-US" w:eastAsia="zh-CN"/>
              </w:rPr>
              <w:fldChar w:fldCharType="begin"/>
            </w:r>
            <w:r>
              <w:rPr>
                <w:rFonts w:hint="eastAsia" w:ascii="宋体" w:hAnsi="宋体" w:eastAsia="宋体" w:cs="宋体"/>
                <w:sz w:val="21"/>
                <w:szCs w:val="21"/>
                <w:lang w:val="en-US" w:eastAsia="zh-CN"/>
              </w:rPr>
              <w:instrText xml:space="preserve"> HYPERLINK "https://open-meteo.com/en/docs" \t "https://chat.deepseek.com/a/chat/s/_blank" </w:instrText>
            </w:r>
            <w:r>
              <w:rPr>
                <w:rFonts w:hint="eastAsia" w:ascii="宋体" w:hAnsi="宋体" w:eastAsia="宋体" w:cs="宋体"/>
                <w:sz w:val="21"/>
                <w:szCs w:val="21"/>
                <w:lang w:val="en-US" w:eastAsia="zh-CN"/>
              </w:rPr>
              <w:fldChar w:fldCharType="separate"/>
            </w:r>
            <w:r>
              <w:rPr>
                <w:rFonts w:hint="eastAsia" w:ascii="宋体" w:hAnsi="宋体" w:eastAsia="宋体" w:cs="宋体"/>
                <w:sz w:val="21"/>
                <w:szCs w:val="21"/>
                <w:lang w:val="en-US" w:eastAsia="zh-CN"/>
              </w:rPr>
              <w:fldChar w:fldCharType="end"/>
            </w:r>
          </w:p>
        </w:tc>
      </w:tr>
      <w:tr w14:paraId="022F26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00D4B61">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关键变量</w:t>
            </w:r>
          </w:p>
        </w:tc>
        <w:tc>
          <w:tcPr>
            <w:tcW w:w="0" w:type="auto"/>
            <w:shd w:val="clear"/>
            <w:tcMar>
              <w:top w:w="100" w:type="dxa"/>
              <w:left w:w="160" w:type="dxa"/>
              <w:bottom w:w="100" w:type="dxa"/>
              <w:right w:w="0" w:type="dxa"/>
            </w:tcMar>
            <w:vAlign w:val="center"/>
          </w:tcPr>
          <w:p w14:paraId="3F302D1A">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GHI/DNI/DHI太阳辐射、气温、湿度、风速风向、天气代码等</w:t>
            </w:r>
            <w:r>
              <w:rPr>
                <w:rFonts w:hint="eastAsia" w:ascii="宋体" w:hAnsi="宋体" w:eastAsia="宋体" w:cs="宋体"/>
                <w:sz w:val="21"/>
                <w:szCs w:val="21"/>
                <w:lang w:val="en-US" w:eastAsia="zh-CN"/>
              </w:rPr>
              <w:fldChar w:fldCharType="begin"/>
            </w:r>
            <w:r>
              <w:rPr>
                <w:rFonts w:hint="eastAsia" w:ascii="宋体" w:hAnsi="宋体" w:eastAsia="宋体" w:cs="宋体"/>
                <w:sz w:val="21"/>
                <w:szCs w:val="21"/>
                <w:lang w:val="en-US" w:eastAsia="zh-CN"/>
              </w:rPr>
              <w:instrText xml:space="preserve"> HYPERLINK "https://open-meteo.com/" \t "https://chat.deepseek.com/a/chat/s/_blank" </w:instrText>
            </w:r>
            <w:r>
              <w:rPr>
                <w:rFonts w:hint="eastAsia" w:ascii="宋体" w:hAnsi="宋体" w:eastAsia="宋体" w:cs="宋体"/>
                <w:sz w:val="21"/>
                <w:szCs w:val="21"/>
                <w:lang w:val="en-US" w:eastAsia="zh-CN"/>
              </w:rPr>
              <w:fldChar w:fldCharType="separate"/>
            </w:r>
            <w:r>
              <w:rPr>
                <w:rFonts w:hint="eastAsia" w:ascii="宋体" w:hAnsi="宋体" w:eastAsia="宋体" w:cs="宋体"/>
                <w:sz w:val="21"/>
                <w:szCs w:val="21"/>
                <w:lang w:val="en-US" w:eastAsia="zh-CN"/>
              </w:rPr>
              <w:fldChar w:fldCharType="end"/>
            </w:r>
          </w:p>
        </w:tc>
      </w:tr>
    </w:tbl>
    <w:p w14:paraId="3B7777E7">
      <w:pPr>
        <w:bidi w:val="0"/>
        <w:spacing w:line="360" w:lineRule="auto"/>
        <w:rPr>
          <w:rFonts w:hint="eastAsia" w:ascii="宋体" w:hAnsi="宋体" w:eastAsia="宋体" w:cs="宋体"/>
          <w:sz w:val="21"/>
          <w:szCs w:val="21"/>
        </w:rPr>
      </w:pPr>
      <w:r>
        <w:rPr>
          <w:rFonts w:hint="eastAsia" w:ascii="宋体" w:hAnsi="宋体" w:eastAsia="宋体" w:cs="宋体"/>
          <w:sz w:val="21"/>
          <w:szCs w:val="21"/>
        </w:rPr>
        <w:t>Open-Meteo整合了来自ECMWF、NOAA、DWD、Météo-France等30多个气象模型的输出</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"https://open-meteo.com/" \t "https://chat.deepseek.com/a/chat/s/_blank" </w:instrText>
      </w:r>
      <w:r>
        <w:rPr>
          <w:rFonts w:hint="eastAsia" w:ascii="宋体" w:hAnsi="宋体" w:eastAsia="宋体" w:cs="宋体"/>
          <w:sz w:val="21"/>
          <w:szCs w:val="21"/>
        </w:rPr>
        <w:fldChar w:fldCharType="separate"/>
      </w:r>
      <w:r>
        <w:rPr>
          <w:rFonts w:hint="eastAsia" w:ascii="宋体" w:hAnsi="宋体" w:eastAsia="宋体" w:cs="宋体"/>
          <w:sz w:val="21"/>
          <w:szCs w:val="21"/>
        </w:rPr>
        <w:fldChar w:fldCharType="end"/>
      </w:r>
      <w:r>
        <w:rPr>
          <w:rFonts w:hint="eastAsia" w:ascii="宋体" w:hAnsi="宋体" w:eastAsia="宋体" w:cs="宋体"/>
          <w:sz w:val="21"/>
          <w:szCs w:val="21"/>
        </w:rPr>
        <w:t>，提供从1940年至今的ERA5再分析数据</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"https://open-meteo.com/" \t "https://chat.deepseek.com/a/chat/s/_blank" </w:instrText>
      </w:r>
      <w:r>
        <w:rPr>
          <w:rFonts w:hint="eastAsia" w:ascii="宋体" w:hAnsi="宋体" w:eastAsia="宋体" w:cs="宋体"/>
          <w:sz w:val="21"/>
          <w:szCs w:val="21"/>
        </w:rPr>
        <w:fldChar w:fldCharType="separate"/>
      </w:r>
      <w:r>
        <w:rPr>
          <w:rFonts w:hint="eastAsia" w:ascii="宋体" w:hAnsi="宋体" w:eastAsia="宋体" w:cs="宋体"/>
          <w:sz w:val="21"/>
          <w:szCs w:val="21"/>
        </w:rPr>
        <w:fldChar w:fldCharType="end"/>
      </w:r>
      <w:r>
        <w:rPr>
          <w:rFonts w:hint="eastAsia" w:ascii="宋体" w:hAnsi="宋体" w:eastAsia="宋体" w:cs="宋体"/>
          <w:sz w:val="21"/>
          <w:szCs w:val="21"/>
        </w:rPr>
        <w:t>，无需API密钥即可免费使用</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"https://open-meteo.com/" \t "https://chat.deepseek.com/a/chat/s/_blank" </w:instrText>
      </w:r>
      <w:r>
        <w:rPr>
          <w:rFonts w:hint="eastAsia" w:ascii="宋体" w:hAnsi="宋体" w:eastAsia="宋体" w:cs="宋体"/>
          <w:sz w:val="21"/>
          <w:szCs w:val="21"/>
        </w:rPr>
        <w:fldChar w:fldCharType="separate"/>
      </w:r>
      <w:r>
        <w:rPr>
          <w:rFonts w:hint="eastAsia" w:ascii="宋体" w:hAnsi="宋体" w:eastAsia="宋体" w:cs="宋体"/>
          <w:sz w:val="21"/>
          <w:szCs w:val="21"/>
        </w:rPr>
        <w:fldChar w:fldCharType="end"/>
      </w:r>
      <w:r>
        <w:rPr>
          <w:rFonts w:hint="eastAsia" w:ascii="宋体" w:hAnsi="宋体" w:eastAsia="宋体" w:cs="宋体"/>
          <w:sz w:val="21"/>
          <w:szCs w:val="21"/>
        </w:rPr>
        <w:t>。</w:t>
      </w:r>
    </w:p>
    <w:p w14:paraId="0ECB86EC">
      <w:pPr>
        <w:bidi w:val="0"/>
        <w:spacing w:line="360" w:lineRule="auto"/>
        <w:rPr>
          <w:rFonts w:hint="eastAsia" w:ascii="宋体" w:hAnsi="宋体" w:eastAsia="宋体" w:cs="宋体"/>
          <w:b/>
          <w:bCs/>
          <w:sz w:val="24"/>
          <w:szCs w:val="24"/>
        </w:rPr>
      </w:pPr>
      <w:r>
        <w:rPr>
          <w:rFonts w:hint="eastAsia" w:ascii="宋体" w:hAnsi="宋体" w:eastAsia="宋体" w:cs="宋体"/>
          <w:b/>
          <w:bCs/>
          <w:sz w:val="24"/>
          <w:szCs w:val="24"/>
        </w:rPr>
        <w:t>五、验证方案</w:t>
      </w:r>
    </w:p>
    <w:p w14:paraId="10216066">
      <w:pPr>
        <w:bidi w:val="0"/>
        <w:spacing w:line="360" w:lineRule="auto"/>
        <w:rPr>
          <w:rFonts w:hint="eastAsia" w:ascii="宋体" w:hAnsi="宋体" w:eastAsia="宋体" w:cs="宋体"/>
          <w:b/>
          <w:bCs/>
          <w:sz w:val="22"/>
          <w:szCs w:val="22"/>
        </w:rPr>
      </w:pPr>
      <w:r>
        <w:rPr>
          <w:rFonts w:hint="eastAsia" w:ascii="宋体" w:hAnsi="宋体" w:eastAsia="宋体" w:cs="宋体"/>
          <w:b/>
          <w:bCs/>
          <w:sz w:val="22"/>
          <w:szCs w:val="22"/>
        </w:rPr>
        <w:t>5.1 验证思路</w:t>
      </w:r>
    </w:p>
    <w:p w14:paraId="61C28DB3">
      <w:pPr>
        <w:bidi w:val="0"/>
        <w:spacing w:line="360" w:lineRule="auto"/>
        <w:rPr>
          <w:rFonts w:hint="eastAsia" w:ascii="宋体" w:hAnsi="宋体" w:eastAsia="宋体" w:cs="宋体"/>
          <w:sz w:val="21"/>
          <w:szCs w:val="21"/>
        </w:rPr>
      </w:pPr>
      <w:r>
        <w:rPr>
          <w:rFonts w:hint="eastAsia" w:ascii="宋体" w:hAnsi="宋体" w:eastAsia="宋体" w:cs="宋体"/>
          <w:sz w:val="21"/>
          <w:szCs w:val="21"/>
        </w:rPr>
        <w:t>本项目采用模块化验证策略——每个技术模块独立验证其有效性，再整合为完整系统进行端到端测试。</w:t>
      </w:r>
    </w:p>
    <w:tbl>
      <w:tblPr>
        <w:tblW w:w="75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94"/>
        <w:gridCol w:w="3757"/>
        <w:gridCol w:w="2769"/>
      </w:tblGrid>
      <w:tr w14:paraId="215B42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44CDD2C9">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模块</w:t>
            </w:r>
          </w:p>
        </w:tc>
        <w:tc>
          <w:tcPr>
            <w:tcW w:w="0" w:type="auto"/>
            <w:tcBorders>
              <w:top w:val="nil"/>
            </w:tcBorders>
            <w:shd w:val="clear"/>
            <w:tcMar>
              <w:top w:w="100" w:type="dxa"/>
              <w:left w:w="160" w:type="dxa"/>
              <w:bottom w:w="100" w:type="dxa"/>
              <w:right w:w="160" w:type="dxa"/>
            </w:tcMar>
            <w:vAlign w:val="center"/>
          </w:tcPr>
          <w:p w14:paraId="64396968">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验证方法</w:t>
            </w:r>
          </w:p>
        </w:tc>
        <w:tc>
          <w:tcPr>
            <w:tcW w:w="0" w:type="auto"/>
            <w:tcBorders>
              <w:top w:val="nil"/>
            </w:tcBorders>
            <w:shd w:val="clear"/>
            <w:tcMar>
              <w:top w:w="100" w:type="dxa"/>
              <w:left w:w="160" w:type="dxa"/>
              <w:bottom w:w="100" w:type="dxa"/>
              <w:right w:w="160" w:type="dxa"/>
            </w:tcMar>
            <w:vAlign w:val="center"/>
          </w:tcPr>
          <w:p w14:paraId="0A6DE249">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评价指标</w:t>
            </w:r>
          </w:p>
        </w:tc>
      </w:tr>
      <w:tr w14:paraId="5BB2D2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E8CC4CC">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行为感知层</w:t>
            </w:r>
          </w:p>
        </w:tc>
        <w:tc>
          <w:tcPr>
            <w:tcW w:w="0" w:type="auto"/>
            <w:shd w:val="clear"/>
            <w:tcMar>
              <w:top w:w="100" w:type="dxa"/>
              <w:left w:w="160" w:type="dxa"/>
              <w:bottom w:w="100" w:type="dxa"/>
              <w:right w:w="160" w:type="dxa"/>
            </w:tcMar>
            <w:vAlign w:val="center"/>
          </w:tcPr>
          <w:p w14:paraId="0C328AA7">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用历史负荷数据拟合前景理论参数，对比模拟响应与实际响应</w:t>
            </w:r>
          </w:p>
        </w:tc>
        <w:tc>
          <w:tcPr>
            <w:tcW w:w="0" w:type="auto"/>
            <w:shd w:val="clear"/>
            <w:tcMar>
              <w:top w:w="100" w:type="dxa"/>
              <w:left w:w="160" w:type="dxa"/>
              <w:bottom w:w="100" w:type="dxa"/>
              <w:right w:w="0" w:type="dxa"/>
            </w:tcMar>
            <w:vAlign w:val="center"/>
          </w:tcPr>
          <w:p w14:paraId="7EA93D66">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拟合优度（R²）、参数显著性</w:t>
            </w:r>
          </w:p>
        </w:tc>
      </w:tr>
      <w:tr w14:paraId="237CEC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21A8E2A">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不确定性量化层</w:t>
            </w:r>
          </w:p>
        </w:tc>
        <w:tc>
          <w:tcPr>
            <w:tcW w:w="0" w:type="auto"/>
            <w:shd w:val="clear"/>
            <w:tcMar>
              <w:top w:w="100" w:type="dxa"/>
              <w:left w:w="160" w:type="dxa"/>
              <w:bottom w:w="100" w:type="dxa"/>
              <w:right w:w="160" w:type="dxa"/>
            </w:tcMar>
            <w:vAlign w:val="center"/>
          </w:tcPr>
          <w:p w14:paraId="7D9EB2CB">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用共形预测生成预测区间，统计真实值落入区间的比例</w:t>
            </w:r>
          </w:p>
        </w:tc>
        <w:tc>
          <w:tcPr>
            <w:tcW w:w="0" w:type="auto"/>
            <w:shd w:val="clear"/>
            <w:tcMar>
              <w:top w:w="100" w:type="dxa"/>
              <w:left w:w="160" w:type="dxa"/>
              <w:bottom w:w="100" w:type="dxa"/>
              <w:right w:w="0" w:type="dxa"/>
            </w:tcMar>
            <w:vAlign w:val="center"/>
          </w:tcPr>
          <w:p w14:paraId="5493812A">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覆盖率（应接近预设置信水平）、区间平均宽度</w:t>
            </w:r>
          </w:p>
        </w:tc>
      </w:tr>
      <w:tr w14:paraId="11056E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A0E4F01">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滚动优化层</w:t>
            </w:r>
          </w:p>
        </w:tc>
        <w:tc>
          <w:tcPr>
            <w:tcW w:w="0" w:type="auto"/>
            <w:shd w:val="clear"/>
            <w:tcMar>
              <w:top w:w="100" w:type="dxa"/>
              <w:left w:w="160" w:type="dxa"/>
              <w:bottom w:w="100" w:type="dxa"/>
              <w:right w:w="160" w:type="dxa"/>
            </w:tcMar>
            <w:vAlign w:val="center"/>
          </w:tcPr>
          <w:p w14:paraId="0737FC3A">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用历史数据回测，对比MPC策略与基准策略（如固定策略、日前优化）</w:t>
            </w:r>
          </w:p>
        </w:tc>
        <w:tc>
          <w:tcPr>
            <w:tcW w:w="0" w:type="auto"/>
            <w:shd w:val="clear"/>
            <w:tcMar>
              <w:top w:w="100" w:type="dxa"/>
              <w:left w:w="160" w:type="dxa"/>
              <w:bottom w:w="100" w:type="dxa"/>
              <w:right w:w="0" w:type="dxa"/>
            </w:tcMar>
            <w:vAlign w:val="center"/>
          </w:tcPr>
          <w:p w14:paraId="04A22904">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总收益提升、峰谷套利效率、需求响应收益</w:t>
            </w:r>
          </w:p>
        </w:tc>
      </w:tr>
    </w:tbl>
    <w:p w14:paraId="6414A02D">
      <w:pPr>
        <w:bidi w:val="0"/>
        <w:spacing w:line="360" w:lineRule="auto"/>
        <w:rPr>
          <w:rFonts w:hint="eastAsia" w:ascii="宋体" w:hAnsi="宋体" w:eastAsia="宋体" w:cs="宋体"/>
          <w:sz w:val="21"/>
          <w:szCs w:val="21"/>
        </w:rPr>
      </w:pPr>
      <w:r>
        <w:rPr>
          <w:rFonts w:hint="eastAsia" w:ascii="宋体" w:hAnsi="宋体" w:eastAsia="宋体" w:cs="宋体"/>
          <w:sz w:val="21"/>
          <w:szCs w:val="21"/>
        </w:rPr>
        <w:t>5.2 数据来源（验证用）</w:t>
      </w:r>
    </w:p>
    <w:p w14:paraId="5A80B759">
      <w:pPr>
        <w:bidi w:val="0"/>
        <w:spacing w:line="360" w:lineRule="auto"/>
        <w:rPr>
          <w:rFonts w:hint="eastAsia" w:ascii="宋体" w:hAnsi="宋体" w:eastAsia="宋体" w:cs="宋体"/>
          <w:sz w:val="21"/>
          <w:szCs w:val="21"/>
        </w:rPr>
      </w:pPr>
      <w:r>
        <w:rPr>
          <w:rFonts w:hint="eastAsia" w:ascii="宋体" w:hAnsi="宋体" w:eastAsia="宋体" w:cs="宋体"/>
          <w:sz w:val="21"/>
          <w:szCs w:val="21"/>
        </w:rPr>
        <w:t>所有数据均为公开免费，已逐一验证可下载：</w:t>
      </w:r>
    </w:p>
    <w:tbl>
      <w:tblPr>
        <w:tblW w:w="788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669"/>
        <w:gridCol w:w="1250"/>
        <w:gridCol w:w="4966"/>
      </w:tblGrid>
      <w:tr w14:paraId="1E1C0D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9" w:type="dxa"/>
            <w:tcBorders>
              <w:top w:val="nil"/>
            </w:tcBorders>
            <w:shd w:val="clear"/>
            <w:tcMar>
              <w:top w:w="100" w:type="dxa"/>
              <w:left w:w="0" w:type="dxa"/>
              <w:bottom w:w="100" w:type="dxa"/>
              <w:right w:w="160" w:type="dxa"/>
            </w:tcMar>
            <w:vAlign w:val="center"/>
          </w:tcPr>
          <w:p w14:paraId="040F20CC">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数据类型</w:t>
            </w:r>
          </w:p>
        </w:tc>
        <w:tc>
          <w:tcPr>
            <w:tcW w:w="1250" w:type="dxa"/>
            <w:tcBorders>
              <w:top w:val="nil"/>
            </w:tcBorders>
            <w:shd w:val="clear"/>
            <w:tcMar>
              <w:top w:w="100" w:type="dxa"/>
              <w:left w:w="160" w:type="dxa"/>
              <w:bottom w:w="100" w:type="dxa"/>
              <w:right w:w="160" w:type="dxa"/>
            </w:tcMar>
            <w:vAlign w:val="center"/>
          </w:tcPr>
          <w:p w14:paraId="39E20F30">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数据集</w:t>
            </w:r>
          </w:p>
        </w:tc>
        <w:tc>
          <w:tcPr>
            <w:tcW w:w="4966" w:type="dxa"/>
            <w:tcBorders>
              <w:top w:val="nil"/>
            </w:tcBorders>
            <w:shd w:val="clear"/>
            <w:tcMar>
              <w:top w:w="100" w:type="dxa"/>
              <w:left w:w="160" w:type="dxa"/>
              <w:bottom w:w="100" w:type="dxa"/>
              <w:right w:w="160" w:type="dxa"/>
            </w:tcMar>
            <w:vAlign w:val="center"/>
          </w:tcPr>
          <w:p w14:paraId="4F2CB8C4">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获取渠道</w:t>
            </w:r>
          </w:p>
        </w:tc>
      </w:tr>
      <w:tr w14:paraId="131456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9" w:type="dxa"/>
            <w:shd w:val="clear"/>
            <w:tcMar>
              <w:top w:w="100" w:type="dxa"/>
              <w:left w:w="0" w:type="dxa"/>
              <w:bottom w:w="100" w:type="dxa"/>
              <w:right w:w="160" w:type="dxa"/>
            </w:tcMar>
            <w:vAlign w:val="center"/>
          </w:tcPr>
          <w:p w14:paraId="5E64150C">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光伏/风电出力</w:t>
            </w:r>
          </w:p>
        </w:tc>
        <w:tc>
          <w:tcPr>
            <w:tcW w:w="1250" w:type="dxa"/>
            <w:shd w:val="clear"/>
            <w:tcMar>
              <w:top w:w="100" w:type="dxa"/>
              <w:left w:w="160" w:type="dxa"/>
              <w:bottom w:w="100" w:type="dxa"/>
              <w:right w:w="160" w:type="dxa"/>
            </w:tcMar>
            <w:vAlign w:val="center"/>
          </w:tcPr>
          <w:p w14:paraId="161FE1F9">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德国光伏风电合成数据集</w:t>
            </w:r>
          </w:p>
        </w:tc>
        <w:tc>
          <w:tcPr>
            <w:tcW w:w="4966" w:type="dxa"/>
            <w:shd w:val="clear"/>
            <w:tcMar>
              <w:top w:w="100" w:type="dxa"/>
              <w:left w:w="160" w:type="dxa"/>
              <w:bottom w:w="100" w:type="dxa"/>
              <w:right w:w="0" w:type="dxa"/>
            </w:tcMar>
            <w:vAlign w:val="center"/>
          </w:tcPr>
          <w:p w14:paraId="2D93EEAF">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fldChar w:fldCharType="begin"/>
            </w:r>
            <w:r>
              <w:rPr>
                <w:rFonts w:hint="eastAsia" w:ascii="宋体" w:hAnsi="宋体" w:eastAsia="宋体" w:cs="宋体"/>
                <w:sz w:val="21"/>
                <w:szCs w:val="21"/>
                <w:lang w:val="en-US" w:eastAsia="zh-CN"/>
              </w:rPr>
              <w:instrText xml:space="preserve"> HYPERLINK "https://opendatalab.org.cn/OpenDataLab/UK-DALE[reference:28]" \t "https://chat.deepseek.com/a/chat/s/_blank" </w:instrText>
            </w:r>
            <w:r>
              <w:rPr>
                <w:rFonts w:hint="eastAsia" w:ascii="宋体" w:hAnsi="宋体" w:eastAsia="宋体" w:cs="宋体"/>
                <w:sz w:val="21"/>
                <w:szCs w:val="21"/>
                <w:lang w:val="en-US" w:eastAsia="zh-CN"/>
              </w:rPr>
              <w:fldChar w:fldCharType="separate"/>
            </w:r>
            <w:r>
              <w:rPr>
                <w:rStyle w:val="9"/>
                <w:rFonts w:hint="eastAsia" w:ascii="宋体" w:hAnsi="宋体" w:eastAsia="宋体" w:cs="宋体"/>
                <w:color w:val="3964FE"/>
                <w:sz w:val="21"/>
                <w:szCs w:val="21"/>
                <w:u w:val="none"/>
              </w:rPr>
              <w:t>https://opendatalab.org.cn/OpenDataLab/UK-DALE[reference:28]</w:t>
            </w:r>
            <w:r>
              <w:rPr>
                <w:rFonts w:hint="eastAsia" w:ascii="宋体" w:hAnsi="宋体" w:eastAsia="宋体" w:cs="宋体"/>
                <w:sz w:val="21"/>
                <w:szCs w:val="21"/>
                <w:lang w:val="en-US" w:eastAsia="zh-CN"/>
              </w:rPr>
              <w:fldChar w:fldCharType="end"/>
            </w:r>
          </w:p>
        </w:tc>
      </w:tr>
      <w:tr w14:paraId="2D8B11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9" w:type="dxa"/>
            <w:shd w:val="clear"/>
            <w:tcMar>
              <w:top w:w="100" w:type="dxa"/>
              <w:left w:w="0" w:type="dxa"/>
              <w:bottom w:w="100" w:type="dxa"/>
              <w:right w:w="160" w:type="dxa"/>
            </w:tcMar>
            <w:vAlign w:val="center"/>
          </w:tcPr>
          <w:p w14:paraId="19A85F5D">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电价</w:t>
            </w:r>
          </w:p>
        </w:tc>
        <w:tc>
          <w:tcPr>
            <w:tcW w:w="1250" w:type="dxa"/>
            <w:shd w:val="clear"/>
            <w:tcMar>
              <w:top w:w="100" w:type="dxa"/>
              <w:left w:w="160" w:type="dxa"/>
              <w:bottom w:w="100" w:type="dxa"/>
              <w:right w:w="160" w:type="dxa"/>
            </w:tcMar>
            <w:vAlign w:val="center"/>
          </w:tcPr>
          <w:p w14:paraId="07801F95">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PJM市场电价</w:t>
            </w:r>
          </w:p>
        </w:tc>
        <w:tc>
          <w:tcPr>
            <w:tcW w:w="4966" w:type="dxa"/>
            <w:shd w:val="clear"/>
            <w:tcMar>
              <w:top w:w="100" w:type="dxa"/>
              <w:left w:w="160" w:type="dxa"/>
              <w:bottom w:w="100" w:type="dxa"/>
              <w:right w:w="0" w:type="dxa"/>
            </w:tcMar>
            <w:vAlign w:val="center"/>
          </w:tcPr>
          <w:p w14:paraId="06DD91B0">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fldChar w:fldCharType="begin"/>
            </w:r>
            <w:r>
              <w:rPr>
                <w:rFonts w:hint="eastAsia" w:ascii="宋体" w:hAnsi="宋体" w:eastAsia="宋体" w:cs="宋体"/>
                <w:sz w:val="21"/>
                <w:szCs w:val="21"/>
                <w:lang w:val="en-US" w:eastAsia="zh-CN"/>
              </w:rPr>
              <w:instrText xml:space="preserve"> HYPERLINK "https://www.eia.gov/electricity/wholesale/index.php" \t "https://chat.deepseek.com/a/chat/s/_blank" </w:instrText>
            </w:r>
            <w:r>
              <w:rPr>
                <w:rFonts w:hint="eastAsia" w:ascii="宋体" w:hAnsi="宋体" w:eastAsia="宋体" w:cs="宋体"/>
                <w:sz w:val="21"/>
                <w:szCs w:val="21"/>
                <w:lang w:val="en-US" w:eastAsia="zh-CN"/>
              </w:rPr>
              <w:fldChar w:fldCharType="separate"/>
            </w:r>
            <w:r>
              <w:rPr>
                <w:rStyle w:val="9"/>
                <w:rFonts w:hint="eastAsia" w:ascii="宋体" w:hAnsi="宋体" w:eastAsia="宋体" w:cs="宋体"/>
                <w:color w:val="3964FE"/>
                <w:sz w:val="21"/>
                <w:szCs w:val="21"/>
                <w:u w:val="none"/>
              </w:rPr>
              <w:t>https://www.eia.gov/electricity/wholesale/index.php</w:t>
            </w:r>
            <w:r>
              <w:rPr>
                <w:rFonts w:hint="eastAsia" w:ascii="宋体" w:hAnsi="宋体" w:eastAsia="宋体" w:cs="宋体"/>
                <w:sz w:val="21"/>
                <w:szCs w:val="21"/>
                <w:lang w:val="en-US" w:eastAsia="zh-CN"/>
              </w:rPr>
              <w:fldChar w:fldCharType="end"/>
            </w:r>
          </w:p>
        </w:tc>
      </w:tr>
      <w:tr w14:paraId="1F8F60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9" w:type="dxa"/>
            <w:shd w:val="clear"/>
            <w:tcMar>
              <w:top w:w="100" w:type="dxa"/>
              <w:left w:w="0" w:type="dxa"/>
              <w:bottom w:w="100" w:type="dxa"/>
              <w:right w:w="160" w:type="dxa"/>
            </w:tcMar>
            <w:vAlign w:val="center"/>
          </w:tcPr>
          <w:p w14:paraId="44CDE671">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用户负荷</w:t>
            </w:r>
          </w:p>
        </w:tc>
        <w:tc>
          <w:tcPr>
            <w:tcW w:w="1250" w:type="dxa"/>
            <w:shd w:val="clear"/>
            <w:tcMar>
              <w:top w:w="100" w:type="dxa"/>
              <w:left w:w="160" w:type="dxa"/>
              <w:bottom w:w="100" w:type="dxa"/>
              <w:right w:w="160" w:type="dxa"/>
            </w:tcMar>
            <w:vAlign w:val="center"/>
          </w:tcPr>
          <w:p w14:paraId="65082D2A">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UK-DALE</w:t>
            </w:r>
          </w:p>
        </w:tc>
        <w:tc>
          <w:tcPr>
            <w:tcW w:w="4966" w:type="dxa"/>
            <w:shd w:val="clear"/>
            <w:tcMar>
              <w:top w:w="100" w:type="dxa"/>
              <w:left w:w="160" w:type="dxa"/>
              <w:bottom w:w="100" w:type="dxa"/>
              <w:right w:w="0" w:type="dxa"/>
            </w:tcMar>
            <w:vAlign w:val="center"/>
          </w:tcPr>
          <w:p w14:paraId="736CA7DD">
            <w:pPr>
              <w:bidi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fldChar w:fldCharType="begin"/>
            </w:r>
            <w:r>
              <w:rPr>
                <w:rFonts w:hint="eastAsia" w:ascii="宋体" w:hAnsi="宋体" w:eastAsia="宋体" w:cs="宋体"/>
                <w:sz w:val="21"/>
                <w:szCs w:val="21"/>
                <w:lang w:val="en-US" w:eastAsia="zh-CN"/>
              </w:rPr>
              <w:instrText xml:space="preserve"> HYPERLINK "https://commons.datacite.org/doi.org/10.48662/daks-11" \t "https://chat.deepseek.com/a/chat/s/_blank" </w:instrText>
            </w:r>
            <w:r>
              <w:rPr>
                <w:rFonts w:hint="eastAsia" w:ascii="宋体" w:hAnsi="宋体" w:eastAsia="宋体" w:cs="宋体"/>
                <w:sz w:val="21"/>
                <w:szCs w:val="21"/>
                <w:lang w:val="en-US" w:eastAsia="zh-CN"/>
              </w:rPr>
              <w:fldChar w:fldCharType="separate"/>
            </w:r>
            <w:r>
              <w:rPr>
                <w:rStyle w:val="9"/>
                <w:rFonts w:hint="eastAsia" w:ascii="宋体" w:hAnsi="宋体" w:eastAsia="宋体" w:cs="宋体"/>
                <w:color w:val="3964FE"/>
                <w:sz w:val="21"/>
                <w:szCs w:val="21"/>
                <w:u w:val="none"/>
              </w:rPr>
              <w:t>https://commons.datacite.org/doi.org/10.48662/daks-11</w:t>
            </w:r>
            <w:r>
              <w:rPr>
                <w:rFonts w:hint="eastAsia" w:ascii="宋体" w:hAnsi="宋体" w:eastAsia="宋体" w:cs="宋体"/>
                <w:sz w:val="21"/>
                <w:szCs w:val="21"/>
                <w:lang w:val="en-US" w:eastAsia="zh-CN"/>
              </w:rPr>
              <w:fldChar w:fldCharType="end"/>
            </w:r>
          </w:p>
        </w:tc>
      </w:tr>
    </w:tbl>
    <w:p w14:paraId="3979F3D2">
      <w:pPr>
        <w:bidi w:val="0"/>
        <w:spacing w:line="360" w:lineRule="auto"/>
        <w:rPr>
          <w:rFonts w:hint="eastAsia" w:ascii="宋体" w:hAnsi="宋体" w:eastAsia="宋体" w:cs="宋体"/>
          <w:sz w:val="21"/>
          <w:szCs w:val="21"/>
        </w:rPr>
      </w:pPr>
      <w:r>
        <w:rPr>
          <w:rFonts w:hint="eastAsia" w:ascii="宋体" w:hAnsi="宋体" w:eastAsia="宋体" w:cs="宋体"/>
          <w:sz w:val="21"/>
          <w:szCs w:val="21"/>
        </w:rPr>
        <w:t>数据来源说明：德国光伏风电合成数据集包含120个光伏电站和273个风电站，时间跨度500天，小时级分辨率，提供精确的地理坐标和ICON-EU气象模型特征</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"https://www.ndrc.gov.cn/xwdt/tzgg/202107/t20210729_1292068_ext.html" \t "https://chat.deepseek.com/a/chat/s/_blank" </w:instrText>
      </w:r>
      <w:r>
        <w:rPr>
          <w:rFonts w:hint="eastAsia" w:ascii="宋体" w:hAnsi="宋体" w:eastAsia="宋体" w:cs="宋体"/>
          <w:sz w:val="21"/>
          <w:szCs w:val="21"/>
        </w:rPr>
        <w:fldChar w:fldCharType="separate"/>
      </w:r>
      <w:r>
        <w:rPr>
          <w:rFonts w:hint="eastAsia" w:ascii="宋体" w:hAnsi="宋体" w:eastAsia="宋体" w:cs="宋体"/>
          <w:sz w:val="21"/>
          <w:szCs w:val="21"/>
        </w:rPr>
        <w:fldChar w:fldCharType="end"/>
      </w:r>
      <w:r>
        <w:rPr>
          <w:rFonts w:hint="eastAsia" w:ascii="宋体" w:hAnsi="宋体" w:eastAsia="宋体" w:cs="宋体"/>
          <w:sz w:val="21"/>
          <w:szCs w:val="21"/>
        </w:rPr>
        <w:t>。该数据集基于物理模型和实际气象测量生成，误差特性接近真实数据</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"https://www.ndrc.gov.cn/xwdt/tzgg/202107/t20210729_1292068_ext.html" \t "https://chat.deepseek.com/a/chat/s/_blank" </w:instrText>
      </w:r>
      <w:r>
        <w:rPr>
          <w:rFonts w:hint="eastAsia" w:ascii="宋体" w:hAnsi="宋体" w:eastAsia="宋体" w:cs="宋体"/>
          <w:sz w:val="21"/>
          <w:szCs w:val="21"/>
        </w:rPr>
        <w:fldChar w:fldCharType="separate"/>
      </w:r>
      <w:r>
        <w:rPr>
          <w:rFonts w:hint="eastAsia" w:ascii="宋体" w:hAnsi="宋体" w:eastAsia="宋体" w:cs="宋体"/>
          <w:sz w:val="21"/>
          <w:szCs w:val="21"/>
        </w:rPr>
        <w:fldChar w:fldCharType="end"/>
      </w:r>
      <w:r>
        <w:rPr>
          <w:rFonts w:hint="eastAsia" w:ascii="宋体" w:hAnsi="宋体" w:eastAsia="宋体" w:cs="宋体"/>
          <w:sz w:val="21"/>
          <w:szCs w:val="21"/>
        </w:rPr>
        <w:t>。UK-DALE数据集记录了五栋房屋的电力需求，每六秒记录一次全屋主电源需求以及每六秒对单个电器的电力需求</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"https://opendatalab.org.cn/OpenDataLab/UK-DALE" \t "https://chat.deepseek.com/a/chat/s/_blank" </w:instrText>
      </w:r>
      <w:r>
        <w:rPr>
          <w:rFonts w:hint="eastAsia" w:ascii="宋体" w:hAnsi="宋体" w:eastAsia="宋体" w:cs="宋体"/>
          <w:sz w:val="21"/>
          <w:szCs w:val="21"/>
        </w:rPr>
        <w:fldChar w:fldCharType="separate"/>
      </w:r>
      <w:r>
        <w:rPr>
          <w:rFonts w:hint="eastAsia" w:ascii="宋体" w:hAnsi="宋体" w:eastAsia="宋体" w:cs="宋体"/>
          <w:sz w:val="21"/>
          <w:szCs w:val="21"/>
        </w:rPr>
        <w:fldChar w:fldCharType="end"/>
      </w:r>
      <w:r>
        <w:rPr>
          <w:rFonts w:hint="eastAsia" w:ascii="宋体" w:hAnsi="宋体" w:eastAsia="宋体" w:cs="宋体"/>
          <w:sz w:val="21"/>
          <w:szCs w:val="21"/>
        </w:rPr>
        <w:t>。</w:t>
      </w:r>
    </w:p>
    <w:p w14:paraId="5CEA6F57">
      <w:pPr>
        <w:bidi w:val="0"/>
        <w:spacing w:line="360" w:lineRule="auto"/>
        <w:rPr>
          <w:rFonts w:hint="eastAsia" w:ascii="宋体" w:hAnsi="宋体" w:eastAsia="宋体" w:cs="宋体"/>
          <w:b/>
          <w:bCs/>
          <w:sz w:val="24"/>
          <w:szCs w:val="24"/>
        </w:rPr>
      </w:pPr>
      <w:r>
        <w:rPr>
          <w:rFonts w:hint="eastAsia" w:ascii="宋体" w:hAnsi="宋体" w:eastAsia="宋体" w:cs="宋体"/>
          <w:b/>
          <w:bCs/>
          <w:sz w:val="24"/>
          <w:szCs w:val="24"/>
        </w:rPr>
        <w:t>六、研究定位与展望</w:t>
      </w:r>
    </w:p>
    <w:p w14:paraId="304B806E">
      <w:pPr>
        <w:bidi w:val="0"/>
        <w:spacing w:line="360" w:lineRule="auto"/>
        <w:rPr>
          <w:rFonts w:hint="eastAsia" w:ascii="宋体" w:hAnsi="宋体" w:eastAsia="宋体" w:cs="宋体"/>
          <w:b/>
          <w:bCs/>
          <w:sz w:val="22"/>
          <w:szCs w:val="22"/>
        </w:rPr>
      </w:pPr>
      <w:r>
        <w:rPr>
          <w:rFonts w:hint="eastAsia" w:ascii="宋体" w:hAnsi="宋体" w:eastAsia="宋体" w:cs="宋体"/>
          <w:b/>
          <w:bCs/>
          <w:sz w:val="22"/>
          <w:szCs w:val="22"/>
        </w:rPr>
        <w:t>6.1 与国内外研究的对比定位</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36"/>
        <w:gridCol w:w="3026"/>
        <w:gridCol w:w="2279"/>
        <w:gridCol w:w="2325"/>
      </w:tblGrid>
      <w:tr w14:paraId="19CEB0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6D4FF3B7">
            <w:pPr>
              <w:bidi w:val="0"/>
              <w:spacing w:line="360" w:lineRule="auto"/>
              <w:rPr>
                <w:rFonts w:hint="eastAsia" w:ascii="宋体" w:hAnsi="宋体" w:eastAsia="宋体" w:cs="宋体"/>
                <w:sz w:val="21"/>
                <w:szCs w:val="21"/>
              </w:rPr>
            </w:pPr>
            <w:r>
              <w:rPr>
                <w:rFonts w:hint="eastAsia" w:ascii="宋体" w:hAnsi="宋体" w:eastAsia="宋体" w:cs="宋体"/>
                <w:sz w:val="21"/>
                <w:szCs w:val="21"/>
                <w:lang w:val="en-US" w:eastAsia="zh-CN"/>
              </w:rPr>
              <w:t>维度</w:t>
            </w:r>
          </w:p>
        </w:tc>
        <w:tc>
          <w:tcPr>
            <w:tcW w:w="0" w:type="auto"/>
            <w:tcBorders>
              <w:top w:val="nil"/>
            </w:tcBorders>
            <w:shd w:val="clear"/>
            <w:tcMar>
              <w:top w:w="100" w:type="dxa"/>
              <w:left w:w="160" w:type="dxa"/>
              <w:bottom w:w="100" w:type="dxa"/>
              <w:right w:w="160" w:type="dxa"/>
            </w:tcMar>
            <w:vAlign w:val="center"/>
          </w:tcPr>
          <w:p w14:paraId="0E9E7659">
            <w:pPr>
              <w:bidi w:val="0"/>
              <w:spacing w:line="360" w:lineRule="auto"/>
              <w:rPr>
                <w:rFonts w:hint="eastAsia" w:ascii="宋体" w:hAnsi="宋体" w:eastAsia="宋体" w:cs="宋体"/>
                <w:sz w:val="21"/>
                <w:szCs w:val="21"/>
              </w:rPr>
            </w:pPr>
            <w:r>
              <w:rPr>
                <w:rFonts w:hint="eastAsia" w:ascii="宋体" w:hAnsi="宋体" w:eastAsia="宋体" w:cs="宋体"/>
                <w:sz w:val="21"/>
                <w:szCs w:val="21"/>
                <w:lang w:val="en-US" w:eastAsia="zh-CN"/>
              </w:rPr>
              <w:t>国际前沿</w:t>
            </w:r>
          </w:p>
        </w:tc>
        <w:tc>
          <w:tcPr>
            <w:tcW w:w="0" w:type="auto"/>
            <w:tcBorders>
              <w:top w:val="nil"/>
            </w:tcBorders>
            <w:shd w:val="clear"/>
            <w:tcMar>
              <w:top w:w="100" w:type="dxa"/>
              <w:left w:w="160" w:type="dxa"/>
              <w:bottom w:w="100" w:type="dxa"/>
              <w:right w:w="160" w:type="dxa"/>
            </w:tcMar>
            <w:vAlign w:val="center"/>
          </w:tcPr>
          <w:p w14:paraId="77ECF4A4">
            <w:pPr>
              <w:bidi w:val="0"/>
              <w:spacing w:line="360" w:lineRule="auto"/>
              <w:rPr>
                <w:rFonts w:hint="eastAsia" w:ascii="宋体" w:hAnsi="宋体" w:eastAsia="宋体" w:cs="宋体"/>
                <w:sz w:val="21"/>
                <w:szCs w:val="21"/>
              </w:rPr>
            </w:pPr>
            <w:r>
              <w:rPr>
                <w:rFonts w:hint="eastAsia" w:ascii="宋体" w:hAnsi="宋体" w:eastAsia="宋体" w:cs="宋体"/>
                <w:sz w:val="21"/>
                <w:szCs w:val="21"/>
                <w:lang w:val="en-US" w:eastAsia="zh-CN"/>
              </w:rPr>
              <w:t>国内现状</w:t>
            </w:r>
          </w:p>
        </w:tc>
        <w:tc>
          <w:tcPr>
            <w:tcW w:w="0" w:type="auto"/>
            <w:tcBorders>
              <w:top w:val="nil"/>
            </w:tcBorders>
            <w:shd w:val="clear"/>
            <w:tcMar>
              <w:top w:w="100" w:type="dxa"/>
              <w:left w:w="160" w:type="dxa"/>
              <w:bottom w:w="100" w:type="dxa"/>
              <w:right w:w="160" w:type="dxa"/>
            </w:tcMar>
            <w:vAlign w:val="center"/>
          </w:tcPr>
          <w:p w14:paraId="5001633B">
            <w:pPr>
              <w:bidi w:val="0"/>
              <w:spacing w:line="360" w:lineRule="auto"/>
              <w:rPr>
                <w:rFonts w:hint="eastAsia" w:ascii="宋体" w:hAnsi="宋体" w:eastAsia="宋体" w:cs="宋体"/>
                <w:sz w:val="21"/>
                <w:szCs w:val="21"/>
              </w:rPr>
            </w:pPr>
            <w:r>
              <w:rPr>
                <w:rFonts w:hint="eastAsia" w:ascii="宋体" w:hAnsi="宋体" w:eastAsia="宋体" w:cs="宋体"/>
                <w:sz w:val="21"/>
                <w:szCs w:val="21"/>
                <w:lang w:val="en-US" w:eastAsia="zh-CN"/>
              </w:rPr>
              <w:t>本项目定位</w:t>
            </w:r>
          </w:p>
        </w:tc>
      </w:tr>
      <w:tr w14:paraId="71B78C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7CA9794">
            <w:pPr>
              <w:bidi w:val="0"/>
              <w:spacing w:line="360" w:lineRule="auto"/>
              <w:rPr>
                <w:rFonts w:hint="eastAsia" w:ascii="宋体" w:hAnsi="宋体" w:eastAsia="宋体" w:cs="宋体"/>
                <w:sz w:val="21"/>
                <w:szCs w:val="21"/>
              </w:rPr>
            </w:pPr>
            <w:r>
              <w:rPr>
                <w:rFonts w:hint="eastAsia" w:ascii="宋体" w:hAnsi="宋体" w:eastAsia="宋体" w:cs="宋体"/>
                <w:sz w:val="21"/>
                <w:szCs w:val="21"/>
                <w:lang w:val="en-US" w:eastAsia="zh-CN"/>
              </w:rPr>
              <w:t>行为建模</w:t>
            </w:r>
          </w:p>
        </w:tc>
        <w:tc>
          <w:tcPr>
            <w:tcW w:w="0" w:type="auto"/>
            <w:shd w:val="clear"/>
            <w:tcMar>
              <w:top w:w="100" w:type="dxa"/>
              <w:left w:w="160" w:type="dxa"/>
              <w:bottom w:w="100" w:type="dxa"/>
              <w:right w:w="160" w:type="dxa"/>
            </w:tcMar>
            <w:vAlign w:val="center"/>
          </w:tcPr>
          <w:p w14:paraId="2037E6A7">
            <w:pPr>
              <w:bidi w:val="0"/>
              <w:spacing w:line="360" w:lineRule="auto"/>
              <w:rPr>
                <w:rFonts w:hint="eastAsia" w:ascii="宋体" w:hAnsi="宋体" w:eastAsia="宋体" w:cs="宋体"/>
                <w:sz w:val="21"/>
                <w:szCs w:val="21"/>
              </w:rPr>
            </w:pPr>
            <w:r>
              <w:rPr>
                <w:rFonts w:hint="eastAsia" w:ascii="宋体" w:hAnsi="宋体" w:eastAsia="宋体" w:cs="宋体"/>
                <w:sz w:val="21"/>
                <w:szCs w:val="21"/>
                <w:lang w:val="en-US" w:eastAsia="zh-CN"/>
              </w:rPr>
              <w:t>前景理论已引入VPP调度（Lu 2025、Dorahaki 2025）</w:t>
            </w:r>
          </w:p>
        </w:tc>
        <w:tc>
          <w:tcPr>
            <w:tcW w:w="0" w:type="auto"/>
            <w:shd w:val="clear"/>
            <w:tcMar>
              <w:top w:w="100" w:type="dxa"/>
              <w:left w:w="160" w:type="dxa"/>
              <w:bottom w:w="100" w:type="dxa"/>
              <w:right w:w="160" w:type="dxa"/>
            </w:tcMar>
            <w:vAlign w:val="center"/>
          </w:tcPr>
          <w:p w14:paraId="4E055F64">
            <w:pPr>
              <w:bidi w:val="0"/>
              <w:spacing w:line="360" w:lineRule="auto"/>
              <w:rPr>
                <w:rFonts w:hint="eastAsia" w:ascii="宋体" w:hAnsi="宋体" w:eastAsia="宋体" w:cs="宋体"/>
                <w:sz w:val="21"/>
                <w:szCs w:val="21"/>
              </w:rPr>
            </w:pPr>
            <w:r>
              <w:rPr>
                <w:rFonts w:hint="eastAsia" w:ascii="宋体" w:hAnsi="宋体" w:eastAsia="宋体" w:cs="宋体"/>
                <w:sz w:val="21"/>
                <w:szCs w:val="21"/>
                <w:lang w:val="en-US" w:eastAsia="zh-CN"/>
              </w:rPr>
              <w:t>前景理论用于可信备用评估（2026）</w:t>
            </w:r>
          </w:p>
        </w:tc>
        <w:tc>
          <w:tcPr>
            <w:tcW w:w="0" w:type="auto"/>
            <w:shd w:val="clear"/>
            <w:tcMar>
              <w:top w:w="100" w:type="dxa"/>
              <w:left w:w="160" w:type="dxa"/>
              <w:bottom w:w="100" w:type="dxa"/>
              <w:right w:w="0" w:type="dxa"/>
            </w:tcMar>
            <w:vAlign w:val="center"/>
          </w:tcPr>
          <w:p w14:paraId="1AAE3990">
            <w:pPr>
              <w:bidi w:val="0"/>
              <w:spacing w:line="360" w:lineRule="auto"/>
              <w:rPr>
                <w:rFonts w:hint="eastAsia" w:ascii="宋体" w:hAnsi="宋体" w:eastAsia="宋体" w:cs="宋体"/>
                <w:sz w:val="21"/>
                <w:szCs w:val="21"/>
              </w:rPr>
            </w:pPr>
            <w:r>
              <w:rPr>
                <w:rFonts w:hint="eastAsia" w:ascii="宋体" w:hAnsi="宋体" w:eastAsia="宋体" w:cs="宋体"/>
                <w:sz w:val="21"/>
                <w:szCs w:val="21"/>
                <w:lang w:val="en-US" w:eastAsia="zh-CN"/>
              </w:rPr>
              <w:t>将前景理论参数校准与共形预测结合</w:t>
            </w:r>
          </w:p>
        </w:tc>
      </w:tr>
      <w:tr w14:paraId="6630A0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D6B0B78">
            <w:pPr>
              <w:bidi w:val="0"/>
              <w:spacing w:line="360" w:lineRule="auto"/>
              <w:rPr>
                <w:rFonts w:hint="eastAsia" w:ascii="宋体" w:hAnsi="宋体" w:eastAsia="宋体" w:cs="宋体"/>
                <w:sz w:val="21"/>
                <w:szCs w:val="21"/>
              </w:rPr>
            </w:pPr>
            <w:r>
              <w:rPr>
                <w:rFonts w:hint="eastAsia" w:ascii="宋体" w:hAnsi="宋体" w:eastAsia="宋体" w:cs="宋体"/>
                <w:sz w:val="21"/>
                <w:szCs w:val="21"/>
                <w:lang w:val="en-US" w:eastAsia="zh-CN"/>
              </w:rPr>
              <w:t>不确定性量化</w:t>
            </w:r>
          </w:p>
        </w:tc>
        <w:tc>
          <w:tcPr>
            <w:tcW w:w="0" w:type="auto"/>
            <w:shd w:val="clear"/>
            <w:tcMar>
              <w:top w:w="100" w:type="dxa"/>
              <w:left w:w="160" w:type="dxa"/>
              <w:bottom w:w="100" w:type="dxa"/>
              <w:right w:w="160" w:type="dxa"/>
            </w:tcMar>
            <w:vAlign w:val="center"/>
          </w:tcPr>
          <w:p w14:paraId="4F4A89E3">
            <w:pPr>
              <w:bidi w:val="0"/>
              <w:spacing w:line="360" w:lineRule="auto"/>
              <w:rPr>
                <w:rFonts w:hint="eastAsia" w:ascii="宋体" w:hAnsi="宋体" w:eastAsia="宋体" w:cs="宋体"/>
                <w:sz w:val="21"/>
                <w:szCs w:val="21"/>
              </w:rPr>
            </w:pPr>
            <w:r>
              <w:rPr>
                <w:rFonts w:hint="eastAsia" w:ascii="宋体" w:hAnsi="宋体" w:eastAsia="宋体" w:cs="宋体"/>
                <w:sz w:val="21"/>
                <w:szCs w:val="21"/>
                <w:lang w:val="en-US" w:eastAsia="zh-CN"/>
              </w:rPr>
              <w:t>共形预测用于电价预测（Zhu 2026）</w:t>
            </w:r>
          </w:p>
        </w:tc>
        <w:tc>
          <w:tcPr>
            <w:tcW w:w="0" w:type="auto"/>
            <w:shd w:val="clear"/>
            <w:tcMar>
              <w:top w:w="100" w:type="dxa"/>
              <w:left w:w="160" w:type="dxa"/>
              <w:bottom w:w="100" w:type="dxa"/>
              <w:right w:w="160" w:type="dxa"/>
            </w:tcMar>
            <w:vAlign w:val="center"/>
          </w:tcPr>
          <w:p w14:paraId="3322735F">
            <w:pPr>
              <w:bidi w:val="0"/>
              <w:spacing w:line="360" w:lineRule="auto"/>
              <w:rPr>
                <w:rFonts w:hint="eastAsia" w:ascii="宋体" w:hAnsi="宋体" w:eastAsia="宋体" w:cs="宋体"/>
                <w:sz w:val="21"/>
                <w:szCs w:val="21"/>
              </w:rPr>
            </w:pPr>
            <w:r>
              <w:rPr>
                <w:rFonts w:hint="eastAsia" w:ascii="宋体" w:hAnsi="宋体" w:eastAsia="宋体" w:cs="宋体"/>
                <w:sz w:val="21"/>
                <w:szCs w:val="21"/>
                <w:lang w:val="en-US" w:eastAsia="zh-CN"/>
              </w:rPr>
              <w:t>尚未见VPP聚合出力应用</w:t>
            </w:r>
          </w:p>
        </w:tc>
        <w:tc>
          <w:tcPr>
            <w:tcW w:w="0" w:type="auto"/>
            <w:shd w:val="clear"/>
            <w:tcMar>
              <w:top w:w="100" w:type="dxa"/>
              <w:left w:w="160" w:type="dxa"/>
              <w:bottom w:w="100" w:type="dxa"/>
              <w:right w:w="0" w:type="dxa"/>
            </w:tcMar>
            <w:vAlign w:val="center"/>
          </w:tcPr>
          <w:p w14:paraId="61FA10BE">
            <w:pPr>
              <w:bidi w:val="0"/>
              <w:spacing w:line="360" w:lineRule="auto"/>
              <w:rPr>
                <w:rFonts w:hint="eastAsia" w:ascii="宋体" w:hAnsi="宋体" w:eastAsia="宋体" w:cs="宋体"/>
                <w:sz w:val="21"/>
                <w:szCs w:val="21"/>
              </w:rPr>
            </w:pPr>
            <w:r>
              <w:rPr>
                <w:rFonts w:hint="eastAsia" w:ascii="宋体" w:hAnsi="宋体" w:eastAsia="宋体" w:cs="宋体"/>
                <w:sz w:val="21"/>
                <w:szCs w:val="21"/>
                <w:lang w:val="en-US" w:eastAsia="zh-CN"/>
              </w:rPr>
              <w:t>首次将共形预测引入VPP聚合出力不确定性量化</w:t>
            </w:r>
          </w:p>
        </w:tc>
      </w:tr>
      <w:tr w14:paraId="02FC95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6514458">
            <w:pPr>
              <w:bidi w:val="0"/>
              <w:spacing w:line="360" w:lineRule="auto"/>
              <w:rPr>
                <w:rFonts w:hint="eastAsia" w:ascii="宋体" w:hAnsi="宋体" w:eastAsia="宋体" w:cs="宋体"/>
                <w:sz w:val="21"/>
                <w:szCs w:val="21"/>
              </w:rPr>
            </w:pPr>
            <w:r>
              <w:rPr>
                <w:rFonts w:hint="eastAsia" w:ascii="宋体" w:hAnsi="宋体" w:eastAsia="宋体" w:cs="宋体"/>
                <w:sz w:val="21"/>
                <w:szCs w:val="21"/>
                <w:lang w:val="en-US" w:eastAsia="zh-CN"/>
              </w:rPr>
              <w:t>滚动优化</w:t>
            </w:r>
          </w:p>
        </w:tc>
        <w:tc>
          <w:tcPr>
            <w:tcW w:w="0" w:type="auto"/>
            <w:shd w:val="clear"/>
            <w:tcMar>
              <w:top w:w="100" w:type="dxa"/>
              <w:left w:w="160" w:type="dxa"/>
              <w:bottom w:w="100" w:type="dxa"/>
              <w:right w:w="160" w:type="dxa"/>
            </w:tcMar>
            <w:vAlign w:val="center"/>
          </w:tcPr>
          <w:p w14:paraId="0EABB5F4">
            <w:pPr>
              <w:bidi w:val="0"/>
              <w:spacing w:line="360" w:lineRule="auto"/>
              <w:rPr>
                <w:rFonts w:hint="eastAsia" w:ascii="宋体" w:hAnsi="宋体" w:eastAsia="宋体" w:cs="宋体"/>
                <w:sz w:val="21"/>
                <w:szCs w:val="21"/>
              </w:rPr>
            </w:pPr>
            <w:r>
              <w:rPr>
                <w:rFonts w:hint="eastAsia" w:ascii="宋体" w:hAnsi="宋体" w:eastAsia="宋体" w:cs="宋体"/>
                <w:sz w:val="21"/>
                <w:szCs w:val="21"/>
                <w:lang w:val="en-US" w:eastAsia="zh-CN"/>
              </w:rPr>
              <w:t>DRMPC已用于VPP（Wang 2026）</w:t>
            </w:r>
          </w:p>
        </w:tc>
        <w:tc>
          <w:tcPr>
            <w:tcW w:w="0" w:type="auto"/>
            <w:shd w:val="clear"/>
            <w:tcMar>
              <w:top w:w="100" w:type="dxa"/>
              <w:left w:w="160" w:type="dxa"/>
              <w:bottom w:w="100" w:type="dxa"/>
              <w:right w:w="160" w:type="dxa"/>
            </w:tcMar>
            <w:vAlign w:val="center"/>
          </w:tcPr>
          <w:p w14:paraId="731DF3DE">
            <w:pPr>
              <w:bidi w:val="0"/>
              <w:spacing w:line="360" w:lineRule="auto"/>
              <w:rPr>
                <w:rFonts w:hint="eastAsia" w:ascii="宋体" w:hAnsi="宋体" w:eastAsia="宋体" w:cs="宋体"/>
                <w:sz w:val="21"/>
                <w:szCs w:val="21"/>
              </w:rPr>
            </w:pPr>
            <w:r>
              <w:rPr>
                <w:rFonts w:hint="eastAsia" w:ascii="宋体" w:hAnsi="宋体" w:eastAsia="宋体" w:cs="宋体"/>
                <w:sz w:val="21"/>
                <w:szCs w:val="21"/>
                <w:lang w:val="en-US" w:eastAsia="zh-CN"/>
              </w:rPr>
              <w:t>MPC+MILP已有研究</w:t>
            </w:r>
          </w:p>
        </w:tc>
        <w:tc>
          <w:tcPr>
            <w:tcW w:w="0" w:type="auto"/>
            <w:shd w:val="clear"/>
            <w:tcMar>
              <w:top w:w="100" w:type="dxa"/>
              <w:left w:w="160" w:type="dxa"/>
              <w:bottom w:w="100" w:type="dxa"/>
              <w:right w:w="0" w:type="dxa"/>
            </w:tcMar>
            <w:vAlign w:val="center"/>
          </w:tcPr>
          <w:p w14:paraId="7DC41F23">
            <w:pPr>
              <w:bidi w:val="0"/>
              <w:spacing w:line="360" w:lineRule="auto"/>
              <w:rPr>
                <w:rFonts w:hint="eastAsia" w:ascii="宋体" w:hAnsi="宋体" w:eastAsia="宋体" w:cs="宋体"/>
                <w:sz w:val="21"/>
                <w:szCs w:val="21"/>
              </w:rPr>
            </w:pPr>
            <w:r>
              <w:rPr>
                <w:rFonts w:hint="eastAsia" w:ascii="宋体" w:hAnsi="宋体" w:eastAsia="宋体" w:cs="宋体"/>
                <w:sz w:val="21"/>
                <w:szCs w:val="21"/>
                <w:lang w:val="en-US" w:eastAsia="zh-CN"/>
              </w:rPr>
              <w:t>整合行为感知与不确定性量化的MPC框架</w:t>
            </w:r>
          </w:p>
        </w:tc>
      </w:tr>
    </w:tbl>
    <w:p w14:paraId="7DFC89E4">
      <w:pPr>
        <w:bidi w:val="0"/>
        <w:spacing w:line="360" w:lineRule="auto"/>
        <w:rPr>
          <w:rFonts w:hint="eastAsia" w:ascii="宋体" w:hAnsi="宋体" w:eastAsia="宋体" w:cs="宋体"/>
          <w:sz w:val="21"/>
          <w:szCs w:val="21"/>
        </w:rPr>
      </w:pPr>
      <w:r>
        <w:rPr>
          <w:rFonts w:hint="eastAsia" w:ascii="宋体" w:hAnsi="宋体" w:eastAsia="宋体" w:cs="宋体"/>
          <w:b/>
          <w:bCs/>
          <w:sz w:val="22"/>
          <w:szCs w:val="22"/>
        </w:rPr>
        <w:t>6.2 后续工作方向</w:t>
      </w:r>
    </w:p>
    <w:p w14:paraId="4B6F8FA9">
      <w:pPr>
        <w:bidi w:val="0"/>
        <w:spacing w:line="360" w:lineRule="auto"/>
        <w:rPr>
          <w:rFonts w:hint="eastAsia" w:ascii="宋体" w:hAnsi="宋体" w:eastAsia="宋体" w:cs="宋体"/>
          <w:sz w:val="21"/>
          <w:szCs w:val="21"/>
        </w:rPr>
      </w:pPr>
      <w:r>
        <w:rPr>
          <w:rFonts w:hint="eastAsia" w:ascii="宋体" w:hAnsi="宋体" w:eastAsia="宋体" w:cs="宋体"/>
          <w:b/>
          <w:bCs/>
          <w:sz w:val="21"/>
          <w:szCs w:val="21"/>
        </w:rPr>
        <w:t>行为感知层：</w:t>
      </w:r>
      <w:r>
        <w:rPr>
          <w:rFonts w:hint="eastAsia" w:ascii="宋体" w:hAnsi="宋体" w:eastAsia="宋体" w:cs="宋体"/>
          <w:sz w:val="21"/>
          <w:szCs w:val="21"/>
        </w:rPr>
        <w:t>完成前景理论参数的拟合算法实现，利用广州行业用电量数据集进行校准</w:t>
      </w:r>
    </w:p>
    <w:p w14:paraId="0EEC540E">
      <w:pPr>
        <w:bidi w:val="0"/>
        <w:spacing w:line="360" w:lineRule="auto"/>
        <w:rPr>
          <w:rFonts w:hint="eastAsia" w:ascii="宋体" w:hAnsi="宋体" w:eastAsia="宋体" w:cs="宋体"/>
          <w:sz w:val="21"/>
          <w:szCs w:val="21"/>
        </w:rPr>
      </w:pPr>
      <w:r>
        <w:rPr>
          <w:rFonts w:hint="eastAsia" w:ascii="宋体" w:hAnsi="宋体" w:eastAsia="宋体" w:cs="宋体"/>
          <w:b/>
          <w:bCs/>
          <w:sz w:val="21"/>
          <w:szCs w:val="21"/>
        </w:rPr>
        <w:t>不确定性量化层：</w:t>
      </w:r>
      <w:r>
        <w:rPr>
          <w:rFonts w:hint="eastAsia" w:ascii="宋体" w:hAnsi="宋体" w:eastAsia="宋体" w:cs="宋体"/>
          <w:sz w:val="21"/>
          <w:szCs w:val="21"/>
        </w:rPr>
        <w:t>基于unifiedbooster库实现共形预测模型，在德国光伏数据集上验证覆盖率</w:t>
      </w:r>
    </w:p>
    <w:p w14:paraId="7324B58E">
      <w:pPr>
        <w:bidi w:val="0"/>
        <w:spacing w:line="360" w:lineRule="auto"/>
        <w:rPr>
          <w:rFonts w:hint="eastAsia" w:ascii="宋体" w:hAnsi="宋体" w:eastAsia="宋体" w:cs="宋体"/>
          <w:sz w:val="21"/>
          <w:szCs w:val="21"/>
        </w:rPr>
      </w:pPr>
      <w:r>
        <w:rPr>
          <w:rFonts w:hint="eastAsia" w:ascii="宋体" w:hAnsi="宋体" w:eastAsia="宋体" w:cs="宋体"/>
          <w:b/>
          <w:bCs/>
          <w:sz w:val="21"/>
          <w:szCs w:val="21"/>
        </w:rPr>
        <w:t>滚动优化层：</w:t>
      </w:r>
      <w:r>
        <w:rPr>
          <w:rFonts w:hint="eastAsia" w:ascii="宋体" w:hAnsi="宋体" w:eastAsia="宋体" w:cs="宋体"/>
          <w:sz w:val="21"/>
          <w:szCs w:val="21"/>
        </w:rPr>
        <w:t>构建MILP优化模型，在PJM电价数据上进行回测</w:t>
      </w:r>
    </w:p>
    <w:p w14:paraId="26BB6DEE">
      <w:pPr>
        <w:bidi w:val="0"/>
        <w:spacing w:line="360" w:lineRule="auto"/>
      </w:pPr>
      <w:r>
        <w:rPr>
          <w:rFonts w:hint="eastAsia" w:ascii="宋体" w:hAnsi="宋体" w:eastAsia="宋体" w:cs="宋体"/>
          <w:b/>
          <w:bCs/>
          <w:sz w:val="21"/>
          <w:szCs w:val="21"/>
        </w:rPr>
        <w:t>系统集成：</w:t>
      </w:r>
      <w:r>
        <w:rPr>
          <w:rFonts w:hint="eastAsia" w:ascii="宋体" w:hAnsi="宋体" w:eastAsia="宋体" w:cs="宋体"/>
          <w:sz w:val="21"/>
          <w:szCs w:val="21"/>
        </w:rPr>
        <w:t>将三个模块整合为端到端的VPP决策支持系统，用Streamlit实现可视化原型</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C20FBF"/>
    <w:rsid w:val="63C20F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qFormat/>
    <w:uiPriority w:val="0"/>
  </w:style>
  <w:style w:type="table" w:default="1" w:styleId="7">
    <w:name w:val="Normal Table"/>
    <w:semiHidden/>
    <w:uiPriority w:val="0"/>
    <w:tblPr>
      <w:tblCellMar>
        <w:top w:w="0" w:type="dxa"/>
        <w:left w:w="108" w:type="dxa"/>
        <w:bottom w:w="0" w:type="dxa"/>
        <w:right w:w="108" w:type="dxa"/>
      </w:tblCellMar>
    </w:tblPr>
  </w:style>
  <w:style w:type="paragraph" w:styleId="6">
    <w:name w:val="Normal (Web)"/>
    <w:basedOn w:val="1"/>
    <w:uiPriority w:val="0"/>
    <w:rPr>
      <w:sz w:val="24"/>
    </w:rPr>
  </w:style>
  <w:style w:type="character" w:styleId="9">
    <w:name w:val="Hyperlink"/>
    <w:basedOn w:val="8"/>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9</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2026-06-22T13:29:00Z</dcterms:created>
  <dc:creator>35号王嘉豪</dc:creator>
  <cp:lastModifiedBy>35号王嘉豪</cp:lastModifiedBy>
  <dcterms:modified xsi:type="dcterms:W3CDTF">2026-06-22T13:39:12Z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D87FC99C3BBC4652BFEC96B37683D1DB_11</vt:lpwstr>
  </property>
  <property fmtid="{D5CDD505-2E9C-101B-9397-08002B2CF9AE}" pid="4" name="KSOTemplateDocerSaveRecord">
    <vt:lpwstr>eyJoZGlkIjoiZGMyNDNmZmU0YmNiMDM1NjMxODNhMGU4NThhYTNiOWUiLCJ1c2VySWQiOiIxMjYwMzQ2ODYwIn0=</vt:lpwstr>
  </property>
</Properties>
</file>