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2E4F7F">
      <w:pPr>
        <w:pStyle w:val="3"/>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一、月度学习进展概览</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47"/>
        <w:gridCol w:w="2898"/>
        <w:gridCol w:w="3711"/>
        <w:gridCol w:w="1210"/>
      </w:tblGrid>
      <w:tr w14:paraId="6E54B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0CF3F69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学习维度</w:t>
            </w:r>
          </w:p>
        </w:tc>
        <w:tc>
          <w:tcPr>
            <w:tcW w:w="0" w:type="auto"/>
            <w:tcBorders>
              <w:top w:val="nil"/>
            </w:tcBorders>
            <w:shd w:val="clear"/>
            <w:tcMar>
              <w:top w:w="100" w:type="dxa"/>
              <w:left w:w="160" w:type="dxa"/>
              <w:bottom w:w="100" w:type="dxa"/>
              <w:right w:w="160" w:type="dxa"/>
            </w:tcMar>
            <w:vAlign w:val="center"/>
          </w:tcPr>
          <w:p w14:paraId="2F6AEB8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5月认知水平</w:t>
            </w:r>
          </w:p>
        </w:tc>
        <w:tc>
          <w:tcPr>
            <w:tcW w:w="0" w:type="auto"/>
            <w:tcBorders>
              <w:top w:val="nil"/>
            </w:tcBorders>
            <w:shd w:val="clear"/>
            <w:tcMar>
              <w:top w:w="100" w:type="dxa"/>
              <w:left w:w="160" w:type="dxa"/>
              <w:bottom w:w="100" w:type="dxa"/>
              <w:right w:w="160" w:type="dxa"/>
            </w:tcMar>
            <w:vAlign w:val="center"/>
          </w:tcPr>
          <w:p w14:paraId="16A246C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6月深化内容</w:t>
            </w:r>
          </w:p>
        </w:tc>
        <w:tc>
          <w:tcPr>
            <w:tcW w:w="1210" w:type="dxa"/>
            <w:tcBorders>
              <w:top w:val="nil"/>
            </w:tcBorders>
            <w:shd w:val="clear"/>
            <w:tcMar>
              <w:top w:w="100" w:type="dxa"/>
              <w:left w:w="160" w:type="dxa"/>
              <w:bottom w:w="100" w:type="dxa"/>
              <w:right w:w="160" w:type="dxa"/>
            </w:tcMar>
            <w:vAlign w:val="center"/>
          </w:tcPr>
          <w:p w14:paraId="2D26FFC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掌握程度</w:t>
            </w:r>
          </w:p>
        </w:tc>
      </w:tr>
      <w:tr w14:paraId="1352F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8450B3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政策框架</w:t>
            </w:r>
          </w:p>
        </w:tc>
        <w:tc>
          <w:tcPr>
            <w:tcW w:w="0" w:type="auto"/>
            <w:shd w:val="clear"/>
            <w:tcMar>
              <w:top w:w="100" w:type="dxa"/>
              <w:left w:w="160" w:type="dxa"/>
              <w:bottom w:w="100" w:type="dxa"/>
              <w:right w:w="160" w:type="dxa"/>
            </w:tcMar>
            <w:vAlign w:val="center"/>
          </w:tcPr>
          <w:p w14:paraId="7FFCD4D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知悉峰谷电价、现货市场、VPP等核心政策存在</w:t>
            </w:r>
          </w:p>
        </w:tc>
        <w:tc>
          <w:tcPr>
            <w:tcW w:w="0" w:type="auto"/>
            <w:shd w:val="clear"/>
            <w:tcMar>
              <w:top w:w="100" w:type="dxa"/>
              <w:left w:w="160" w:type="dxa"/>
              <w:bottom w:w="100" w:type="dxa"/>
              <w:right w:w="160" w:type="dxa"/>
            </w:tcMar>
            <w:vAlign w:val="center"/>
          </w:tcPr>
          <w:p w14:paraId="661A3DF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掌握具体文件条款、执行时间、准入条件等操作细节</w:t>
            </w:r>
          </w:p>
        </w:tc>
        <w:tc>
          <w:tcPr>
            <w:tcW w:w="1210" w:type="dxa"/>
            <w:shd w:val="clear"/>
            <w:tcMar>
              <w:top w:w="100" w:type="dxa"/>
              <w:left w:w="160" w:type="dxa"/>
              <w:bottom w:w="100" w:type="dxa"/>
              <w:right w:w="0" w:type="dxa"/>
            </w:tcMar>
            <w:vAlign w:val="center"/>
          </w:tcPr>
          <w:p w14:paraId="0EAA512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r>
      <w:tr w14:paraId="5EC39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37598E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市场准入</w:t>
            </w:r>
          </w:p>
        </w:tc>
        <w:tc>
          <w:tcPr>
            <w:tcW w:w="0" w:type="auto"/>
            <w:shd w:val="clear"/>
            <w:tcMar>
              <w:top w:w="100" w:type="dxa"/>
              <w:left w:w="160" w:type="dxa"/>
              <w:bottom w:w="100" w:type="dxa"/>
              <w:right w:w="160" w:type="dxa"/>
            </w:tcMar>
            <w:vAlign w:val="center"/>
          </w:tcPr>
          <w:p w14:paraId="4BBCB37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了解大用户可直接入市</w:t>
            </w:r>
          </w:p>
        </w:tc>
        <w:tc>
          <w:tcPr>
            <w:tcW w:w="0" w:type="auto"/>
            <w:shd w:val="clear"/>
            <w:tcMar>
              <w:top w:w="100" w:type="dxa"/>
              <w:left w:w="160" w:type="dxa"/>
              <w:bottom w:w="100" w:type="dxa"/>
              <w:right w:w="160" w:type="dxa"/>
            </w:tcMar>
            <w:vAlign w:val="center"/>
          </w:tcPr>
          <w:p w14:paraId="1405378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清晰掌握三类主体（用户/VPP/独立储能）的最小准入要求和分级标准</w:t>
            </w:r>
          </w:p>
        </w:tc>
        <w:tc>
          <w:tcPr>
            <w:tcW w:w="1210" w:type="dxa"/>
            <w:shd w:val="clear"/>
            <w:tcMar>
              <w:top w:w="100" w:type="dxa"/>
              <w:left w:w="160" w:type="dxa"/>
              <w:bottom w:w="100" w:type="dxa"/>
              <w:right w:w="0" w:type="dxa"/>
            </w:tcMar>
            <w:vAlign w:val="center"/>
          </w:tcPr>
          <w:p w14:paraId="646AF5C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r>
      <w:tr w14:paraId="75084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04D32E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技术方案</w:t>
            </w:r>
          </w:p>
        </w:tc>
        <w:tc>
          <w:tcPr>
            <w:tcW w:w="0" w:type="auto"/>
            <w:shd w:val="clear"/>
            <w:tcMar>
              <w:top w:w="100" w:type="dxa"/>
              <w:left w:w="160" w:type="dxa"/>
              <w:bottom w:w="100" w:type="dxa"/>
              <w:right w:w="160" w:type="dxa"/>
            </w:tcMar>
            <w:vAlign w:val="center"/>
          </w:tcPr>
          <w:p w14:paraId="460641E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完成“前景理论+共形预测+MPC+MILP”方案设计</w:t>
            </w:r>
          </w:p>
        </w:tc>
        <w:tc>
          <w:tcPr>
            <w:tcW w:w="0" w:type="auto"/>
            <w:shd w:val="clear"/>
            <w:tcMar>
              <w:top w:w="100" w:type="dxa"/>
              <w:left w:w="160" w:type="dxa"/>
              <w:bottom w:w="100" w:type="dxa"/>
              <w:right w:w="160" w:type="dxa"/>
            </w:tcMar>
            <w:vAlign w:val="center"/>
          </w:tcPr>
          <w:p w14:paraId="2E19A1A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方案已确认，本次不作修改</w:t>
            </w:r>
          </w:p>
        </w:tc>
        <w:tc>
          <w:tcPr>
            <w:tcW w:w="1210" w:type="dxa"/>
            <w:shd w:val="clear"/>
            <w:tcMar>
              <w:top w:w="100" w:type="dxa"/>
              <w:left w:w="160" w:type="dxa"/>
              <w:bottom w:w="100" w:type="dxa"/>
              <w:right w:w="0" w:type="dxa"/>
            </w:tcMar>
            <w:vAlign w:val="center"/>
          </w:tcPr>
          <w:p w14:paraId="1D07A41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r>
      <w:tr w14:paraId="160C2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BC74A3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数据资产</w:t>
            </w:r>
          </w:p>
        </w:tc>
        <w:tc>
          <w:tcPr>
            <w:tcW w:w="0" w:type="auto"/>
            <w:shd w:val="clear"/>
            <w:tcMar>
              <w:top w:w="100" w:type="dxa"/>
              <w:left w:w="160" w:type="dxa"/>
              <w:bottom w:w="100" w:type="dxa"/>
              <w:right w:w="160" w:type="dxa"/>
            </w:tcMar>
            <w:vAlign w:val="center"/>
          </w:tcPr>
          <w:p w14:paraId="00D79CE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梳理四大类数据来源</w:t>
            </w:r>
          </w:p>
        </w:tc>
        <w:tc>
          <w:tcPr>
            <w:tcW w:w="0" w:type="auto"/>
            <w:shd w:val="clear"/>
            <w:tcMar>
              <w:top w:w="100" w:type="dxa"/>
              <w:left w:w="160" w:type="dxa"/>
              <w:bottom w:w="100" w:type="dxa"/>
              <w:right w:w="160" w:type="dxa"/>
            </w:tcMar>
            <w:vAlign w:val="center"/>
          </w:tcPr>
          <w:p w14:paraId="3C0A061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补充所有数据的直接网址链接，完成Open-Meteo替代性评估</w:t>
            </w:r>
          </w:p>
        </w:tc>
        <w:tc>
          <w:tcPr>
            <w:tcW w:w="1210" w:type="dxa"/>
            <w:shd w:val="clear"/>
            <w:tcMar>
              <w:top w:w="100" w:type="dxa"/>
              <w:left w:w="160" w:type="dxa"/>
              <w:bottom w:w="100" w:type="dxa"/>
              <w:right w:w="0" w:type="dxa"/>
            </w:tcMar>
            <w:vAlign w:val="center"/>
          </w:tcPr>
          <w:p w14:paraId="06786D70">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w:t>
            </w:r>
          </w:p>
        </w:tc>
      </w:tr>
    </w:tbl>
    <w:p w14:paraId="2A82D320">
      <w:pPr>
        <w:pStyle w:val="3"/>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二、政策认知深化：核心政策具体内容</w:t>
      </w:r>
    </w:p>
    <w:p w14:paraId="71EE7162">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2.1 《关于进一步完善分时电价机制的通知》</w:t>
      </w:r>
    </w:p>
    <w:p w14:paraId="7266DA25">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文件号</w:t>
      </w:r>
      <w:r>
        <w:rPr>
          <w:rFonts w:hint="eastAsia" w:ascii="宋体" w:hAnsi="宋体" w:eastAsia="宋体" w:cs="宋体"/>
          <w:i w:val="0"/>
          <w:iCs w:val="0"/>
          <w:caps w:val="0"/>
          <w:color w:val="0F1115"/>
          <w:spacing w:val="0"/>
          <w:sz w:val="21"/>
          <w:szCs w:val="21"/>
          <w:shd w:val="clear" w:fill="FFFFFF"/>
        </w:rPr>
        <w:t>：发改价格〔2021〕1093号</w:t>
      </w:r>
    </w:p>
    <w:p w14:paraId="5D28F85F">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发布机构</w:t>
      </w:r>
      <w:r>
        <w:rPr>
          <w:rFonts w:hint="eastAsia" w:ascii="宋体" w:hAnsi="宋体" w:eastAsia="宋体" w:cs="宋体"/>
          <w:i w:val="0"/>
          <w:iCs w:val="0"/>
          <w:caps w:val="0"/>
          <w:color w:val="0F1115"/>
          <w:spacing w:val="0"/>
          <w:sz w:val="21"/>
          <w:szCs w:val="21"/>
          <w:shd w:val="clear" w:fill="FFFFFF"/>
        </w:rPr>
        <w:t>：国家发展改革委</w:t>
      </w:r>
    </w:p>
    <w:p w14:paraId="1DA26EFF">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发布时间</w:t>
      </w:r>
      <w:r>
        <w:rPr>
          <w:rFonts w:hint="eastAsia" w:ascii="宋体" w:hAnsi="宋体" w:eastAsia="宋体" w:cs="宋体"/>
          <w:i w:val="0"/>
          <w:iCs w:val="0"/>
          <w:caps w:val="0"/>
          <w:color w:val="0F1115"/>
          <w:spacing w:val="0"/>
          <w:sz w:val="21"/>
          <w:szCs w:val="21"/>
          <w:shd w:val="clear" w:fill="FFFFFF"/>
        </w:rPr>
        <w:t>：2021年7月29日</w:t>
      </w:r>
    </w:p>
    <w:p w14:paraId="7A702D23">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原文链接</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"https://www.ndrc.gov.cn/xwdt/tzgg/202107/t20210729_1292068_ext.html"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1"/>
          <w:szCs w:val="21"/>
          <w:u w:val="none"/>
          <w:shd w:val="clear" w:fill="FFFFFF"/>
        </w:rPr>
        <w:t>https://www.ndrc.gov.cn/xwdt/tzgg/202107/t20210729_1292068_ext.html</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p>
    <w:p w14:paraId="19342FAC">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科学划分峰谷时段</w:t>
      </w:r>
    </w:p>
    <w:p w14:paraId="2DAAF62C">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各地要统筹考虑当地电力系统峰谷差率、新能源装机占比、系统调节能力等因素，合理确定峰谷电价价差。</w:t>
      </w:r>
      <w:r>
        <w:rPr>
          <w:rFonts w:hint="eastAsia" w:ascii="宋体" w:hAnsi="宋体" w:eastAsia="宋体" w:cs="宋体"/>
          <w:b/>
          <w:bCs/>
          <w:i w:val="0"/>
          <w:iCs w:val="0"/>
          <w:caps w:val="0"/>
          <w:color w:val="0F1115"/>
          <w:spacing w:val="0"/>
          <w:sz w:val="21"/>
          <w:szCs w:val="21"/>
          <w:shd w:val="clear" w:fill="FFFFFF"/>
        </w:rPr>
        <w:t>上年或当年预计最大系统峰谷差率超过40%的地方，峰谷电价价差原则上不低于4:1；其他地方原则上不低于3:1</w:t>
      </w:r>
      <w:r>
        <w:rPr>
          <w:rFonts w:hint="eastAsia" w:ascii="宋体" w:hAnsi="宋体" w:eastAsia="宋体" w:cs="宋体"/>
          <w:i w:val="0"/>
          <w:iCs w:val="0"/>
          <w:caps w:val="0"/>
          <w:color w:val="0F1115"/>
          <w:spacing w:val="0"/>
          <w:sz w:val="21"/>
          <w:szCs w:val="21"/>
          <w:shd w:val="clear" w:fill="FFFFFF"/>
        </w:rPr>
        <w:t>。</w:t>
      </w:r>
    </w:p>
    <w:p w14:paraId="2616BBB7">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建立尖峰电价机制</w:t>
      </w:r>
    </w:p>
    <w:p w14:paraId="576E238D">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各地要结合实际情况在峰谷电价的基础上推行尖峰电价机制。尖峰时段根据前两年当地电力系统最高负荷95%及以上用电负荷出现的时段合理确定。</w:t>
      </w:r>
      <w:r>
        <w:rPr>
          <w:rFonts w:hint="eastAsia" w:ascii="宋体" w:hAnsi="宋体" w:eastAsia="宋体" w:cs="宋体"/>
          <w:b/>
          <w:bCs/>
          <w:i w:val="0"/>
          <w:iCs w:val="0"/>
          <w:caps w:val="0"/>
          <w:color w:val="0F1115"/>
          <w:spacing w:val="0"/>
          <w:sz w:val="21"/>
          <w:szCs w:val="21"/>
          <w:shd w:val="clear" w:fill="FFFFFF"/>
        </w:rPr>
        <w:t>尖峰电价在峰段电价基础上上浮比例原则上不低于20%</w:t>
      </w:r>
      <w:r>
        <w:rPr>
          <w:rFonts w:hint="eastAsia" w:ascii="宋体" w:hAnsi="宋体" w:eastAsia="宋体" w:cs="宋体"/>
          <w:i w:val="0"/>
          <w:iCs w:val="0"/>
          <w:caps w:val="0"/>
          <w:color w:val="0F1115"/>
          <w:spacing w:val="0"/>
          <w:sz w:val="21"/>
          <w:szCs w:val="21"/>
          <w:shd w:val="clear" w:fill="FFFFFF"/>
        </w:rPr>
        <w:t>。</w:t>
      </w:r>
    </w:p>
    <w:p w14:paraId="7D213141">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执行范围与储能鼓励</w:t>
      </w:r>
    </w:p>
    <w:p w14:paraId="3EBCEAEC">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峰谷政策的执行范围主要集中在工商业用户。居民分时电价实行自愿原则。通知鼓励工商业用户通过配置储能、开展综合能源利用等方式降低高峰时段用电负荷、增加低谷用电量，通过改变用电时段来降低用电成本。</w:t>
      </w:r>
    </w:p>
    <w:p w14:paraId="5147C119">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2.2 《关于进一步完善我省峰谷分时电价政策有关问题的通知》</w:t>
      </w:r>
    </w:p>
    <w:p w14:paraId="07F60E94">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文件号</w:t>
      </w:r>
      <w:r>
        <w:rPr>
          <w:rFonts w:hint="eastAsia" w:ascii="宋体" w:hAnsi="宋体" w:eastAsia="宋体" w:cs="宋体"/>
          <w:i w:val="0"/>
          <w:iCs w:val="0"/>
          <w:caps w:val="0"/>
          <w:color w:val="0F1115"/>
          <w:spacing w:val="0"/>
          <w:sz w:val="21"/>
          <w:szCs w:val="21"/>
          <w:shd w:val="clear" w:fill="FFFFFF"/>
        </w:rPr>
        <w:t>：粤发改价格〔2021〕331号</w:t>
      </w:r>
    </w:p>
    <w:p w14:paraId="7D7F35F2">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发布机构</w:t>
      </w:r>
      <w:r>
        <w:rPr>
          <w:rFonts w:hint="eastAsia" w:ascii="宋体" w:hAnsi="宋体" w:eastAsia="宋体" w:cs="宋体"/>
          <w:i w:val="0"/>
          <w:iCs w:val="0"/>
          <w:caps w:val="0"/>
          <w:color w:val="0F1115"/>
          <w:spacing w:val="0"/>
          <w:sz w:val="21"/>
          <w:szCs w:val="21"/>
          <w:shd w:val="clear" w:fill="FFFFFF"/>
        </w:rPr>
        <w:t>：广东省发展改革委</w:t>
      </w:r>
    </w:p>
    <w:p w14:paraId="436C32D4">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发布时间</w:t>
      </w:r>
      <w:r>
        <w:rPr>
          <w:rFonts w:hint="eastAsia" w:ascii="宋体" w:hAnsi="宋体" w:eastAsia="宋体" w:cs="宋体"/>
          <w:i w:val="0"/>
          <w:iCs w:val="0"/>
          <w:caps w:val="0"/>
          <w:color w:val="0F1115"/>
          <w:spacing w:val="0"/>
          <w:sz w:val="21"/>
          <w:szCs w:val="21"/>
          <w:shd w:val="clear" w:fill="FFFFFF"/>
        </w:rPr>
        <w:t>：2021年8月31日</w:t>
      </w:r>
    </w:p>
    <w:p w14:paraId="689E86ED">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执行日期</w:t>
      </w:r>
      <w:r>
        <w:rPr>
          <w:rFonts w:hint="eastAsia" w:ascii="宋体" w:hAnsi="宋体" w:eastAsia="宋体" w:cs="宋体"/>
          <w:i w:val="0"/>
          <w:iCs w:val="0"/>
          <w:caps w:val="0"/>
          <w:color w:val="0F1115"/>
          <w:spacing w:val="0"/>
          <w:sz w:val="21"/>
          <w:szCs w:val="21"/>
          <w:shd w:val="clear" w:fill="FFFFFF"/>
        </w:rPr>
        <w:t>：2021年10月1日起</w:t>
      </w:r>
    </w:p>
    <w:p w14:paraId="17CFFEE5">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原文链接</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"https://search.gd.gov.cn/"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1"/>
          <w:szCs w:val="21"/>
          <w:u w:val="none"/>
          <w:shd w:val="clear" w:fill="FFFFFF"/>
        </w:rPr>
        <w:t>https://search.gd.gov.cn</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p>
    <w:p w14:paraId="648CDCCA">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时段划分（核心规定）</w:t>
      </w:r>
    </w:p>
    <w:p w14:paraId="265A1644">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全省统一划分峰谷分时电价时段</w:t>
      </w:r>
      <w:r>
        <w:rPr>
          <w:rFonts w:hint="eastAsia" w:ascii="宋体" w:hAnsi="宋体" w:eastAsia="宋体" w:cs="宋体"/>
          <w:i w:val="0"/>
          <w:iCs w:val="0"/>
          <w:caps w:val="0"/>
          <w:color w:val="0F1115"/>
          <w:spacing w:val="0"/>
          <w:sz w:val="21"/>
          <w:szCs w:val="21"/>
          <w:shd w:val="clear" w:fill="FFFFFF"/>
        </w:rPr>
        <w:t>，高峰时段为10-12点、14-19点；低谷时段为0-8点；其余时段为平段。</w:t>
      </w:r>
    </w:p>
    <w:p w14:paraId="1C544F2D">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峰谷比价关系（核心规定）</w:t>
      </w:r>
    </w:p>
    <w:p w14:paraId="17792BF9">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峰平谷比价从现行的1.65:1:0.5调整为1.7:1:0.38</w:t>
      </w:r>
      <w:r>
        <w:rPr>
          <w:rFonts w:hint="eastAsia" w:ascii="宋体" w:hAnsi="宋体" w:eastAsia="宋体" w:cs="宋体"/>
          <w:i w:val="0"/>
          <w:iCs w:val="0"/>
          <w:caps w:val="0"/>
          <w:color w:val="0F1115"/>
          <w:spacing w:val="0"/>
          <w:sz w:val="21"/>
          <w:szCs w:val="21"/>
          <w:shd w:val="clear" w:fill="FFFFFF"/>
        </w:rPr>
        <w:t>，拉大了峰谷电价差。</w:t>
      </w:r>
    </w:p>
    <w:p w14:paraId="45F2DBC9">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尖峰电价（核心规定）</w:t>
      </w:r>
    </w:p>
    <w:p w14:paraId="05671686">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实施范围</w:t>
      </w:r>
      <w:r>
        <w:rPr>
          <w:rFonts w:hint="eastAsia" w:ascii="宋体" w:hAnsi="宋体" w:eastAsia="宋体" w:cs="宋体"/>
          <w:i w:val="0"/>
          <w:iCs w:val="0"/>
          <w:caps w:val="0"/>
          <w:color w:val="0F1115"/>
          <w:spacing w:val="0"/>
          <w:sz w:val="21"/>
          <w:szCs w:val="21"/>
          <w:shd w:val="clear" w:fill="FFFFFF"/>
        </w:rPr>
        <w:t>：与峰谷分时电价政策一致，但</w:t>
      </w:r>
      <w:r>
        <w:rPr>
          <w:rFonts w:hint="eastAsia" w:ascii="宋体" w:hAnsi="宋体" w:eastAsia="宋体" w:cs="宋体"/>
          <w:b/>
          <w:bCs/>
          <w:i w:val="0"/>
          <w:iCs w:val="0"/>
          <w:caps w:val="0"/>
          <w:color w:val="0F1115"/>
          <w:spacing w:val="0"/>
          <w:sz w:val="21"/>
          <w:szCs w:val="21"/>
          <w:shd w:val="clear" w:fill="FFFFFF"/>
        </w:rPr>
        <w:t>不包括居民用户</w:t>
      </w:r>
      <w:r>
        <w:rPr>
          <w:rFonts w:hint="eastAsia" w:ascii="宋体" w:hAnsi="宋体" w:eastAsia="宋体" w:cs="宋体"/>
          <w:i w:val="0"/>
          <w:iCs w:val="0"/>
          <w:caps w:val="0"/>
          <w:color w:val="0F1115"/>
          <w:spacing w:val="0"/>
          <w:sz w:val="21"/>
          <w:szCs w:val="21"/>
          <w:shd w:val="clear" w:fill="FFFFFF"/>
        </w:rPr>
        <w:t>。</w:t>
      </w:r>
    </w:p>
    <w:p w14:paraId="706851E2">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执行时间</w:t>
      </w:r>
      <w:r>
        <w:rPr>
          <w:rFonts w:hint="eastAsia" w:ascii="宋体" w:hAnsi="宋体" w:eastAsia="宋体" w:cs="宋体"/>
          <w:i w:val="0"/>
          <w:iCs w:val="0"/>
          <w:caps w:val="0"/>
          <w:color w:val="0F1115"/>
          <w:spacing w:val="0"/>
          <w:sz w:val="21"/>
          <w:szCs w:val="21"/>
          <w:shd w:val="clear" w:fill="FFFFFF"/>
        </w:rPr>
        <w:t>：迎峰度夏期间的</w:t>
      </w:r>
      <w:r>
        <w:rPr>
          <w:rFonts w:hint="eastAsia" w:ascii="宋体" w:hAnsi="宋体" w:eastAsia="宋体" w:cs="宋体"/>
          <w:b/>
          <w:bCs/>
          <w:i w:val="0"/>
          <w:iCs w:val="0"/>
          <w:caps w:val="0"/>
          <w:color w:val="0F1115"/>
          <w:spacing w:val="0"/>
          <w:sz w:val="21"/>
          <w:szCs w:val="21"/>
          <w:shd w:val="clear" w:fill="FFFFFF"/>
        </w:rPr>
        <w:t>7月、8月和9月三个整月，以及其他月份中日最高气温达到35℃及以上的高温天</w:t>
      </w:r>
      <w:r>
        <w:rPr>
          <w:rFonts w:hint="eastAsia" w:ascii="宋体" w:hAnsi="宋体" w:eastAsia="宋体" w:cs="宋体"/>
          <w:i w:val="0"/>
          <w:iCs w:val="0"/>
          <w:caps w:val="0"/>
          <w:color w:val="0F1115"/>
          <w:spacing w:val="0"/>
          <w:sz w:val="21"/>
          <w:szCs w:val="21"/>
          <w:shd w:val="clear" w:fill="FFFFFF"/>
        </w:rPr>
        <w:t>。尖峰执行时段为每天11-12时、15-17时共三个小时。</w:t>
      </w:r>
    </w:p>
    <w:p w14:paraId="1A938506">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加价标准</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b/>
          <w:bCs/>
          <w:i w:val="0"/>
          <w:iCs w:val="0"/>
          <w:caps w:val="0"/>
          <w:color w:val="0F1115"/>
          <w:spacing w:val="0"/>
          <w:sz w:val="21"/>
          <w:szCs w:val="21"/>
          <w:shd w:val="clear" w:fill="FFFFFF"/>
        </w:rPr>
        <w:t>尖峰电价在峰段电价基础上上浮25%</w:t>
      </w:r>
      <w:r>
        <w:rPr>
          <w:rFonts w:hint="eastAsia" w:ascii="宋体" w:hAnsi="宋体" w:eastAsia="宋体" w:cs="宋体"/>
          <w:i w:val="0"/>
          <w:iCs w:val="0"/>
          <w:caps w:val="0"/>
          <w:color w:val="0F1115"/>
          <w:spacing w:val="0"/>
          <w:sz w:val="21"/>
          <w:szCs w:val="21"/>
          <w:shd w:val="clear" w:fill="FFFFFF"/>
        </w:rPr>
        <w:t>。</w:t>
      </w:r>
    </w:p>
    <w:p w14:paraId="5970A0B7">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执行范围</w:t>
      </w:r>
    </w:p>
    <w:p w14:paraId="6DCEFD56">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大工业用户、普通工业专用变压器用户</w:t>
      </w:r>
      <w:r>
        <w:rPr>
          <w:rFonts w:hint="eastAsia" w:ascii="宋体" w:hAnsi="宋体" w:eastAsia="宋体" w:cs="宋体"/>
          <w:i w:val="0"/>
          <w:iCs w:val="0"/>
          <w:caps w:val="0"/>
          <w:color w:val="0F1115"/>
          <w:spacing w:val="0"/>
          <w:sz w:val="21"/>
          <w:szCs w:val="21"/>
          <w:shd w:val="clear" w:fill="FFFFFF"/>
        </w:rPr>
        <w:t>：强制必选执行。</w:t>
      </w:r>
    </w:p>
    <w:p w14:paraId="5ED7079F">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居民用户</w:t>
      </w:r>
      <w:r>
        <w:rPr>
          <w:rFonts w:hint="eastAsia" w:ascii="宋体" w:hAnsi="宋体" w:eastAsia="宋体" w:cs="宋体"/>
          <w:i w:val="0"/>
          <w:iCs w:val="0"/>
          <w:caps w:val="0"/>
          <w:color w:val="0F1115"/>
          <w:spacing w:val="0"/>
          <w:sz w:val="21"/>
          <w:szCs w:val="21"/>
          <w:shd w:val="clear" w:fill="FFFFFF"/>
        </w:rPr>
        <w:t>：可自主选择是否执行。</w:t>
      </w:r>
    </w:p>
    <w:p w14:paraId="56DC0007">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2.3 《关于全面加快电力现货市场建设工作的通知》</w:t>
      </w:r>
    </w:p>
    <w:p w14:paraId="2AE2015F">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文件号</w:t>
      </w:r>
      <w:r>
        <w:rPr>
          <w:rFonts w:hint="eastAsia" w:ascii="宋体" w:hAnsi="宋体" w:eastAsia="宋体" w:cs="宋体"/>
          <w:i w:val="0"/>
          <w:iCs w:val="0"/>
          <w:caps w:val="0"/>
          <w:color w:val="0F1115"/>
          <w:spacing w:val="0"/>
          <w:sz w:val="21"/>
          <w:szCs w:val="21"/>
          <w:shd w:val="clear" w:fill="FFFFFF"/>
        </w:rPr>
        <w:t>：发改办体改〔2025〕394号</w:t>
      </w:r>
    </w:p>
    <w:p w14:paraId="335BE09D">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发布机构</w:t>
      </w:r>
      <w:r>
        <w:rPr>
          <w:rFonts w:hint="eastAsia" w:ascii="宋体" w:hAnsi="宋体" w:eastAsia="宋体" w:cs="宋体"/>
          <w:i w:val="0"/>
          <w:iCs w:val="0"/>
          <w:caps w:val="0"/>
          <w:color w:val="0F1115"/>
          <w:spacing w:val="0"/>
          <w:sz w:val="21"/>
          <w:szCs w:val="21"/>
          <w:shd w:val="clear" w:fill="FFFFFF"/>
        </w:rPr>
        <w:t>：国家发展改革委办公厅、国家能源局综合司</w:t>
      </w:r>
    </w:p>
    <w:p w14:paraId="463C1DDF">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发布时间</w:t>
      </w:r>
      <w:r>
        <w:rPr>
          <w:rFonts w:hint="eastAsia" w:ascii="宋体" w:hAnsi="宋体" w:eastAsia="宋体" w:cs="宋体"/>
          <w:i w:val="0"/>
          <w:iCs w:val="0"/>
          <w:caps w:val="0"/>
          <w:color w:val="0F1115"/>
          <w:spacing w:val="0"/>
          <w:sz w:val="21"/>
          <w:szCs w:val="21"/>
          <w:shd w:val="clear" w:fill="FFFFFF"/>
        </w:rPr>
        <w:t>：2025年4月16日</w:t>
      </w:r>
    </w:p>
    <w:p w14:paraId="035FC6BF">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原文链接</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"https://gbdy.ndrc.gov.cn/gbdyzcjd/202504/t20250429_1397490.html"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1"/>
          <w:szCs w:val="21"/>
          <w:u w:val="none"/>
          <w:shd w:val="clear" w:fill="FFFFFF"/>
        </w:rPr>
        <w:t>https://gbdy.ndrc.gov.cn/gbdyzcjd/202504/t20250429_1397490.html</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p>
    <w:p w14:paraId="7E16C918">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南方区域市场建设</w:t>
      </w:r>
    </w:p>
    <w:p w14:paraId="5A434375">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2"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2025年底前，南方区域电力现货市场要启动连续结算试运行</w:t>
      </w:r>
      <w:r>
        <w:rPr>
          <w:rFonts w:hint="eastAsia" w:ascii="宋体" w:hAnsi="宋体" w:eastAsia="宋体" w:cs="宋体"/>
          <w:i w:val="0"/>
          <w:iCs w:val="0"/>
          <w:caps w:val="0"/>
          <w:color w:val="0F1115"/>
          <w:spacing w:val="0"/>
          <w:sz w:val="21"/>
          <w:szCs w:val="21"/>
          <w:shd w:val="clear" w:fill="FFFFFF"/>
        </w:rPr>
        <w:t>，成为我国首个打破省级行政区划限制实现多省区电力资源统一优化配置的电力现货市场。</w:t>
      </w:r>
    </w:p>
    <w:p w14:paraId="2CD4025B">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用户侧主体参与</w:t>
      </w:r>
    </w:p>
    <w:p w14:paraId="3B3A7EBF">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2025年底前，各省要实现</w:t>
      </w:r>
      <w:r>
        <w:rPr>
          <w:rFonts w:hint="eastAsia" w:ascii="宋体" w:hAnsi="宋体" w:eastAsia="宋体" w:cs="宋体"/>
          <w:b/>
          <w:bCs/>
          <w:i w:val="0"/>
          <w:iCs w:val="0"/>
          <w:caps w:val="0"/>
          <w:color w:val="0F1115"/>
          <w:spacing w:val="0"/>
          <w:sz w:val="21"/>
          <w:szCs w:val="21"/>
          <w:shd w:val="clear" w:fill="FFFFFF"/>
        </w:rPr>
        <w:t>用户侧主体参与现货市场申报、出清、结算</w:t>
      </w:r>
      <w:r>
        <w:rPr>
          <w:rFonts w:hint="eastAsia" w:ascii="宋体" w:hAnsi="宋体" w:eastAsia="宋体" w:cs="宋体"/>
          <w:i w:val="0"/>
          <w:iCs w:val="0"/>
          <w:caps w:val="0"/>
          <w:color w:val="0F1115"/>
          <w:spacing w:val="0"/>
          <w:sz w:val="21"/>
          <w:szCs w:val="21"/>
          <w:shd w:val="clear" w:fill="FFFFFF"/>
        </w:rPr>
        <w:t>，建立适应新型经营主体（含</w:t>
      </w:r>
      <w:r>
        <w:rPr>
          <w:rFonts w:hint="eastAsia" w:ascii="宋体" w:hAnsi="宋体" w:eastAsia="宋体" w:cs="宋体"/>
          <w:b/>
          <w:bCs/>
          <w:i w:val="0"/>
          <w:iCs w:val="0"/>
          <w:caps w:val="0"/>
          <w:color w:val="0F1115"/>
          <w:spacing w:val="0"/>
          <w:sz w:val="21"/>
          <w:szCs w:val="21"/>
          <w:shd w:val="clear" w:fill="FFFFFF"/>
        </w:rPr>
        <w:t>储能、虚拟电厂</w:t>
      </w:r>
      <w:r>
        <w:rPr>
          <w:rFonts w:hint="eastAsia" w:ascii="宋体" w:hAnsi="宋体" w:eastAsia="宋体" w:cs="宋体"/>
          <w:i w:val="0"/>
          <w:iCs w:val="0"/>
          <w:caps w:val="0"/>
          <w:color w:val="0F1115"/>
          <w:spacing w:val="0"/>
          <w:sz w:val="21"/>
          <w:szCs w:val="21"/>
          <w:shd w:val="clear" w:fill="FFFFFF"/>
        </w:rPr>
        <w:t>）的准入和结算机制。</w:t>
      </w:r>
    </w:p>
    <w:p w14:paraId="59C3AB78">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省间现货市场</w:t>
      </w:r>
    </w:p>
    <w:p w14:paraId="747ABD8F">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要加紧研究售电公司、电力用户直接参与省间现货交易的机制。</w:t>
      </w:r>
    </w:p>
    <w:p w14:paraId="53F22A0D">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2.4 《广东省能源局 国家能源局南方监管局关于2025年电力市场交易有关事项的通知》</w:t>
      </w:r>
    </w:p>
    <w:p w14:paraId="1E3E4112">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发布机构</w:t>
      </w:r>
      <w:r>
        <w:rPr>
          <w:rFonts w:hint="eastAsia" w:ascii="宋体" w:hAnsi="宋体" w:eastAsia="宋体" w:cs="宋体"/>
          <w:i w:val="0"/>
          <w:iCs w:val="0"/>
          <w:caps w:val="0"/>
          <w:color w:val="0F1115"/>
          <w:spacing w:val="0"/>
          <w:sz w:val="21"/>
          <w:szCs w:val="21"/>
          <w:shd w:val="clear" w:fill="FFFFFF"/>
        </w:rPr>
        <w:t>：广东省能源局、国家能源局南方监管局</w:t>
      </w:r>
    </w:p>
    <w:p w14:paraId="00035D38">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发布时间</w:t>
      </w:r>
      <w:r>
        <w:rPr>
          <w:rFonts w:hint="eastAsia" w:ascii="宋体" w:hAnsi="宋体" w:eastAsia="宋体" w:cs="宋体"/>
          <w:i w:val="0"/>
          <w:iCs w:val="0"/>
          <w:caps w:val="0"/>
          <w:color w:val="0F1115"/>
          <w:spacing w:val="0"/>
          <w:sz w:val="21"/>
          <w:szCs w:val="21"/>
          <w:shd w:val="clear" w:fill="FFFFFF"/>
        </w:rPr>
        <w:t>：2024年11月22日</w:t>
      </w:r>
    </w:p>
    <w:p w14:paraId="10944358">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原文链接</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"http://drc.gd.gov.cn/gdsnyj/gkmlpt/content/4/4582/post_4582746.html"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1"/>
          <w:szCs w:val="21"/>
          <w:u w:val="none"/>
          <w:shd w:val="clear" w:fill="FFFFFF"/>
        </w:rPr>
        <w:t>http://drc.gd.gov.cn/gdsnyj/gkmlpt/content/4/4582/post_4582746.html</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p>
    <w:p w14:paraId="395BA413">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市场规模</w:t>
      </w:r>
    </w:p>
    <w:p w14:paraId="6C2D39D5">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2025年广东电力市场规模约为6500亿千瓦时</w:t>
      </w:r>
      <w:r>
        <w:rPr>
          <w:rFonts w:hint="eastAsia" w:ascii="宋体" w:hAnsi="宋体" w:eastAsia="宋体" w:cs="宋体"/>
          <w:i w:val="0"/>
          <w:iCs w:val="0"/>
          <w:caps w:val="0"/>
          <w:color w:val="0F1115"/>
          <w:spacing w:val="0"/>
          <w:sz w:val="21"/>
          <w:szCs w:val="21"/>
          <w:shd w:val="clear" w:fill="FFFFFF"/>
        </w:rPr>
        <w:t>。</w:t>
      </w:r>
    </w:p>
    <w:p w14:paraId="6D3CBBB6">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用户侧准入——核心门槛</w:t>
      </w:r>
    </w:p>
    <w:p w14:paraId="7FC4F467">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大型用户（年用电量≥500万千瓦时）</w:t>
      </w:r>
      <w:r>
        <w:rPr>
          <w:rFonts w:hint="eastAsia" w:ascii="宋体" w:hAnsi="宋体" w:eastAsia="宋体" w:cs="宋体"/>
          <w:i w:val="0"/>
          <w:iCs w:val="0"/>
          <w:caps w:val="0"/>
          <w:color w:val="0F1115"/>
          <w:spacing w:val="0"/>
          <w:sz w:val="21"/>
          <w:szCs w:val="21"/>
          <w:shd w:val="clear" w:fill="FFFFFF"/>
        </w:rPr>
        <w:t>：可作为批发用户直接参与批发市场交易或通过售电公司参与市场交易。</w:t>
      </w:r>
    </w:p>
    <w:p w14:paraId="300AB235">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中小用户（年用电量&lt;500万千瓦时）</w:t>
      </w:r>
      <w:r>
        <w:rPr>
          <w:rFonts w:hint="eastAsia" w:ascii="宋体" w:hAnsi="宋体" w:eastAsia="宋体" w:cs="宋体"/>
          <w:i w:val="0"/>
          <w:iCs w:val="0"/>
          <w:caps w:val="0"/>
          <w:color w:val="0F1115"/>
          <w:spacing w:val="0"/>
          <w:sz w:val="21"/>
          <w:szCs w:val="21"/>
          <w:shd w:val="clear" w:fill="FFFFFF"/>
        </w:rPr>
        <w:t>：通过售电公司参与市场交易。未直接参与市场的由电网企业代理购电。</w:t>
      </w:r>
    </w:p>
    <w:p w14:paraId="5CF1FFDA">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兜底保底机制</w:t>
      </w:r>
    </w:p>
    <w:p w14:paraId="4FA04215">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未及时与售电公司签订零售合同或未参与批发市场交易的用户，将按市场保底售电规定执行保底零售价格。</w:t>
      </w:r>
    </w:p>
    <w:p w14:paraId="25F633EC">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2.5 《广东虚拟电厂参与电能量交易实施细则（试行）》及《广东虚拟电厂运营管理实施细则（试行）》</w:t>
      </w:r>
    </w:p>
    <w:p w14:paraId="57F9CF12">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文件号</w:t>
      </w:r>
      <w:r>
        <w:rPr>
          <w:rFonts w:hint="eastAsia" w:ascii="宋体" w:hAnsi="宋体" w:eastAsia="宋体" w:cs="宋体"/>
          <w:i w:val="0"/>
          <w:iCs w:val="0"/>
          <w:caps w:val="0"/>
          <w:color w:val="0F1115"/>
          <w:spacing w:val="0"/>
          <w:sz w:val="21"/>
          <w:szCs w:val="21"/>
          <w:shd w:val="clear" w:fill="FFFFFF"/>
        </w:rPr>
        <w:t>：广东交易〔2025〕152号</w:t>
      </w:r>
    </w:p>
    <w:p w14:paraId="196B0CDD">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发布机构</w:t>
      </w:r>
      <w:r>
        <w:rPr>
          <w:rFonts w:hint="eastAsia" w:ascii="宋体" w:hAnsi="宋体" w:eastAsia="宋体" w:cs="宋体"/>
          <w:i w:val="0"/>
          <w:iCs w:val="0"/>
          <w:caps w:val="0"/>
          <w:color w:val="0F1115"/>
          <w:spacing w:val="0"/>
          <w:sz w:val="21"/>
          <w:szCs w:val="21"/>
          <w:shd w:val="clear" w:fill="FFFFFF"/>
        </w:rPr>
        <w:t>：广东电力交易中心</w:t>
      </w:r>
    </w:p>
    <w:p w14:paraId="5E6C3B25">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发布时间</w:t>
      </w:r>
      <w:r>
        <w:rPr>
          <w:rFonts w:hint="eastAsia" w:ascii="宋体" w:hAnsi="宋体" w:eastAsia="宋体" w:cs="宋体"/>
          <w:i w:val="0"/>
          <w:iCs w:val="0"/>
          <w:caps w:val="0"/>
          <w:color w:val="0F1115"/>
          <w:spacing w:val="0"/>
          <w:sz w:val="21"/>
          <w:szCs w:val="21"/>
          <w:shd w:val="clear" w:fill="FFFFFF"/>
        </w:rPr>
        <w:t>：2025年6月27日</w:t>
      </w:r>
    </w:p>
    <w:p w14:paraId="05C99E92">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相关报道链接</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"https://news.bjx.com.cn/html/20250818/1448744.shtml"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1"/>
          <w:szCs w:val="21"/>
          <w:u w:val="none"/>
          <w:shd w:val="clear" w:fill="FFFFFF"/>
        </w:rPr>
        <w:t>https://news.bjx.com.cn/html/20250818/1448744.shtml</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p>
    <w:p w14:paraId="16858569">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交易品种</w:t>
      </w:r>
    </w:p>
    <w:p w14:paraId="64D2B755">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虚拟电厂运营商可代理参与的交易品种包括</w:t>
      </w:r>
      <w:r>
        <w:rPr>
          <w:rFonts w:hint="eastAsia" w:ascii="宋体" w:hAnsi="宋体" w:eastAsia="宋体" w:cs="宋体"/>
          <w:b/>
          <w:bCs/>
          <w:i w:val="0"/>
          <w:iCs w:val="0"/>
          <w:caps w:val="0"/>
          <w:color w:val="0F1115"/>
          <w:spacing w:val="0"/>
          <w:sz w:val="21"/>
          <w:szCs w:val="21"/>
          <w:shd w:val="clear" w:fill="FFFFFF"/>
        </w:rPr>
        <w:t>电能量交易、需求响应交易和辅助服务交易</w:t>
      </w:r>
      <w:r>
        <w:rPr>
          <w:rFonts w:hint="eastAsia" w:ascii="宋体" w:hAnsi="宋体" w:eastAsia="宋体" w:cs="宋体"/>
          <w:i w:val="0"/>
          <w:iCs w:val="0"/>
          <w:caps w:val="0"/>
          <w:color w:val="0F1115"/>
          <w:spacing w:val="0"/>
          <w:sz w:val="21"/>
          <w:szCs w:val="21"/>
          <w:shd w:val="clear" w:fill="FFFFFF"/>
        </w:rPr>
        <w:t>。</w:t>
      </w:r>
    </w:p>
    <w:p w14:paraId="16EE9C29">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交易单元聚合要求（负荷类VPP）</w:t>
      </w:r>
    </w:p>
    <w:p w14:paraId="6FF8517A">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聚合单位</w:t>
      </w:r>
      <w:r>
        <w:rPr>
          <w:rFonts w:hint="eastAsia" w:ascii="宋体" w:hAnsi="宋体" w:eastAsia="宋体" w:cs="宋体"/>
          <w:i w:val="0"/>
          <w:iCs w:val="0"/>
          <w:caps w:val="0"/>
          <w:color w:val="0F1115"/>
          <w:spacing w:val="0"/>
          <w:sz w:val="21"/>
          <w:szCs w:val="21"/>
          <w:shd w:val="clear" w:fill="FFFFFF"/>
        </w:rPr>
        <w:t>：以现货市场出清节点（</w:t>
      </w:r>
      <w:r>
        <w:rPr>
          <w:rFonts w:hint="eastAsia" w:ascii="宋体" w:hAnsi="宋体" w:eastAsia="宋体" w:cs="宋体"/>
          <w:b/>
          <w:bCs/>
          <w:i w:val="0"/>
          <w:iCs w:val="0"/>
          <w:caps w:val="0"/>
          <w:color w:val="0F1115"/>
          <w:spacing w:val="0"/>
          <w:sz w:val="21"/>
          <w:szCs w:val="21"/>
          <w:shd w:val="clear" w:fill="FFFFFF"/>
        </w:rPr>
        <w:t>220千伏及以上电压等级母线</w:t>
      </w:r>
      <w:r>
        <w:rPr>
          <w:rFonts w:hint="eastAsia" w:ascii="宋体" w:hAnsi="宋体" w:eastAsia="宋体" w:cs="宋体"/>
          <w:i w:val="0"/>
          <w:iCs w:val="0"/>
          <w:caps w:val="0"/>
          <w:color w:val="0F1115"/>
          <w:spacing w:val="0"/>
          <w:sz w:val="21"/>
          <w:szCs w:val="21"/>
          <w:shd w:val="clear" w:fill="FFFFFF"/>
        </w:rPr>
        <w:t>）为单位聚合。</w:t>
      </w:r>
    </w:p>
    <w:p w14:paraId="77158154">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调节能力</w:t>
      </w:r>
      <w:r>
        <w:rPr>
          <w:rFonts w:hint="eastAsia" w:ascii="宋体" w:hAnsi="宋体" w:eastAsia="宋体" w:cs="宋体"/>
          <w:i w:val="0"/>
          <w:iCs w:val="0"/>
          <w:caps w:val="0"/>
          <w:color w:val="0F1115"/>
          <w:spacing w:val="0"/>
          <w:sz w:val="21"/>
          <w:szCs w:val="21"/>
          <w:shd w:val="clear" w:fill="FFFFFF"/>
        </w:rPr>
        <w:t>：单个交易单元</w:t>
      </w:r>
      <w:r>
        <w:rPr>
          <w:rFonts w:hint="eastAsia" w:ascii="宋体" w:hAnsi="宋体" w:eastAsia="宋体" w:cs="宋体"/>
          <w:b/>
          <w:bCs/>
          <w:i w:val="0"/>
          <w:iCs w:val="0"/>
          <w:caps w:val="0"/>
          <w:color w:val="0F1115"/>
          <w:spacing w:val="0"/>
          <w:sz w:val="21"/>
          <w:szCs w:val="21"/>
          <w:shd w:val="clear" w:fill="FFFFFF"/>
        </w:rPr>
        <w:t>不小于1兆瓦（MW）</w:t>
      </w:r>
      <w:r>
        <w:rPr>
          <w:rFonts w:hint="eastAsia" w:ascii="宋体" w:hAnsi="宋体" w:eastAsia="宋体" w:cs="宋体"/>
          <w:i w:val="0"/>
          <w:iCs w:val="0"/>
          <w:caps w:val="0"/>
          <w:color w:val="0F1115"/>
          <w:spacing w:val="0"/>
          <w:sz w:val="21"/>
          <w:szCs w:val="21"/>
          <w:shd w:val="clear" w:fill="FFFFFF"/>
        </w:rPr>
        <w:t>。</w:t>
      </w:r>
    </w:p>
    <w:p w14:paraId="2756ABED">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响应持续时间</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b/>
          <w:bCs/>
          <w:i w:val="0"/>
          <w:iCs w:val="0"/>
          <w:caps w:val="0"/>
          <w:color w:val="0F1115"/>
          <w:spacing w:val="0"/>
          <w:sz w:val="21"/>
          <w:szCs w:val="21"/>
          <w:shd w:val="clear" w:fill="FFFFFF"/>
        </w:rPr>
        <w:t>不低于1小时</w:t>
      </w:r>
      <w:r>
        <w:rPr>
          <w:rFonts w:hint="eastAsia" w:ascii="宋体" w:hAnsi="宋体" w:eastAsia="宋体" w:cs="宋体"/>
          <w:i w:val="0"/>
          <w:iCs w:val="0"/>
          <w:caps w:val="0"/>
          <w:color w:val="0F1115"/>
          <w:spacing w:val="0"/>
          <w:sz w:val="21"/>
          <w:szCs w:val="21"/>
          <w:shd w:val="clear" w:fill="FFFFFF"/>
        </w:rPr>
        <w:t>。</w:t>
      </w:r>
    </w:p>
    <w:p w14:paraId="0E60BAF0">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响应时间</w:t>
      </w:r>
      <w:r>
        <w:rPr>
          <w:rFonts w:hint="eastAsia" w:ascii="宋体" w:hAnsi="宋体" w:eastAsia="宋体" w:cs="宋体"/>
          <w:i w:val="0"/>
          <w:iCs w:val="0"/>
          <w:caps w:val="0"/>
          <w:color w:val="0F1115"/>
          <w:spacing w:val="0"/>
          <w:sz w:val="21"/>
          <w:szCs w:val="21"/>
          <w:shd w:val="clear" w:fill="FFFFFF"/>
        </w:rPr>
        <w:t>：直控型虚拟电厂响应时间应</w:t>
      </w:r>
      <w:r>
        <w:rPr>
          <w:rFonts w:hint="eastAsia" w:ascii="宋体" w:hAnsi="宋体" w:eastAsia="宋体" w:cs="宋体"/>
          <w:b/>
          <w:bCs/>
          <w:i w:val="0"/>
          <w:iCs w:val="0"/>
          <w:caps w:val="0"/>
          <w:color w:val="0F1115"/>
          <w:spacing w:val="0"/>
          <w:sz w:val="21"/>
          <w:szCs w:val="21"/>
          <w:shd w:val="clear" w:fill="FFFFFF"/>
        </w:rPr>
        <w:t>不大于300秒</w:t>
      </w:r>
      <w:r>
        <w:rPr>
          <w:rFonts w:hint="eastAsia" w:ascii="宋体" w:hAnsi="宋体" w:eastAsia="宋体" w:cs="宋体"/>
          <w:i w:val="0"/>
          <w:iCs w:val="0"/>
          <w:caps w:val="0"/>
          <w:color w:val="0F1115"/>
          <w:spacing w:val="0"/>
          <w:sz w:val="21"/>
          <w:szCs w:val="21"/>
          <w:shd w:val="clear" w:fill="FFFFFF"/>
        </w:rPr>
        <w:t>。</w:t>
      </w:r>
    </w:p>
    <w:p w14:paraId="5E902787">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发电类虚拟电厂聚合要求</w:t>
      </w:r>
    </w:p>
    <w:p w14:paraId="17E2EC53">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可聚合资源</w:t>
      </w:r>
      <w:r>
        <w:rPr>
          <w:rFonts w:hint="eastAsia" w:ascii="宋体" w:hAnsi="宋体" w:eastAsia="宋体" w:cs="宋体"/>
          <w:i w:val="0"/>
          <w:iCs w:val="0"/>
          <w:caps w:val="0"/>
          <w:color w:val="0F1115"/>
          <w:spacing w:val="0"/>
          <w:sz w:val="21"/>
          <w:szCs w:val="21"/>
          <w:shd w:val="clear" w:fill="FFFFFF"/>
        </w:rPr>
        <w:t>：光伏、风电和</w:t>
      </w:r>
      <w:r>
        <w:rPr>
          <w:rFonts w:hint="eastAsia" w:ascii="宋体" w:hAnsi="宋体" w:eastAsia="宋体" w:cs="宋体"/>
          <w:b/>
          <w:bCs/>
          <w:i w:val="0"/>
          <w:iCs w:val="0"/>
          <w:caps w:val="0"/>
          <w:color w:val="0F1115"/>
          <w:spacing w:val="0"/>
          <w:sz w:val="21"/>
          <w:szCs w:val="21"/>
          <w:shd w:val="clear" w:fill="FFFFFF"/>
        </w:rPr>
        <w:t>独立储能</w:t>
      </w:r>
      <w:r>
        <w:rPr>
          <w:rFonts w:hint="eastAsia" w:ascii="宋体" w:hAnsi="宋体" w:eastAsia="宋体" w:cs="宋体"/>
          <w:i w:val="0"/>
          <w:iCs w:val="0"/>
          <w:caps w:val="0"/>
          <w:color w:val="0F1115"/>
          <w:spacing w:val="0"/>
          <w:sz w:val="21"/>
          <w:szCs w:val="21"/>
          <w:shd w:val="clear" w:fill="FFFFFF"/>
        </w:rPr>
        <w:t>等接入</w:t>
      </w:r>
      <w:r>
        <w:rPr>
          <w:rFonts w:hint="eastAsia" w:ascii="宋体" w:hAnsi="宋体" w:eastAsia="宋体" w:cs="宋体"/>
          <w:b/>
          <w:bCs/>
          <w:i w:val="0"/>
          <w:iCs w:val="0"/>
          <w:caps w:val="0"/>
          <w:color w:val="0F1115"/>
          <w:spacing w:val="0"/>
          <w:sz w:val="21"/>
          <w:szCs w:val="21"/>
          <w:shd w:val="clear" w:fill="FFFFFF"/>
        </w:rPr>
        <w:t>10千伏及以下</w:t>
      </w:r>
      <w:r>
        <w:rPr>
          <w:rFonts w:hint="eastAsia" w:ascii="宋体" w:hAnsi="宋体" w:eastAsia="宋体" w:cs="宋体"/>
          <w:i w:val="0"/>
          <w:iCs w:val="0"/>
          <w:caps w:val="0"/>
          <w:color w:val="0F1115"/>
          <w:spacing w:val="0"/>
          <w:sz w:val="21"/>
          <w:szCs w:val="21"/>
          <w:shd w:val="clear" w:fill="FFFFFF"/>
        </w:rPr>
        <w:t>电压等级的资源。</w:t>
      </w:r>
    </w:p>
    <w:p w14:paraId="2FEEDBAA">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注册流程</w:t>
      </w:r>
      <w:r>
        <w:rPr>
          <w:rFonts w:hint="eastAsia" w:ascii="宋体" w:hAnsi="宋体" w:eastAsia="宋体" w:cs="宋体"/>
          <w:i w:val="0"/>
          <w:iCs w:val="0"/>
          <w:caps w:val="0"/>
          <w:color w:val="0F1115"/>
          <w:spacing w:val="0"/>
          <w:sz w:val="21"/>
          <w:szCs w:val="21"/>
          <w:shd w:val="clear" w:fill="FFFFFF"/>
        </w:rPr>
        <w:t>：项目注册→签订代理合同→聚合为交易单元→审核生效。</w:t>
      </w:r>
    </w:p>
    <w:p w14:paraId="51AC1DE2">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能力测试认定</w:t>
      </w:r>
    </w:p>
    <w:p w14:paraId="2A17A5A4">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负荷类VPP须通过可调节能力测试认定方可参与市场。</w:t>
      </w:r>
    </w:p>
    <w:p w14:paraId="3BF49BB0">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2.6 《南方区域电力市场运行规则（试行，2025年V1.0版）》</w:t>
      </w:r>
    </w:p>
    <w:p w14:paraId="07FD6A78">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发布机构</w:t>
      </w:r>
      <w:r>
        <w:rPr>
          <w:rFonts w:hint="eastAsia" w:ascii="宋体" w:hAnsi="宋体" w:eastAsia="宋体" w:cs="宋体"/>
          <w:i w:val="0"/>
          <w:iCs w:val="0"/>
          <w:caps w:val="0"/>
          <w:color w:val="0F1115"/>
          <w:spacing w:val="0"/>
          <w:sz w:val="21"/>
          <w:szCs w:val="21"/>
          <w:shd w:val="clear" w:fill="FFFFFF"/>
        </w:rPr>
        <w:t>：国家能源局南方监管局</w:t>
      </w:r>
    </w:p>
    <w:p w14:paraId="7072845E">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发布时间</w:t>
      </w:r>
      <w:r>
        <w:rPr>
          <w:rFonts w:hint="eastAsia" w:ascii="宋体" w:hAnsi="宋体" w:eastAsia="宋体" w:cs="宋体"/>
          <w:i w:val="0"/>
          <w:iCs w:val="0"/>
          <w:caps w:val="0"/>
          <w:color w:val="0F1115"/>
          <w:spacing w:val="0"/>
          <w:sz w:val="21"/>
          <w:szCs w:val="21"/>
          <w:shd w:val="clear" w:fill="FFFFFF"/>
        </w:rPr>
        <w:t>：2025年6月正式印发</w:t>
      </w:r>
    </w:p>
    <w:p w14:paraId="049E47C5">
      <w:pPr>
        <w:pStyle w:val="7"/>
        <w:keepNext w:val="0"/>
        <w:keepLines w:val="0"/>
        <w:pageBreakBefore w:val="0"/>
        <w:widowControl/>
        <w:suppressLineNumbers w:val="0"/>
        <w:kinsoku/>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原文链接</w:t>
      </w:r>
      <w:r>
        <w:rPr>
          <w:rFonts w:hint="eastAsia" w:ascii="宋体" w:hAnsi="宋体" w:eastAsia="宋体" w:cs="宋体"/>
          <w:i w:val="0"/>
          <w:iCs w:val="0"/>
          <w:caps w:val="0"/>
          <w:color w:val="0F1115"/>
          <w:spacing w:val="0"/>
          <w:sz w:val="21"/>
          <w:szCs w:val="21"/>
          <w:shd w:val="clear" w:fill="FFFFFF"/>
        </w:rPr>
        <w:t>：</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begin"/>
      </w:r>
      <w:r>
        <w:rPr>
          <w:rFonts w:hint="eastAsia" w:ascii="宋体" w:hAnsi="宋体" w:eastAsia="宋体" w:cs="宋体"/>
          <w:i w:val="0"/>
          <w:iCs w:val="0"/>
          <w:caps w:val="0"/>
          <w:color w:val="3964FE"/>
          <w:spacing w:val="0"/>
          <w:sz w:val="21"/>
          <w:szCs w:val="21"/>
          <w:u w:val="none"/>
          <w:bdr w:val="single" w:color="auto" w:sz="12" w:space="0"/>
          <w:shd w:val="clear" w:fill="FFFFFF"/>
        </w:rPr>
        <w:instrText xml:space="preserve"> HYPERLINK "https://nfj.nea.gov.cn/hdhy/zlxz/202506/t20250625_283322.html" \t "https://chat.deepseek.com/a/chat/s/_blank" </w:instrTex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separate"/>
      </w:r>
      <w:r>
        <w:rPr>
          <w:rStyle w:val="10"/>
          <w:rFonts w:hint="eastAsia" w:ascii="宋体" w:hAnsi="宋体" w:eastAsia="宋体" w:cs="宋体"/>
          <w:i w:val="0"/>
          <w:iCs w:val="0"/>
          <w:caps w:val="0"/>
          <w:color w:val="3964FE"/>
          <w:spacing w:val="0"/>
          <w:sz w:val="21"/>
          <w:szCs w:val="21"/>
          <w:u w:val="none"/>
          <w:shd w:val="clear" w:fill="FFFFFF"/>
        </w:rPr>
        <w:t>https://nfj.nea.gov.cn/hdhy/zlxz/202506/t20250625_283322.html</w:t>
      </w:r>
      <w:r>
        <w:rPr>
          <w:rFonts w:hint="eastAsia" w:ascii="宋体" w:hAnsi="宋体" w:eastAsia="宋体" w:cs="宋体"/>
          <w:i w:val="0"/>
          <w:iCs w:val="0"/>
          <w:caps w:val="0"/>
          <w:color w:val="3964FE"/>
          <w:spacing w:val="0"/>
          <w:sz w:val="21"/>
          <w:szCs w:val="21"/>
          <w:u w:val="none"/>
          <w:bdr w:val="single" w:color="auto" w:sz="12" w:space="0"/>
          <w:shd w:val="clear" w:fill="FFFFFF"/>
        </w:rPr>
        <w:fldChar w:fldCharType="end"/>
      </w:r>
    </w:p>
    <w:p w14:paraId="0CBC82A0">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新型储能主体入场</w:t>
      </w:r>
    </w:p>
    <w:p w14:paraId="57ACAFDC">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规则明确新型主体（含</w:t>
      </w:r>
      <w:r>
        <w:rPr>
          <w:rFonts w:hint="eastAsia" w:ascii="宋体" w:hAnsi="宋体" w:eastAsia="宋体" w:cs="宋体"/>
          <w:b/>
          <w:bCs/>
          <w:i w:val="0"/>
          <w:iCs w:val="0"/>
          <w:caps w:val="0"/>
          <w:color w:val="0F1115"/>
          <w:spacing w:val="0"/>
          <w:sz w:val="21"/>
          <w:szCs w:val="21"/>
          <w:shd w:val="clear" w:fill="FFFFFF"/>
        </w:rPr>
        <w:t>储能、虚拟电厂、负荷聚合商</w:t>
      </w:r>
      <w:r>
        <w:rPr>
          <w:rFonts w:hint="eastAsia" w:ascii="宋体" w:hAnsi="宋体" w:eastAsia="宋体" w:cs="宋体"/>
          <w:i w:val="0"/>
          <w:iCs w:val="0"/>
          <w:caps w:val="0"/>
          <w:color w:val="0F1115"/>
          <w:spacing w:val="0"/>
          <w:sz w:val="21"/>
          <w:szCs w:val="21"/>
          <w:shd w:val="clear" w:fill="FFFFFF"/>
        </w:rPr>
        <w:t>）可参与电能量和辅助服务交易。</w:t>
      </w:r>
    </w:p>
    <w:p w14:paraId="00C33703">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现货市场定价机制</w:t>
      </w:r>
    </w:p>
    <w:p w14:paraId="3F6ACC6C">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区域现货市场采用</w:t>
      </w:r>
      <w:r>
        <w:rPr>
          <w:rFonts w:hint="eastAsia" w:ascii="宋体" w:hAnsi="宋体" w:eastAsia="宋体" w:cs="宋体"/>
          <w:b/>
          <w:bCs/>
          <w:i w:val="0"/>
          <w:iCs w:val="0"/>
          <w:caps w:val="0"/>
          <w:color w:val="0F1115"/>
          <w:spacing w:val="0"/>
          <w:sz w:val="21"/>
          <w:szCs w:val="21"/>
          <w:shd w:val="clear" w:fill="FFFFFF"/>
        </w:rPr>
        <w:t>节点边际电价</w:t>
      </w:r>
      <w:r>
        <w:rPr>
          <w:rFonts w:hint="eastAsia" w:ascii="宋体" w:hAnsi="宋体" w:eastAsia="宋体" w:cs="宋体"/>
          <w:i w:val="0"/>
          <w:iCs w:val="0"/>
          <w:caps w:val="0"/>
          <w:color w:val="0F1115"/>
          <w:spacing w:val="0"/>
          <w:sz w:val="21"/>
          <w:szCs w:val="21"/>
          <w:shd w:val="clear" w:fill="FFFFFF"/>
        </w:rPr>
        <w:t>，经营主体具有报价权和参与定价权。节点电价暂由系统电能价格与阻塞价格两部分构成。</w:t>
      </w:r>
    </w:p>
    <w:p w14:paraId="2791A285">
      <w:pPr>
        <w:pStyle w:val="5"/>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独立储能参与方式</w:t>
      </w:r>
    </w:p>
    <w:p w14:paraId="50B1AD88">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420" w:firstLineChars="20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现阶段，独立储能采取</w:t>
      </w:r>
      <w:r>
        <w:rPr>
          <w:rFonts w:hint="eastAsia" w:ascii="宋体" w:hAnsi="宋体" w:eastAsia="宋体" w:cs="宋体"/>
          <w:b/>
          <w:bCs/>
          <w:i w:val="0"/>
          <w:iCs w:val="0"/>
          <w:caps w:val="0"/>
          <w:color w:val="0F1115"/>
          <w:spacing w:val="0"/>
          <w:sz w:val="21"/>
          <w:szCs w:val="21"/>
          <w:shd w:val="clear" w:fill="FFFFFF"/>
        </w:rPr>
        <w:t>"报量不报价"方式</w:t>
      </w:r>
      <w:r>
        <w:rPr>
          <w:rFonts w:hint="eastAsia" w:ascii="宋体" w:hAnsi="宋体" w:eastAsia="宋体" w:cs="宋体"/>
          <w:i w:val="0"/>
          <w:iCs w:val="0"/>
          <w:caps w:val="0"/>
          <w:color w:val="0F1115"/>
          <w:spacing w:val="0"/>
          <w:sz w:val="21"/>
          <w:szCs w:val="21"/>
          <w:shd w:val="clear" w:fill="FFFFFF"/>
        </w:rPr>
        <w:t>参与现货市场，待具备条件后可采取“报量报价”方式参与。</w:t>
      </w:r>
    </w:p>
    <w:p w14:paraId="2E8C3902">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2.7 六个政策的核心条款对照速查</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20"/>
        <w:gridCol w:w="2547"/>
        <w:gridCol w:w="3153"/>
      </w:tblGrid>
      <w:tr w14:paraId="32950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F358F4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文件</w:t>
            </w:r>
          </w:p>
        </w:tc>
        <w:tc>
          <w:tcPr>
            <w:tcW w:w="2547" w:type="dxa"/>
            <w:tcBorders>
              <w:top w:val="nil"/>
            </w:tcBorders>
            <w:shd w:val="clear"/>
            <w:tcMar>
              <w:top w:w="100" w:type="dxa"/>
              <w:left w:w="160" w:type="dxa"/>
              <w:bottom w:w="100" w:type="dxa"/>
              <w:right w:w="160" w:type="dxa"/>
            </w:tcMar>
            <w:vAlign w:val="center"/>
          </w:tcPr>
          <w:p w14:paraId="0FAB545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核心条款</w:t>
            </w:r>
          </w:p>
        </w:tc>
        <w:tc>
          <w:tcPr>
            <w:tcW w:w="3153" w:type="dxa"/>
            <w:tcBorders>
              <w:top w:val="nil"/>
            </w:tcBorders>
            <w:shd w:val="clear"/>
            <w:tcMar>
              <w:top w:w="100" w:type="dxa"/>
              <w:left w:w="160" w:type="dxa"/>
              <w:bottom w:w="100" w:type="dxa"/>
              <w:right w:w="160" w:type="dxa"/>
            </w:tcMar>
            <w:vAlign w:val="center"/>
          </w:tcPr>
          <w:p w14:paraId="6C5B2CF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关键数字/规定</w:t>
            </w:r>
          </w:p>
        </w:tc>
      </w:tr>
      <w:tr w14:paraId="2754F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011B65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1093号文</w:t>
            </w:r>
            <w:r>
              <w:rPr>
                <w:rFonts w:hint="eastAsia" w:ascii="宋体" w:hAnsi="宋体" w:eastAsia="宋体" w:cs="宋体"/>
                <w:kern w:val="0"/>
                <w:sz w:val="21"/>
                <w:szCs w:val="21"/>
                <w:bdr w:val="none" w:color="auto" w:sz="0" w:space="0"/>
                <w:lang w:val="en-US" w:eastAsia="zh-CN" w:bidi="ar"/>
              </w:rPr>
              <w:t>（国家峰谷电价）</w:t>
            </w:r>
          </w:p>
        </w:tc>
        <w:tc>
          <w:tcPr>
            <w:tcW w:w="2547" w:type="dxa"/>
            <w:shd w:val="clear"/>
            <w:tcMar>
              <w:top w:w="100" w:type="dxa"/>
              <w:left w:w="160" w:type="dxa"/>
              <w:bottom w:w="100" w:type="dxa"/>
              <w:right w:w="160" w:type="dxa"/>
            </w:tcMar>
            <w:vAlign w:val="center"/>
          </w:tcPr>
          <w:p w14:paraId="29208D4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峰谷价差、尖峰电价</w:t>
            </w:r>
          </w:p>
        </w:tc>
        <w:tc>
          <w:tcPr>
            <w:tcW w:w="3153" w:type="dxa"/>
            <w:shd w:val="clear"/>
            <w:tcMar>
              <w:top w:w="100" w:type="dxa"/>
              <w:left w:w="160" w:type="dxa"/>
              <w:bottom w:w="100" w:type="dxa"/>
              <w:right w:w="0" w:type="dxa"/>
            </w:tcMar>
            <w:vAlign w:val="center"/>
          </w:tcPr>
          <w:p w14:paraId="12E81C9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价差不低于4:1；尖峰上浮≥20%</w:t>
            </w:r>
          </w:p>
        </w:tc>
      </w:tr>
      <w:tr w14:paraId="7DF7B6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778EE3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331号文</w:t>
            </w:r>
            <w:r>
              <w:rPr>
                <w:rFonts w:hint="eastAsia" w:ascii="宋体" w:hAnsi="宋体" w:eastAsia="宋体" w:cs="宋体"/>
                <w:kern w:val="0"/>
                <w:sz w:val="21"/>
                <w:szCs w:val="21"/>
                <w:bdr w:val="none" w:color="auto" w:sz="0" w:space="0"/>
                <w:lang w:val="en-US" w:eastAsia="zh-CN" w:bidi="ar"/>
              </w:rPr>
              <w:t>（广东峰谷电价）</w:t>
            </w:r>
          </w:p>
        </w:tc>
        <w:tc>
          <w:tcPr>
            <w:tcW w:w="2547" w:type="dxa"/>
            <w:shd w:val="clear"/>
            <w:tcMar>
              <w:top w:w="100" w:type="dxa"/>
              <w:left w:w="160" w:type="dxa"/>
              <w:bottom w:w="100" w:type="dxa"/>
              <w:right w:w="160" w:type="dxa"/>
            </w:tcMar>
            <w:vAlign w:val="center"/>
          </w:tcPr>
          <w:p w14:paraId="183BA35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峰谷时段、比价、尖峰</w:t>
            </w:r>
          </w:p>
        </w:tc>
        <w:tc>
          <w:tcPr>
            <w:tcW w:w="3153" w:type="dxa"/>
            <w:shd w:val="clear"/>
            <w:tcMar>
              <w:top w:w="100" w:type="dxa"/>
              <w:left w:w="160" w:type="dxa"/>
              <w:bottom w:w="100" w:type="dxa"/>
              <w:right w:w="0" w:type="dxa"/>
            </w:tcMar>
            <w:vAlign w:val="center"/>
          </w:tcPr>
          <w:p w14:paraId="3617A0A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峰10-12/14-19、谷0-8；1.7:1:0.38；尖峰上浮25%</w:t>
            </w:r>
          </w:p>
        </w:tc>
      </w:tr>
      <w:tr w14:paraId="4F5227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4CD9A2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394号文</w:t>
            </w:r>
            <w:r>
              <w:rPr>
                <w:rFonts w:hint="eastAsia" w:ascii="宋体" w:hAnsi="宋体" w:eastAsia="宋体" w:cs="宋体"/>
                <w:kern w:val="0"/>
                <w:sz w:val="21"/>
                <w:szCs w:val="21"/>
                <w:bdr w:val="none" w:color="auto" w:sz="0" w:space="0"/>
                <w:lang w:val="en-US" w:eastAsia="zh-CN" w:bidi="ar"/>
              </w:rPr>
              <w:t>（现货市场建设）</w:t>
            </w:r>
          </w:p>
        </w:tc>
        <w:tc>
          <w:tcPr>
            <w:tcW w:w="2547" w:type="dxa"/>
            <w:shd w:val="clear"/>
            <w:tcMar>
              <w:top w:w="100" w:type="dxa"/>
              <w:left w:w="160" w:type="dxa"/>
              <w:bottom w:w="100" w:type="dxa"/>
              <w:right w:w="160" w:type="dxa"/>
            </w:tcMar>
            <w:vAlign w:val="center"/>
          </w:tcPr>
          <w:p w14:paraId="59CA217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南方区域连续结算试运行、用户侧入市</w:t>
            </w:r>
          </w:p>
        </w:tc>
        <w:tc>
          <w:tcPr>
            <w:tcW w:w="3153" w:type="dxa"/>
            <w:shd w:val="clear"/>
            <w:tcMar>
              <w:top w:w="100" w:type="dxa"/>
              <w:left w:w="160" w:type="dxa"/>
              <w:bottom w:w="100" w:type="dxa"/>
              <w:right w:w="0" w:type="dxa"/>
            </w:tcMar>
            <w:vAlign w:val="center"/>
          </w:tcPr>
          <w:p w14:paraId="1186037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2025年底；储能/VPP准入</w:t>
            </w:r>
          </w:p>
        </w:tc>
      </w:tr>
      <w:tr w14:paraId="76635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8AE4D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2025年广东交易通知</w:t>
            </w:r>
          </w:p>
        </w:tc>
        <w:tc>
          <w:tcPr>
            <w:tcW w:w="2547" w:type="dxa"/>
            <w:shd w:val="clear"/>
            <w:tcMar>
              <w:top w:w="100" w:type="dxa"/>
              <w:left w:w="160" w:type="dxa"/>
              <w:bottom w:w="100" w:type="dxa"/>
              <w:right w:w="160" w:type="dxa"/>
            </w:tcMar>
            <w:vAlign w:val="center"/>
          </w:tcPr>
          <w:p w14:paraId="08A4CAF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市场规模、用户准入门槛</w:t>
            </w:r>
          </w:p>
        </w:tc>
        <w:tc>
          <w:tcPr>
            <w:tcW w:w="3153" w:type="dxa"/>
            <w:shd w:val="clear"/>
            <w:tcMar>
              <w:top w:w="100" w:type="dxa"/>
              <w:left w:w="160" w:type="dxa"/>
              <w:bottom w:w="100" w:type="dxa"/>
              <w:right w:w="0" w:type="dxa"/>
            </w:tcMar>
            <w:vAlign w:val="center"/>
          </w:tcPr>
          <w:p w14:paraId="4C133D3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6500亿kWh；≥500万kWh必须入市</w:t>
            </w:r>
          </w:p>
        </w:tc>
      </w:tr>
      <w:tr w14:paraId="02BCC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C06CBB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VPP实施细则</w:t>
            </w:r>
          </w:p>
        </w:tc>
        <w:tc>
          <w:tcPr>
            <w:tcW w:w="2547" w:type="dxa"/>
            <w:shd w:val="clear"/>
            <w:tcMar>
              <w:top w:w="100" w:type="dxa"/>
              <w:left w:w="160" w:type="dxa"/>
              <w:bottom w:w="100" w:type="dxa"/>
              <w:right w:w="160" w:type="dxa"/>
            </w:tcMar>
            <w:vAlign w:val="center"/>
          </w:tcPr>
          <w:p w14:paraId="5065694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交易单元聚合要求</w:t>
            </w:r>
          </w:p>
        </w:tc>
        <w:tc>
          <w:tcPr>
            <w:tcW w:w="3153" w:type="dxa"/>
            <w:shd w:val="clear"/>
            <w:tcMar>
              <w:top w:w="100" w:type="dxa"/>
              <w:left w:w="160" w:type="dxa"/>
              <w:bottom w:w="100" w:type="dxa"/>
              <w:right w:w="0" w:type="dxa"/>
            </w:tcMar>
            <w:vAlign w:val="center"/>
          </w:tcPr>
          <w:p w14:paraId="3343541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≥1MW；≥1h；响应≤300秒</w:t>
            </w:r>
          </w:p>
        </w:tc>
      </w:tr>
      <w:tr w14:paraId="7C421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132FDE9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南方区域规则</w:t>
            </w:r>
            <w:r>
              <w:rPr>
                <w:rFonts w:hint="eastAsia" w:ascii="宋体" w:hAnsi="宋体" w:eastAsia="宋体" w:cs="宋体"/>
                <w:kern w:val="0"/>
                <w:sz w:val="21"/>
                <w:szCs w:val="21"/>
                <w:bdr w:val="none" w:color="auto" w:sz="0" w:space="0"/>
                <w:lang w:val="en-US" w:eastAsia="zh-CN" w:bidi="ar"/>
              </w:rPr>
              <w:t>（2025 V1.0）</w:t>
            </w:r>
          </w:p>
        </w:tc>
        <w:tc>
          <w:tcPr>
            <w:tcW w:w="2547" w:type="dxa"/>
            <w:shd w:val="clear"/>
            <w:tcMar>
              <w:top w:w="100" w:type="dxa"/>
              <w:left w:w="160" w:type="dxa"/>
              <w:bottom w:w="100" w:type="dxa"/>
              <w:right w:w="160" w:type="dxa"/>
            </w:tcMar>
            <w:vAlign w:val="center"/>
          </w:tcPr>
          <w:p w14:paraId="0C317A10">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定价机制、新型主体参与方式</w:t>
            </w:r>
          </w:p>
        </w:tc>
        <w:tc>
          <w:tcPr>
            <w:tcW w:w="3153" w:type="dxa"/>
            <w:shd w:val="clear"/>
            <w:tcMar>
              <w:top w:w="100" w:type="dxa"/>
              <w:left w:w="160" w:type="dxa"/>
              <w:bottom w:w="100" w:type="dxa"/>
              <w:right w:w="0" w:type="dxa"/>
            </w:tcMar>
            <w:vAlign w:val="center"/>
          </w:tcPr>
          <w:p w14:paraId="073B4CC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节点边际电价；储能暂“报量不报价”</w:t>
            </w:r>
          </w:p>
        </w:tc>
      </w:tr>
    </w:tbl>
    <w:p w14:paraId="383C393B">
      <w:pPr>
        <w:pStyle w:val="3"/>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三、市场准入要求：三类主体标准</w:t>
      </w:r>
    </w:p>
    <w:p w14:paraId="630772A4">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3.1 电力用户准入分级</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10"/>
        <w:gridCol w:w="3876"/>
        <w:gridCol w:w="2534"/>
      </w:tblGrid>
      <w:tr w14:paraId="6C39F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110" w:type="dxa"/>
            <w:tcBorders>
              <w:top w:val="nil"/>
            </w:tcBorders>
            <w:shd w:val="clear"/>
            <w:tcMar>
              <w:top w:w="100" w:type="dxa"/>
              <w:left w:w="0" w:type="dxa"/>
              <w:bottom w:w="100" w:type="dxa"/>
              <w:right w:w="160" w:type="dxa"/>
            </w:tcMar>
            <w:vAlign w:val="center"/>
          </w:tcPr>
          <w:p w14:paraId="09691F0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用户类别</w:t>
            </w:r>
          </w:p>
        </w:tc>
        <w:tc>
          <w:tcPr>
            <w:tcW w:w="3876" w:type="dxa"/>
            <w:tcBorders>
              <w:top w:val="nil"/>
            </w:tcBorders>
            <w:shd w:val="clear"/>
            <w:tcMar>
              <w:top w:w="100" w:type="dxa"/>
              <w:left w:w="160" w:type="dxa"/>
              <w:bottom w:w="100" w:type="dxa"/>
              <w:right w:w="160" w:type="dxa"/>
            </w:tcMar>
            <w:vAlign w:val="center"/>
          </w:tcPr>
          <w:p w14:paraId="014B97C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核心门槛</w:t>
            </w:r>
          </w:p>
        </w:tc>
        <w:tc>
          <w:tcPr>
            <w:tcW w:w="0" w:type="auto"/>
            <w:tcBorders>
              <w:top w:val="nil"/>
            </w:tcBorders>
            <w:shd w:val="clear"/>
            <w:tcMar>
              <w:top w:w="100" w:type="dxa"/>
              <w:left w:w="160" w:type="dxa"/>
              <w:bottom w:w="100" w:type="dxa"/>
              <w:right w:w="160" w:type="dxa"/>
            </w:tcMar>
            <w:vAlign w:val="center"/>
          </w:tcPr>
          <w:p w14:paraId="625B6A2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入市方式</w:t>
            </w:r>
          </w:p>
        </w:tc>
      </w:tr>
      <w:tr w14:paraId="3B5AF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10" w:type="dxa"/>
            <w:shd w:val="clear"/>
            <w:tcMar>
              <w:top w:w="100" w:type="dxa"/>
              <w:left w:w="0" w:type="dxa"/>
              <w:bottom w:w="100" w:type="dxa"/>
              <w:right w:w="160" w:type="dxa"/>
            </w:tcMar>
            <w:vAlign w:val="center"/>
          </w:tcPr>
          <w:p w14:paraId="4FA6F6E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大型用户</w:t>
            </w:r>
          </w:p>
        </w:tc>
        <w:tc>
          <w:tcPr>
            <w:tcW w:w="3876" w:type="dxa"/>
            <w:shd w:val="clear"/>
            <w:tcMar>
              <w:top w:w="100" w:type="dxa"/>
              <w:left w:w="160" w:type="dxa"/>
              <w:bottom w:w="100" w:type="dxa"/>
              <w:right w:w="160" w:type="dxa"/>
            </w:tcMar>
            <w:vAlign w:val="center"/>
          </w:tcPr>
          <w:p w14:paraId="2A91733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年用电量≥500万千瓦时，电压等级≥10kV</w:t>
            </w:r>
          </w:p>
        </w:tc>
        <w:tc>
          <w:tcPr>
            <w:tcW w:w="0" w:type="auto"/>
            <w:shd w:val="clear"/>
            <w:tcMar>
              <w:top w:w="100" w:type="dxa"/>
              <w:left w:w="160" w:type="dxa"/>
              <w:bottom w:w="100" w:type="dxa"/>
              <w:right w:w="0" w:type="dxa"/>
            </w:tcMar>
            <w:vAlign w:val="center"/>
          </w:tcPr>
          <w:p w14:paraId="250C058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必须直接入市</w:t>
            </w:r>
          </w:p>
        </w:tc>
      </w:tr>
      <w:tr w14:paraId="5F11E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10" w:type="dxa"/>
            <w:shd w:val="clear"/>
            <w:tcMar>
              <w:top w:w="100" w:type="dxa"/>
              <w:left w:w="0" w:type="dxa"/>
              <w:bottom w:w="100" w:type="dxa"/>
              <w:right w:w="160" w:type="dxa"/>
            </w:tcMar>
            <w:vAlign w:val="center"/>
          </w:tcPr>
          <w:p w14:paraId="69B6F8A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中型用户</w:t>
            </w:r>
          </w:p>
        </w:tc>
        <w:tc>
          <w:tcPr>
            <w:tcW w:w="3876" w:type="dxa"/>
            <w:shd w:val="clear"/>
            <w:tcMar>
              <w:top w:w="100" w:type="dxa"/>
              <w:left w:w="160" w:type="dxa"/>
              <w:bottom w:w="100" w:type="dxa"/>
              <w:right w:w="160" w:type="dxa"/>
            </w:tcMar>
            <w:vAlign w:val="center"/>
          </w:tcPr>
          <w:p w14:paraId="4F02538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年用电量&lt;500万千瓦时，电压等级≥10kV</w:t>
            </w:r>
          </w:p>
        </w:tc>
        <w:tc>
          <w:tcPr>
            <w:tcW w:w="0" w:type="auto"/>
            <w:shd w:val="clear"/>
            <w:tcMar>
              <w:top w:w="100" w:type="dxa"/>
              <w:left w:w="160" w:type="dxa"/>
              <w:bottom w:w="100" w:type="dxa"/>
              <w:right w:w="0" w:type="dxa"/>
            </w:tcMar>
            <w:vAlign w:val="center"/>
          </w:tcPr>
          <w:p w14:paraId="4A84810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通过售电公司参与零售市场</w:t>
            </w:r>
          </w:p>
        </w:tc>
      </w:tr>
      <w:tr w14:paraId="41B2A2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110" w:type="dxa"/>
            <w:shd w:val="clear"/>
            <w:tcMar>
              <w:top w:w="100" w:type="dxa"/>
              <w:left w:w="0" w:type="dxa"/>
              <w:bottom w:w="100" w:type="dxa"/>
              <w:right w:w="160" w:type="dxa"/>
            </w:tcMar>
            <w:vAlign w:val="center"/>
          </w:tcPr>
          <w:p w14:paraId="627B8E4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小型用户</w:t>
            </w:r>
          </w:p>
        </w:tc>
        <w:tc>
          <w:tcPr>
            <w:tcW w:w="3876" w:type="dxa"/>
            <w:shd w:val="clear"/>
            <w:tcMar>
              <w:top w:w="100" w:type="dxa"/>
              <w:left w:w="160" w:type="dxa"/>
              <w:bottom w:w="100" w:type="dxa"/>
              <w:right w:w="160" w:type="dxa"/>
            </w:tcMar>
            <w:vAlign w:val="center"/>
          </w:tcPr>
          <w:p w14:paraId="21F83E0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电压等级&lt;10kV</w:t>
            </w:r>
          </w:p>
        </w:tc>
        <w:tc>
          <w:tcPr>
            <w:tcW w:w="0" w:type="auto"/>
            <w:shd w:val="clear"/>
            <w:tcMar>
              <w:top w:w="100" w:type="dxa"/>
              <w:left w:w="160" w:type="dxa"/>
              <w:bottom w:w="100" w:type="dxa"/>
              <w:right w:w="0" w:type="dxa"/>
            </w:tcMar>
            <w:vAlign w:val="center"/>
          </w:tcPr>
          <w:p w14:paraId="23C22FA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自愿入市或电网代理购电</w:t>
            </w:r>
          </w:p>
        </w:tc>
      </w:tr>
    </w:tbl>
    <w:p w14:paraId="379060BF">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3.2 虚拟电厂（VPP）准入要求</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47"/>
        <w:gridCol w:w="5373"/>
      </w:tblGrid>
      <w:tr w14:paraId="0C7955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7565F86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要求类别</w:t>
            </w:r>
          </w:p>
        </w:tc>
        <w:tc>
          <w:tcPr>
            <w:tcW w:w="0" w:type="auto"/>
            <w:tcBorders>
              <w:top w:val="nil"/>
            </w:tcBorders>
            <w:shd w:val="clear"/>
            <w:tcMar>
              <w:top w:w="100" w:type="dxa"/>
              <w:left w:w="160" w:type="dxa"/>
              <w:bottom w:w="100" w:type="dxa"/>
              <w:right w:w="160" w:type="dxa"/>
            </w:tcMar>
            <w:vAlign w:val="center"/>
          </w:tcPr>
          <w:p w14:paraId="60E8B00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具体规定</w:t>
            </w:r>
          </w:p>
        </w:tc>
      </w:tr>
      <w:tr w14:paraId="1C1D7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331FE8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运营商资质</w:t>
            </w:r>
          </w:p>
        </w:tc>
        <w:tc>
          <w:tcPr>
            <w:tcW w:w="0" w:type="auto"/>
            <w:shd w:val="clear"/>
            <w:tcMar>
              <w:top w:w="100" w:type="dxa"/>
              <w:left w:w="160" w:type="dxa"/>
              <w:bottom w:w="100" w:type="dxa"/>
              <w:right w:w="0" w:type="dxa"/>
            </w:tcMar>
            <w:vAlign w:val="center"/>
          </w:tcPr>
          <w:p w14:paraId="3ECF0CD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须具备售电公司资质，资产总额≥2千万元</w:t>
            </w:r>
          </w:p>
        </w:tc>
      </w:tr>
      <w:tr w14:paraId="73D61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987BED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交易单元调节能力</w:t>
            </w:r>
          </w:p>
        </w:tc>
        <w:tc>
          <w:tcPr>
            <w:tcW w:w="0" w:type="auto"/>
            <w:shd w:val="clear"/>
            <w:tcMar>
              <w:top w:w="100" w:type="dxa"/>
              <w:left w:w="160" w:type="dxa"/>
              <w:bottom w:w="100" w:type="dxa"/>
              <w:right w:w="0" w:type="dxa"/>
            </w:tcMar>
            <w:vAlign w:val="center"/>
          </w:tcPr>
          <w:p w14:paraId="77D74C8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单个交易单元≥1MW，响应≥1h，直控型≤300秒</w:t>
            </w:r>
          </w:p>
        </w:tc>
      </w:tr>
      <w:tr w14:paraId="3937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859C38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聚合关系</w:t>
            </w:r>
          </w:p>
        </w:tc>
        <w:tc>
          <w:tcPr>
            <w:tcW w:w="0" w:type="auto"/>
            <w:shd w:val="clear"/>
            <w:tcMar>
              <w:top w:w="100" w:type="dxa"/>
              <w:left w:w="160" w:type="dxa"/>
              <w:bottom w:w="100" w:type="dxa"/>
              <w:right w:w="0" w:type="dxa"/>
            </w:tcMar>
            <w:vAlign w:val="center"/>
          </w:tcPr>
          <w:p w14:paraId="7CD2E84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同一资源同期只能与一家运营商确立聚合关系</w:t>
            </w:r>
          </w:p>
        </w:tc>
      </w:tr>
    </w:tbl>
    <w:p w14:paraId="736BF61F">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3.3 独立储能准入要求</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9"/>
        <w:gridCol w:w="2559"/>
        <w:gridCol w:w="4132"/>
      </w:tblGrid>
      <w:tr w14:paraId="74E88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17B12D8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序号</w:t>
            </w:r>
          </w:p>
        </w:tc>
        <w:tc>
          <w:tcPr>
            <w:tcW w:w="0" w:type="auto"/>
            <w:tcBorders>
              <w:top w:val="nil"/>
            </w:tcBorders>
            <w:shd w:val="clear"/>
            <w:tcMar>
              <w:top w:w="100" w:type="dxa"/>
              <w:left w:w="160" w:type="dxa"/>
              <w:bottom w:w="100" w:type="dxa"/>
              <w:right w:w="160" w:type="dxa"/>
            </w:tcMar>
            <w:vAlign w:val="center"/>
          </w:tcPr>
          <w:p w14:paraId="3F91DCD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准入条件</w:t>
            </w:r>
          </w:p>
        </w:tc>
        <w:tc>
          <w:tcPr>
            <w:tcW w:w="0" w:type="auto"/>
            <w:tcBorders>
              <w:top w:val="nil"/>
            </w:tcBorders>
            <w:shd w:val="clear"/>
            <w:tcMar>
              <w:top w:w="100" w:type="dxa"/>
              <w:left w:w="160" w:type="dxa"/>
              <w:bottom w:w="100" w:type="dxa"/>
              <w:right w:w="160" w:type="dxa"/>
            </w:tcMar>
            <w:vAlign w:val="center"/>
          </w:tcPr>
          <w:p w14:paraId="67CC850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具体要求</w:t>
            </w:r>
          </w:p>
        </w:tc>
      </w:tr>
      <w:tr w14:paraId="43BEB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C5759B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①</w:t>
            </w:r>
          </w:p>
        </w:tc>
        <w:tc>
          <w:tcPr>
            <w:tcW w:w="0" w:type="auto"/>
            <w:shd w:val="clear"/>
            <w:tcMar>
              <w:top w:w="100" w:type="dxa"/>
              <w:left w:w="160" w:type="dxa"/>
              <w:bottom w:w="100" w:type="dxa"/>
              <w:right w:w="160" w:type="dxa"/>
            </w:tcMar>
            <w:vAlign w:val="center"/>
          </w:tcPr>
          <w:p w14:paraId="7515C06D">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额定功率</w:t>
            </w:r>
          </w:p>
        </w:tc>
        <w:tc>
          <w:tcPr>
            <w:tcW w:w="0" w:type="auto"/>
            <w:shd w:val="clear"/>
            <w:tcMar>
              <w:top w:w="100" w:type="dxa"/>
              <w:left w:w="160" w:type="dxa"/>
              <w:bottom w:w="100" w:type="dxa"/>
              <w:right w:w="0" w:type="dxa"/>
            </w:tcMar>
            <w:vAlign w:val="center"/>
          </w:tcPr>
          <w:p w14:paraId="2255E75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≥5MW</w:t>
            </w:r>
          </w:p>
        </w:tc>
      </w:tr>
      <w:tr w14:paraId="369C43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6762B95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②</w:t>
            </w:r>
          </w:p>
        </w:tc>
        <w:tc>
          <w:tcPr>
            <w:tcW w:w="0" w:type="auto"/>
            <w:shd w:val="clear"/>
            <w:tcMar>
              <w:top w:w="100" w:type="dxa"/>
              <w:left w:w="160" w:type="dxa"/>
              <w:bottom w:w="100" w:type="dxa"/>
              <w:right w:w="160" w:type="dxa"/>
            </w:tcMar>
            <w:vAlign w:val="center"/>
          </w:tcPr>
          <w:p w14:paraId="37B79BC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持续充放电时间</w:t>
            </w:r>
          </w:p>
        </w:tc>
        <w:tc>
          <w:tcPr>
            <w:tcW w:w="0" w:type="auto"/>
            <w:shd w:val="clear"/>
            <w:tcMar>
              <w:top w:w="100" w:type="dxa"/>
              <w:left w:w="160" w:type="dxa"/>
              <w:bottom w:w="100" w:type="dxa"/>
              <w:right w:w="0" w:type="dxa"/>
            </w:tcMar>
            <w:vAlign w:val="center"/>
          </w:tcPr>
          <w:p w14:paraId="4995BD7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额定功率下≥1小时</w:t>
            </w:r>
          </w:p>
        </w:tc>
      </w:tr>
      <w:tr w14:paraId="78FE3F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0A9C0E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③</w:t>
            </w:r>
          </w:p>
        </w:tc>
        <w:tc>
          <w:tcPr>
            <w:tcW w:w="0" w:type="auto"/>
            <w:shd w:val="clear"/>
            <w:tcMar>
              <w:top w:w="100" w:type="dxa"/>
              <w:left w:w="160" w:type="dxa"/>
              <w:bottom w:w="100" w:type="dxa"/>
              <w:right w:w="160" w:type="dxa"/>
            </w:tcMar>
            <w:vAlign w:val="center"/>
          </w:tcPr>
          <w:p w14:paraId="2405116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计量条件</w:t>
            </w:r>
          </w:p>
        </w:tc>
        <w:tc>
          <w:tcPr>
            <w:tcW w:w="0" w:type="auto"/>
            <w:shd w:val="clear"/>
            <w:tcMar>
              <w:top w:w="100" w:type="dxa"/>
              <w:left w:w="160" w:type="dxa"/>
              <w:bottom w:w="100" w:type="dxa"/>
              <w:right w:w="0" w:type="dxa"/>
            </w:tcMar>
            <w:vAlign w:val="center"/>
          </w:tcPr>
          <w:p w14:paraId="6826331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具备独立分时正反向计量条件</w:t>
            </w:r>
          </w:p>
        </w:tc>
      </w:tr>
      <w:tr w14:paraId="7672C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8DD31E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④</w:t>
            </w:r>
          </w:p>
        </w:tc>
        <w:tc>
          <w:tcPr>
            <w:tcW w:w="0" w:type="auto"/>
            <w:shd w:val="clear"/>
            <w:tcMar>
              <w:top w:w="100" w:type="dxa"/>
              <w:left w:w="160" w:type="dxa"/>
              <w:bottom w:w="100" w:type="dxa"/>
              <w:right w:w="160" w:type="dxa"/>
            </w:tcMar>
            <w:vAlign w:val="center"/>
          </w:tcPr>
          <w:p w14:paraId="58A66C1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调度直控</w:t>
            </w:r>
          </w:p>
        </w:tc>
        <w:tc>
          <w:tcPr>
            <w:tcW w:w="0" w:type="auto"/>
            <w:shd w:val="clear"/>
            <w:tcMar>
              <w:top w:w="100" w:type="dxa"/>
              <w:left w:w="160" w:type="dxa"/>
              <w:bottom w:w="100" w:type="dxa"/>
              <w:right w:w="0" w:type="dxa"/>
            </w:tcMar>
            <w:vAlign w:val="center"/>
          </w:tcPr>
          <w:p w14:paraId="6EFC1BC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能接收并执行实时充放电指令</w:t>
            </w:r>
          </w:p>
        </w:tc>
      </w:tr>
      <w:tr w14:paraId="0F5C4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7FA0771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⑤</w:t>
            </w:r>
          </w:p>
        </w:tc>
        <w:tc>
          <w:tcPr>
            <w:tcW w:w="0" w:type="auto"/>
            <w:shd w:val="clear"/>
            <w:tcMar>
              <w:top w:w="100" w:type="dxa"/>
              <w:left w:w="160" w:type="dxa"/>
              <w:bottom w:w="100" w:type="dxa"/>
              <w:right w:w="160" w:type="dxa"/>
            </w:tcMar>
            <w:vAlign w:val="center"/>
          </w:tcPr>
          <w:p w14:paraId="7EBE50A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法人资格</w:t>
            </w:r>
          </w:p>
        </w:tc>
        <w:tc>
          <w:tcPr>
            <w:tcW w:w="0" w:type="auto"/>
            <w:shd w:val="clear"/>
            <w:tcMar>
              <w:top w:w="100" w:type="dxa"/>
              <w:left w:w="160" w:type="dxa"/>
              <w:bottom w:w="100" w:type="dxa"/>
              <w:right w:w="0" w:type="dxa"/>
            </w:tcMar>
            <w:vAlign w:val="center"/>
          </w:tcPr>
          <w:p w14:paraId="1221A87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具备独立法人资格或授权</w:t>
            </w:r>
          </w:p>
        </w:tc>
      </w:tr>
    </w:tbl>
    <w:p w14:paraId="71E64528">
      <w:pPr>
        <w:pStyle w:val="3"/>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四、技术方案回顾（前期确认成果，本次不修改）</w:t>
      </w:r>
    </w:p>
    <w:p w14:paraId="1C7A73E9">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4.1 方案核心架构</w:t>
      </w:r>
    </w:p>
    <w:p w14:paraId="4CDB4042">
      <w:pPr>
        <w:pStyle w:val="7"/>
        <w:keepNext w:val="0"/>
        <w:keepLines w:val="0"/>
        <w:pageBreakBefore w:val="0"/>
        <w:widowControl/>
        <w:suppressLineNumbers w:val="0"/>
        <w:shd w:val="clear" w:fill="FFFFFF"/>
        <w:kinsoku/>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b/>
          <w:bCs/>
          <w:i w:val="0"/>
          <w:iCs w:val="0"/>
          <w:caps w:val="0"/>
          <w:color w:val="0F1115"/>
          <w:spacing w:val="0"/>
          <w:sz w:val="21"/>
          <w:szCs w:val="21"/>
          <w:shd w:val="clear" w:fill="FFFFFF"/>
        </w:rPr>
        <w:t>方案名称</w:t>
      </w:r>
      <w:r>
        <w:rPr>
          <w:rFonts w:hint="eastAsia" w:ascii="宋体" w:hAnsi="宋体" w:eastAsia="宋体" w:cs="宋体"/>
          <w:i w:val="0"/>
          <w:iCs w:val="0"/>
          <w:caps w:val="0"/>
          <w:color w:val="0F1115"/>
          <w:spacing w:val="0"/>
          <w:sz w:val="21"/>
          <w:szCs w:val="21"/>
          <w:shd w:val="clear" w:fill="FFFFFF"/>
        </w:rPr>
        <w:t>：“行为感知+不确定性量化+滚动优化闭环决策”</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231"/>
        <w:gridCol w:w="3188"/>
        <w:gridCol w:w="3101"/>
      </w:tblGrid>
      <w:tr w14:paraId="1E6A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231" w:type="dxa"/>
            <w:tcBorders>
              <w:top w:val="nil"/>
            </w:tcBorders>
            <w:shd w:val="clear"/>
            <w:tcMar>
              <w:top w:w="100" w:type="dxa"/>
              <w:left w:w="0" w:type="dxa"/>
              <w:bottom w:w="100" w:type="dxa"/>
              <w:right w:w="160" w:type="dxa"/>
            </w:tcMar>
            <w:vAlign w:val="center"/>
          </w:tcPr>
          <w:p w14:paraId="20DEAD5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模块</w:t>
            </w:r>
          </w:p>
        </w:tc>
        <w:tc>
          <w:tcPr>
            <w:tcW w:w="3188" w:type="dxa"/>
            <w:tcBorders>
              <w:top w:val="nil"/>
            </w:tcBorders>
            <w:shd w:val="clear"/>
            <w:tcMar>
              <w:top w:w="100" w:type="dxa"/>
              <w:left w:w="160" w:type="dxa"/>
              <w:bottom w:w="100" w:type="dxa"/>
              <w:right w:w="160" w:type="dxa"/>
            </w:tcMar>
            <w:vAlign w:val="center"/>
          </w:tcPr>
          <w:p w14:paraId="611778B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核心技术</w:t>
            </w:r>
          </w:p>
        </w:tc>
        <w:tc>
          <w:tcPr>
            <w:tcW w:w="0" w:type="auto"/>
            <w:tcBorders>
              <w:top w:val="nil"/>
            </w:tcBorders>
            <w:shd w:val="clear"/>
            <w:tcMar>
              <w:top w:w="100" w:type="dxa"/>
              <w:left w:w="160" w:type="dxa"/>
              <w:bottom w:w="100" w:type="dxa"/>
              <w:right w:w="160" w:type="dxa"/>
            </w:tcMar>
            <w:vAlign w:val="center"/>
          </w:tcPr>
          <w:p w14:paraId="0BC423C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功能</w:t>
            </w:r>
          </w:p>
        </w:tc>
      </w:tr>
      <w:tr w14:paraId="040C54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31" w:type="dxa"/>
            <w:shd w:val="clear"/>
            <w:tcMar>
              <w:top w:w="100" w:type="dxa"/>
              <w:left w:w="0" w:type="dxa"/>
              <w:bottom w:w="100" w:type="dxa"/>
              <w:right w:w="160" w:type="dxa"/>
            </w:tcMar>
            <w:vAlign w:val="center"/>
          </w:tcPr>
          <w:p w14:paraId="6B32F13D">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行为感知层</w:t>
            </w:r>
          </w:p>
        </w:tc>
        <w:tc>
          <w:tcPr>
            <w:tcW w:w="3188" w:type="dxa"/>
            <w:shd w:val="clear"/>
            <w:tcMar>
              <w:top w:w="100" w:type="dxa"/>
              <w:left w:w="160" w:type="dxa"/>
              <w:bottom w:w="100" w:type="dxa"/>
              <w:right w:w="160" w:type="dxa"/>
            </w:tcMar>
            <w:vAlign w:val="center"/>
          </w:tcPr>
          <w:p w14:paraId="087A8D4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前景理论（Prospect Theory）</w:t>
            </w:r>
          </w:p>
        </w:tc>
        <w:tc>
          <w:tcPr>
            <w:tcW w:w="0" w:type="auto"/>
            <w:shd w:val="clear"/>
            <w:tcMar>
              <w:top w:w="100" w:type="dxa"/>
              <w:left w:w="160" w:type="dxa"/>
              <w:bottom w:w="100" w:type="dxa"/>
              <w:right w:w="0" w:type="dxa"/>
            </w:tcMar>
            <w:vAlign w:val="center"/>
          </w:tcPr>
          <w:p w14:paraId="417B027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建模用户“有限理性”响应行为，量化损失厌恶系数λ等</w:t>
            </w:r>
          </w:p>
        </w:tc>
      </w:tr>
      <w:tr w14:paraId="61A31D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31" w:type="dxa"/>
            <w:shd w:val="clear"/>
            <w:tcMar>
              <w:top w:w="100" w:type="dxa"/>
              <w:left w:w="0" w:type="dxa"/>
              <w:bottom w:w="100" w:type="dxa"/>
              <w:right w:w="160" w:type="dxa"/>
            </w:tcMar>
            <w:vAlign w:val="center"/>
          </w:tcPr>
          <w:p w14:paraId="58B3A39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不确定性量化层</w:t>
            </w:r>
          </w:p>
        </w:tc>
        <w:tc>
          <w:tcPr>
            <w:tcW w:w="3188" w:type="dxa"/>
            <w:shd w:val="clear"/>
            <w:tcMar>
              <w:top w:w="100" w:type="dxa"/>
              <w:left w:w="160" w:type="dxa"/>
              <w:bottom w:w="100" w:type="dxa"/>
              <w:right w:w="160" w:type="dxa"/>
            </w:tcMar>
            <w:vAlign w:val="center"/>
          </w:tcPr>
          <w:p w14:paraId="03C0D68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共形预测（Conformal Prediction）</w:t>
            </w:r>
          </w:p>
        </w:tc>
        <w:tc>
          <w:tcPr>
            <w:tcW w:w="0" w:type="auto"/>
            <w:shd w:val="clear"/>
            <w:tcMar>
              <w:top w:w="100" w:type="dxa"/>
              <w:left w:w="160" w:type="dxa"/>
              <w:bottom w:w="100" w:type="dxa"/>
              <w:right w:w="0" w:type="dxa"/>
            </w:tcMar>
            <w:vAlign w:val="center"/>
          </w:tcPr>
          <w:p w14:paraId="234BFFA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提供聚合出力概率预测区间，免分布假设，有限样本覆盖</w:t>
            </w:r>
          </w:p>
        </w:tc>
      </w:tr>
      <w:tr w14:paraId="01967E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231" w:type="dxa"/>
            <w:shd w:val="clear"/>
            <w:tcMar>
              <w:top w:w="100" w:type="dxa"/>
              <w:left w:w="0" w:type="dxa"/>
              <w:bottom w:w="100" w:type="dxa"/>
              <w:right w:w="160" w:type="dxa"/>
            </w:tcMar>
            <w:vAlign w:val="center"/>
          </w:tcPr>
          <w:p w14:paraId="049461E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滚动优化层</w:t>
            </w:r>
          </w:p>
        </w:tc>
        <w:tc>
          <w:tcPr>
            <w:tcW w:w="3188" w:type="dxa"/>
            <w:shd w:val="clear"/>
            <w:tcMar>
              <w:top w:w="100" w:type="dxa"/>
              <w:left w:w="160" w:type="dxa"/>
              <w:bottom w:w="100" w:type="dxa"/>
              <w:right w:w="160" w:type="dxa"/>
            </w:tcMar>
            <w:vAlign w:val="center"/>
          </w:tcPr>
          <w:p w14:paraId="1F7FBBDD">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模型预测控制（MPC）+ 混合整数线性规划（MILP）</w:t>
            </w:r>
          </w:p>
        </w:tc>
        <w:tc>
          <w:tcPr>
            <w:tcW w:w="0" w:type="auto"/>
            <w:shd w:val="clear"/>
            <w:tcMar>
              <w:top w:w="100" w:type="dxa"/>
              <w:left w:w="160" w:type="dxa"/>
              <w:bottom w:w="100" w:type="dxa"/>
              <w:right w:w="0" w:type="dxa"/>
            </w:tcMar>
            <w:vAlign w:val="center"/>
          </w:tcPr>
          <w:p w14:paraId="309A27E0">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15分钟级闭环决策，动态求解多市场最优策略</w:t>
            </w:r>
          </w:p>
        </w:tc>
      </w:tr>
    </w:tbl>
    <w:p w14:paraId="66F05F93">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4.2 技术方案与政策场景的匹配</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60"/>
        <w:gridCol w:w="2756"/>
        <w:gridCol w:w="2604"/>
      </w:tblGrid>
      <w:tr w14:paraId="505467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160" w:type="dxa"/>
            <w:tcBorders>
              <w:top w:val="nil"/>
            </w:tcBorders>
            <w:shd w:val="clear"/>
            <w:tcMar>
              <w:top w:w="100" w:type="dxa"/>
              <w:left w:w="0" w:type="dxa"/>
              <w:bottom w:w="100" w:type="dxa"/>
              <w:right w:w="160" w:type="dxa"/>
            </w:tcMar>
            <w:vAlign w:val="center"/>
          </w:tcPr>
          <w:p w14:paraId="65B951C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政策环境</w:t>
            </w:r>
          </w:p>
        </w:tc>
        <w:tc>
          <w:tcPr>
            <w:tcW w:w="2756" w:type="dxa"/>
            <w:tcBorders>
              <w:top w:val="nil"/>
            </w:tcBorders>
            <w:shd w:val="clear"/>
            <w:tcMar>
              <w:top w:w="100" w:type="dxa"/>
              <w:left w:w="160" w:type="dxa"/>
              <w:bottom w:w="100" w:type="dxa"/>
              <w:right w:w="160" w:type="dxa"/>
            </w:tcMar>
            <w:vAlign w:val="center"/>
          </w:tcPr>
          <w:p w14:paraId="714B798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业务挑战</w:t>
            </w:r>
          </w:p>
        </w:tc>
        <w:tc>
          <w:tcPr>
            <w:tcW w:w="0" w:type="auto"/>
            <w:tcBorders>
              <w:top w:val="nil"/>
            </w:tcBorders>
            <w:shd w:val="clear"/>
            <w:tcMar>
              <w:top w:w="100" w:type="dxa"/>
              <w:left w:w="160" w:type="dxa"/>
              <w:bottom w:w="100" w:type="dxa"/>
              <w:right w:w="160" w:type="dxa"/>
            </w:tcMar>
            <w:vAlign w:val="center"/>
          </w:tcPr>
          <w:p w14:paraId="0370B88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方案应对</w:t>
            </w:r>
          </w:p>
        </w:tc>
      </w:tr>
      <w:tr w14:paraId="587E09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60" w:type="dxa"/>
            <w:shd w:val="clear"/>
            <w:tcMar>
              <w:top w:w="100" w:type="dxa"/>
              <w:left w:w="0" w:type="dxa"/>
              <w:bottom w:w="100" w:type="dxa"/>
              <w:right w:w="160" w:type="dxa"/>
            </w:tcMar>
            <w:vAlign w:val="center"/>
          </w:tcPr>
          <w:p w14:paraId="0BDD1AD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电力现货市场连续结算试运行</w:t>
            </w:r>
          </w:p>
        </w:tc>
        <w:tc>
          <w:tcPr>
            <w:tcW w:w="2756" w:type="dxa"/>
            <w:shd w:val="clear"/>
            <w:tcMar>
              <w:top w:w="100" w:type="dxa"/>
              <w:left w:w="160" w:type="dxa"/>
              <w:bottom w:w="100" w:type="dxa"/>
              <w:right w:w="160" w:type="dxa"/>
            </w:tcMar>
            <w:vAlign w:val="center"/>
          </w:tcPr>
          <w:p w14:paraId="0D33C28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电价每15分钟波动</w:t>
            </w:r>
          </w:p>
        </w:tc>
        <w:tc>
          <w:tcPr>
            <w:tcW w:w="0" w:type="auto"/>
            <w:shd w:val="clear"/>
            <w:tcMar>
              <w:top w:w="100" w:type="dxa"/>
              <w:left w:w="160" w:type="dxa"/>
              <w:bottom w:w="100" w:type="dxa"/>
              <w:right w:w="0" w:type="dxa"/>
            </w:tcMar>
            <w:vAlign w:val="center"/>
          </w:tcPr>
          <w:p w14:paraId="6E95E71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MPC滚动优化动态求解最优策略</w:t>
            </w:r>
          </w:p>
        </w:tc>
      </w:tr>
      <w:tr w14:paraId="555D1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60" w:type="dxa"/>
            <w:shd w:val="clear"/>
            <w:tcMar>
              <w:top w:w="100" w:type="dxa"/>
              <w:left w:w="0" w:type="dxa"/>
              <w:bottom w:w="100" w:type="dxa"/>
              <w:right w:w="160" w:type="dxa"/>
            </w:tcMar>
            <w:vAlign w:val="center"/>
          </w:tcPr>
          <w:p w14:paraId="5929B6C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虚拟电厂聚合储能参与交易</w:t>
            </w:r>
          </w:p>
        </w:tc>
        <w:tc>
          <w:tcPr>
            <w:tcW w:w="2756" w:type="dxa"/>
            <w:shd w:val="clear"/>
            <w:tcMar>
              <w:top w:w="100" w:type="dxa"/>
              <w:left w:w="160" w:type="dxa"/>
              <w:bottom w:w="100" w:type="dxa"/>
              <w:right w:w="160" w:type="dxa"/>
            </w:tcMar>
            <w:vAlign w:val="center"/>
          </w:tcPr>
          <w:p w14:paraId="47C2BDE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聚合出力预测存在不确定性</w:t>
            </w:r>
          </w:p>
        </w:tc>
        <w:tc>
          <w:tcPr>
            <w:tcW w:w="0" w:type="auto"/>
            <w:shd w:val="clear"/>
            <w:tcMar>
              <w:top w:w="100" w:type="dxa"/>
              <w:left w:w="160" w:type="dxa"/>
              <w:bottom w:w="100" w:type="dxa"/>
              <w:right w:w="0" w:type="dxa"/>
            </w:tcMar>
            <w:vAlign w:val="center"/>
          </w:tcPr>
          <w:p w14:paraId="2B122290">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共形预测量化预测区间</w:t>
            </w:r>
          </w:p>
        </w:tc>
      </w:tr>
      <w:tr w14:paraId="661EA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60" w:type="dxa"/>
            <w:shd w:val="clear"/>
            <w:tcMar>
              <w:top w:w="100" w:type="dxa"/>
              <w:left w:w="0" w:type="dxa"/>
              <w:bottom w:w="100" w:type="dxa"/>
              <w:right w:w="160" w:type="dxa"/>
            </w:tcMar>
            <w:vAlign w:val="center"/>
          </w:tcPr>
          <w:p w14:paraId="612EC1A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工商业用户全面入市</w:t>
            </w:r>
          </w:p>
        </w:tc>
        <w:tc>
          <w:tcPr>
            <w:tcW w:w="2756" w:type="dxa"/>
            <w:shd w:val="clear"/>
            <w:tcMar>
              <w:top w:w="100" w:type="dxa"/>
              <w:left w:w="160" w:type="dxa"/>
              <w:bottom w:w="100" w:type="dxa"/>
              <w:right w:w="160" w:type="dxa"/>
            </w:tcMar>
            <w:vAlign w:val="center"/>
          </w:tcPr>
          <w:p w14:paraId="0783782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用户响应行为“有限理性”</w:t>
            </w:r>
          </w:p>
        </w:tc>
        <w:tc>
          <w:tcPr>
            <w:tcW w:w="0" w:type="auto"/>
            <w:shd w:val="clear"/>
            <w:tcMar>
              <w:top w:w="100" w:type="dxa"/>
              <w:left w:w="160" w:type="dxa"/>
              <w:bottom w:w="100" w:type="dxa"/>
              <w:right w:w="0" w:type="dxa"/>
            </w:tcMar>
            <w:vAlign w:val="center"/>
          </w:tcPr>
          <w:p w14:paraId="49E5812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前景理论建模心理偏差</w:t>
            </w:r>
          </w:p>
        </w:tc>
      </w:tr>
    </w:tbl>
    <w:p w14:paraId="00F1C4D5">
      <w:pPr>
        <w:pStyle w:val="3"/>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五、数据资产清单（所有来源均附直接网址）</w:t>
      </w:r>
    </w:p>
    <w:p w14:paraId="1572B5F1">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5.1 光伏数据</w:t>
      </w:r>
    </w:p>
    <w:tbl>
      <w:tblPr>
        <w:tblW w:w="876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22"/>
        <w:gridCol w:w="1822"/>
        <w:gridCol w:w="2059"/>
        <w:gridCol w:w="2400"/>
        <w:gridCol w:w="2163"/>
      </w:tblGrid>
      <w:tr w14:paraId="0D7E3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22" w:type="dxa"/>
            <w:tcBorders>
              <w:top w:val="nil"/>
            </w:tcBorders>
            <w:shd w:val="clear"/>
            <w:tcMar>
              <w:top w:w="100" w:type="dxa"/>
              <w:left w:w="0" w:type="dxa"/>
              <w:bottom w:w="100" w:type="dxa"/>
              <w:right w:w="160" w:type="dxa"/>
            </w:tcMar>
            <w:vAlign w:val="center"/>
          </w:tcPr>
          <w:p w14:paraId="44BBAA0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序号</w:t>
            </w:r>
          </w:p>
        </w:tc>
        <w:tc>
          <w:tcPr>
            <w:tcW w:w="1822" w:type="dxa"/>
            <w:tcBorders>
              <w:top w:val="nil"/>
            </w:tcBorders>
            <w:shd w:val="clear"/>
            <w:tcMar>
              <w:top w:w="100" w:type="dxa"/>
              <w:left w:w="160" w:type="dxa"/>
              <w:bottom w:w="100" w:type="dxa"/>
              <w:right w:w="160" w:type="dxa"/>
            </w:tcMar>
            <w:vAlign w:val="center"/>
          </w:tcPr>
          <w:p w14:paraId="7A85A07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数据集名称</w:t>
            </w:r>
          </w:p>
        </w:tc>
        <w:tc>
          <w:tcPr>
            <w:tcW w:w="2059" w:type="dxa"/>
            <w:tcBorders>
              <w:top w:val="nil"/>
            </w:tcBorders>
            <w:shd w:val="clear"/>
            <w:tcMar>
              <w:top w:w="100" w:type="dxa"/>
              <w:left w:w="160" w:type="dxa"/>
              <w:bottom w:w="100" w:type="dxa"/>
              <w:right w:w="160" w:type="dxa"/>
            </w:tcMar>
            <w:vAlign w:val="center"/>
          </w:tcPr>
          <w:p w14:paraId="3AC6237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核心内容</w:t>
            </w:r>
          </w:p>
        </w:tc>
        <w:tc>
          <w:tcPr>
            <w:tcW w:w="2400" w:type="dxa"/>
            <w:tcBorders>
              <w:top w:val="nil"/>
            </w:tcBorders>
            <w:shd w:val="clear"/>
            <w:tcMar>
              <w:top w:w="100" w:type="dxa"/>
              <w:left w:w="160" w:type="dxa"/>
              <w:bottom w:w="100" w:type="dxa"/>
              <w:right w:w="160" w:type="dxa"/>
            </w:tcMar>
            <w:vAlign w:val="center"/>
          </w:tcPr>
          <w:p w14:paraId="4114FC3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直接网址</w:t>
            </w:r>
          </w:p>
        </w:tc>
        <w:tc>
          <w:tcPr>
            <w:tcW w:w="2163" w:type="dxa"/>
            <w:tcBorders>
              <w:top w:val="nil"/>
            </w:tcBorders>
            <w:shd w:val="clear"/>
            <w:tcMar>
              <w:top w:w="100" w:type="dxa"/>
              <w:left w:w="160" w:type="dxa"/>
              <w:bottom w:w="100" w:type="dxa"/>
              <w:right w:w="160" w:type="dxa"/>
            </w:tcMar>
            <w:vAlign w:val="center"/>
          </w:tcPr>
          <w:p w14:paraId="14E2F2C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用途</w:t>
            </w:r>
          </w:p>
        </w:tc>
      </w:tr>
      <w:tr w14:paraId="46D91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2" w:type="dxa"/>
            <w:shd w:val="clear"/>
            <w:tcMar>
              <w:top w:w="100" w:type="dxa"/>
              <w:left w:w="0" w:type="dxa"/>
              <w:bottom w:w="100" w:type="dxa"/>
              <w:right w:w="160" w:type="dxa"/>
            </w:tcMar>
            <w:vAlign w:val="center"/>
          </w:tcPr>
          <w:p w14:paraId="6D1A08E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w:t>
            </w:r>
          </w:p>
        </w:tc>
        <w:tc>
          <w:tcPr>
            <w:tcW w:w="1822" w:type="dxa"/>
            <w:shd w:val="clear"/>
            <w:tcMar>
              <w:top w:w="100" w:type="dxa"/>
              <w:left w:w="160" w:type="dxa"/>
              <w:bottom w:w="100" w:type="dxa"/>
              <w:right w:w="160" w:type="dxa"/>
            </w:tcMar>
            <w:vAlign w:val="center"/>
          </w:tcPr>
          <w:p w14:paraId="1D1CBCF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广东智能电网AI数据集</w:t>
            </w:r>
            <w:r>
              <w:rPr>
                <w:rFonts w:hint="eastAsia" w:ascii="宋体" w:hAnsi="宋体" w:eastAsia="宋体" w:cs="宋体"/>
                <w:kern w:val="0"/>
                <w:sz w:val="21"/>
                <w:szCs w:val="21"/>
                <w:bdr w:val="none" w:color="auto" w:sz="0" w:space="0"/>
                <w:lang w:val="en-US" w:eastAsia="zh-CN" w:bidi="ar"/>
              </w:rPr>
              <w:t>（优先）</w:t>
            </w:r>
          </w:p>
        </w:tc>
        <w:tc>
          <w:tcPr>
            <w:tcW w:w="2059" w:type="dxa"/>
            <w:shd w:val="clear"/>
            <w:tcMar>
              <w:top w:w="100" w:type="dxa"/>
              <w:left w:w="160" w:type="dxa"/>
              <w:bottom w:w="100" w:type="dxa"/>
              <w:right w:w="160" w:type="dxa"/>
            </w:tcMar>
            <w:vAlign w:val="center"/>
          </w:tcPr>
          <w:p w14:paraId="4969AB9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2024-2025年现货电价+工商业负荷</w:t>
            </w:r>
          </w:p>
        </w:tc>
        <w:tc>
          <w:tcPr>
            <w:tcW w:w="2400" w:type="dxa"/>
            <w:shd w:val="clear"/>
            <w:tcMar>
              <w:top w:w="100" w:type="dxa"/>
              <w:left w:w="160" w:type="dxa"/>
              <w:bottom w:w="100" w:type="dxa"/>
              <w:right w:w="160" w:type="dxa"/>
            </w:tcMar>
            <w:vAlign w:val="center"/>
          </w:tcPr>
          <w:p w14:paraId="0442057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default" w:ascii="宋体" w:hAnsi="宋体" w:eastAsia="宋体" w:cs="宋体"/>
                <w:sz w:val="21"/>
                <w:szCs w:val="21"/>
                <w:lang w:val="en-US"/>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"https://ieee-dataport.org/documents/guangdong-smart-grid-ai-dataset"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https://ieee-dataport.org/documents/guangdong-smart-grid-ai-dataset</w:t>
            </w:r>
            <w:r>
              <w:rPr>
                <w:rFonts w:hint="eastAsia" w:ascii="宋体" w:hAnsi="宋体" w:eastAsia="宋体" w:cs="宋体"/>
                <w:color w:val="3964FE"/>
                <w:kern w:val="0"/>
                <w:sz w:val="21"/>
                <w:szCs w:val="21"/>
                <w:u w:val="none"/>
                <w:bdr w:val="single" w:color="auto" w:sz="12" w:space="0"/>
                <w:lang w:val="en-US" w:eastAsia="zh-CN" w:bidi="ar"/>
              </w:rPr>
              <w:fldChar w:fldCharType="end"/>
            </w:r>
            <w:r>
              <w:rPr>
                <w:rFonts w:hint="eastAsia"/>
                <w:lang w:val="en-US" w:eastAsia="zh-CN"/>
              </w:rPr>
              <w:t>目前矫正网址</w:t>
            </w:r>
          </w:p>
        </w:tc>
        <w:tc>
          <w:tcPr>
            <w:tcW w:w="2163" w:type="dxa"/>
            <w:shd w:val="clear"/>
            <w:tcMar>
              <w:top w:w="100" w:type="dxa"/>
              <w:left w:w="160" w:type="dxa"/>
              <w:bottom w:w="100" w:type="dxa"/>
              <w:right w:w="0" w:type="dxa"/>
            </w:tcMar>
            <w:vAlign w:val="center"/>
          </w:tcPr>
          <w:p w14:paraId="507E6F9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共形预测校准、电价预测</w:t>
            </w:r>
          </w:p>
        </w:tc>
      </w:tr>
      <w:tr w14:paraId="68A53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2" w:type="dxa"/>
            <w:shd w:val="clear"/>
            <w:tcMar>
              <w:top w:w="100" w:type="dxa"/>
              <w:left w:w="0" w:type="dxa"/>
              <w:bottom w:w="100" w:type="dxa"/>
              <w:right w:w="160" w:type="dxa"/>
            </w:tcMar>
            <w:vAlign w:val="center"/>
          </w:tcPr>
          <w:p w14:paraId="093BDC7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w:t>
            </w:r>
          </w:p>
        </w:tc>
        <w:tc>
          <w:tcPr>
            <w:tcW w:w="1822" w:type="dxa"/>
            <w:shd w:val="clear"/>
            <w:tcMar>
              <w:top w:w="100" w:type="dxa"/>
              <w:left w:w="160" w:type="dxa"/>
              <w:bottom w:w="100" w:type="dxa"/>
              <w:right w:w="160" w:type="dxa"/>
            </w:tcMar>
            <w:vAlign w:val="center"/>
          </w:tcPr>
          <w:p w14:paraId="7BB9BB6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国家基础学科数据中心—分布式光伏出力估算数据集</w:t>
            </w:r>
          </w:p>
        </w:tc>
        <w:tc>
          <w:tcPr>
            <w:tcW w:w="2059" w:type="dxa"/>
            <w:shd w:val="clear"/>
            <w:tcMar>
              <w:top w:w="100" w:type="dxa"/>
              <w:left w:w="160" w:type="dxa"/>
              <w:bottom w:w="100" w:type="dxa"/>
              <w:right w:w="160" w:type="dxa"/>
            </w:tcMar>
            <w:vAlign w:val="center"/>
          </w:tcPr>
          <w:p w14:paraId="1F6AF7F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93.93MB，含特性分类与出力量化</w:t>
            </w:r>
          </w:p>
        </w:tc>
        <w:tc>
          <w:tcPr>
            <w:tcW w:w="2400" w:type="dxa"/>
            <w:shd w:val="clear"/>
            <w:tcMar>
              <w:top w:w="100" w:type="dxa"/>
              <w:left w:w="160" w:type="dxa"/>
              <w:bottom w:w="100" w:type="dxa"/>
              <w:right w:w="160" w:type="dxa"/>
            </w:tcMar>
            <w:vAlign w:val="center"/>
          </w:tcPr>
          <w:p w14:paraId="36AAC9F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"https://www.nbsdc.cn/"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https://www.nbsdc.cn</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2163" w:type="dxa"/>
            <w:shd w:val="clear"/>
            <w:tcMar>
              <w:top w:w="100" w:type="dxa"/>
              <w:left w:w="160" w:type="dxa"/>
              <w:bottom w:w="100" w:type="dxa"/>
              <w:right w:w="0" w:type="dxa"/>
            </w:tcMar>
            <w:vAlign w:val="center"/>
          </w:tcPr>
          <w:p w14:paraId="605B923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光伏出力预测训练</w:t>
            </w:r>
          </w:p>
        </w:tc>
      </w:tr>
      <w:tr w14:paraId="1C5ED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2" w:type="dxa"/>
            <w:shd w:val="clear"/>
            <w:tcMar>
              <w:top w:w="100" w:type="dxa"/>
              <w:left w:w="0" w:type="dxa"/>
              <w:bottom w:w="100" w:type="dxa"/>
              <w:right w:w="160" w:type="dxa"/>
            </w:tcMar>
            <w:vAlign w:val="center"/>
          </w:tcPr>
          <w:p w14:paraId="51A82E8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3</w:t>
            </w:r>
          </w:p>
        </w:tc>
        <w:tc>
          <w:tcPr>
            <w:tcW w:w="1822" w:type="dxa"/>
            <w:shd w:val="clear"/>
            <w:tcMar>
              <w:top w:w="100" w:type="dxa"/>
              <w:left w:w="160" w:type="dxa"/>
              <w:bottom w:w="100" w:type="dxa"/>
              <w:right w:w="160" w:type="dxa"/>
            </w:tcMar>
            <w:vAlign w:val="center"/>
          </w:tcPr>
          <w:p w14:paraId="29A9073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HEEW分层数据集</w:t>
            </w:r>
          </w:p>
        </w:tc>
        <w:tc>
          <w:tcPr>
            <w:tcW w:w="2059" w:type="dxa"/>
            <w:shd w:val="clear"/>
            <w:tcMar>
              <w:top w:w="100" w:type="dxa"/>
              <w:left w:w="160" w:type="dxa"/>
              <w:bottom w:w="100" w:type="dxa"/>
              <w:right w:w="160" w:type="dxa"/>
            </w:tcMar>
            <w:vAlign w:val="center"/>
          </w:tcPr>
          <w:p w14:paraId="756D0D8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147栋建筑2014-2022年逐时变量</w:t>
            </w:r>
          </w:p>
        </w:tc>
        <w:tc>
          <w:tcPr>
            <w:tcW w:w="2400" w:type="dxa"/>
            <w:shd w:val="clear"/>
            <w:tcMar>
              <w:top w:w="100" w:type="dxa"/>
              <w:left w:w="160" w:type="dxa"/>
              <w:bottom w:w="100" w:type="dxa"/>
              <w:right w:w="160" w:type="dxa"/>
            </w:tcMar>
            <w:vAlign w:val="center"/>
          </w:tcPr>
          <w:p w14:paraId="31C94C4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"https://figshare.com/"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https://figshare.com</w:t>
            </w:r>
            <w:r>
              <w:rPr>
                <w:rFonts w:hint="eastAsia" w:ascii="宋体" w:hAnsi="宋体" w:eastAsia="宋体" w:cs="宋体"/>
                <w:color w:val="3964FE"/>
                <w:kern w:val="0"/>
                <w:sz w:val="21"/>
                <w:szCs w:val="21"/>
                <w:u w:val="none"/>
                <w:bdr w:val="single" w:color="auto" w:sz="12" w:space="0"/>
                <w:lang w:val="en-US" w:eastAsia="zh-CN" w:bidi="ar"/>
              </w:rPr>
              <w:fldChar w:fldCharType="end"/>
            </w:r>
            <w:r>
              <w:rPr>
                <w:rFonts w:hint="eastAsia" w:ascii="宋体" w:hAnsi="宋体" w:eastAsia="宋体" w:cs="宋体"/>
                <w:kern w:val="0"/>
                <w:sz w:val="21"/>
                <w:szCs w:val="21"/>
                <w:bdr w:val="none" w:color="auto" w:sz="0" w:space="0"/>
                <w:lang w:val="en-US" w:eastAsia="zh-CN" w:bidi="ar"/>
              </w:rPr>
              <w:t>（搜索“HEEW”）</w:t>
            </w:r>
          </w:p>
        </w:tc>
        <w:tc>
          <w:tcPr>
            <w:tcW w:w="2163" w:type="dxa"/>
            <w:shd w:val="clear"/>
            <w:tcMar>
              <w:top w:w="100" w:type="dxa"/>
              <w:left w:w="160" w:type="dxa"/>
              <w:bottom w:w="100" w:type="dxa"/>
              <w:right w:w="0" w:type="dxa"/>
            </w:tcMar>
            <w:vAlign w:val="center"/>
          </w:tcPr>
          <w:p w14:paraId="190EF82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多类型负荷建模</w:t>
            </w:r>
          </w:p>
        </w:tc>
      </w:tr>
      <w:tr w14:paraId="2C83F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2" w:type="dxa"/>
            <w:shd w:val="clear"/>
            <w:tcMar>
              <w:top w:w="100" w:type="dxa"/>
              <w:left w:w="0" w:type="dxa"/>
              <w:bottom w:w="100" w:type="dxa"/>
              <w:right w:w="160" w:type="dxa"/>
            </w:tcMar>
            <w:vAlign w:val="center"/>
          </w:tcPr>
          <w:p w14:paraId="614B01F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4</w:t>
            </w:r>
          </w:p>
        </w:tc>
        <w:tc>
          <w:tcPr>
            <w:tcW w:w="1822" w:type="dxa"/>
            <w:shd w:val="clear"/>
            <w:tcMar>
              <w:top w:w="100" w:type="dxa"/>
              <w:left w:w="160" w:type="dxa"/>
              <w:bottom w:w="100" w:type="dxa"/>
              <w:right w:w="160" w:type="dxa"/>
            </w:tcMar>
            <w:vAlign w:val="center"/>
          </w:tcPr>
          <w:p w14:paraId="0C96FF4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NASA POWER</w:t>
            </w:r>
          </w:p>
        </w:tc>
        <w:tc>
          <w:tcPr>
            <w:tcW w:w="2059" w:type="dxa"/>
            <w:shd w:val="clear"/>
            <w:tcMar>
              <w:top w:w="100" w:type="dxa"/>
              <w:left w:w="160" w:type="dxa"/>
              <w:bottom w:w="100" w:type="dxa"/>
              <w:right w:w="160" w:type="dxa"/>
            </w:tcMar>
            <w:vAlign w:val="center"/>
          </w:tcPr>
          <w:p w14:paraId="5D7C003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免费全球卫星太阳辐射与气象数据</w:t>
            </w:r>
          </w:p>
        </w:tc>
        <w:tc>
          <w:tcPr>
            <w:tcW w:w="2400" w:type="dxa"/>
            <w:shd w:val="clear"/>
            <w:tcMar>
              <w:top w:w="100" w:type="dxa"/>
              <w:left w:w="160" w:type="dxa"/>
              <w:bottom w:w="100" w:type="dxa"/>
              <w:right w:w="160" w:type="dxa"/>
            </w:tcMar>
            <w:vAlign w:val="center"/>
          </w:tcPr>
          <w:p w14:paraId="7024144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"https://power.larc.nasa.gov/"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https://power.larc.nasa.gov</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2163" w:type="dxa"/>
            <w:shd w:val="clear"/>
            <w:tcMar>
              <w:top w:w="100" w:type="dxa"/>
              <w:left w:w="160" w:type="dxa"/>
              <w:bottom w:w="100" w:type="dxa"/>
              <w:right w:w="0" w:type="dxa"/>
            </w:tcMar>
            <w:vAlign w:val="center"/>
          </w:tcPr>
          <w:p w14:paraId="0C4680F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太阳辐射与气象特征</w:t>
            </w:r>
          </w:p>
        </w:tc>
      </w:tr>
      <w:tr w14:paraId="46E134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22" w:type="dxa"/>
            <w:shd w:val="clear"/>
            <w:tcMar>
              <w:top w:w="100" w:type="dxa"/>
              <w:left w:w="0" w:type="dxa"/>
              <w:bottom w:w="100" w:type="dxa"/>
              <w:right w:w="160" w:type="dxa"/>
            </w:tcMar>
            <w:vAlign w:val="center"/>
          </w:tcPr>
          <w:p w14:paraId="467B7EA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5</w:t>
            </w:r>
          </w:p>
        </w:tc>
        <w:tc>
          <w:tcPr>
            <w:tcW w:w="1822" w:type="dxa"/>
            <w:shd w:val="clear"/>
            <w:tcMar>
              <w:top w:w="100" w:type="dxa"/>
              <w:left w:w="160" w:type="dxa"/>
              <w:bottom w:w="100" w:type="dxa"/>
              <w:right w:w="160" w:type="dxa"/>
            </w:tcMar>
            <w:vAlign w:val="center"/>
          </w:tcPr>
          <w:p w14:paraId="426FCBA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Global Solar Atlas</w:t>
            </w:r>
          </w:p>
        </w:tc>
        <w:tc>
          <w:tcPr>
            <w:tcW w:w="2059" w:type="dxa"/>
            <w:shd w:val="clear"/>
            <w:tcMar>
              <w:top w:w="100" w:type="dxa"/>
              <w:left w:w="160" w:type="dxa"/>
              <w:bottom w:w="100" w:type="dxa"/>
              <w:right w:w="160" w:type="dxa"/>
            </w:tcMar>
            <w:vAlign w:val="center"/>
          </w:tcPr>
          <w:p w14:paraId="5D93D5B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全球太阳能资源数据</w:t>
            </w:r>
          </w:p>
        </w:tc>
        <w:tc>
          <w:tcPr>
            <w:tcW w:w="2400" w:type="dxa"/>
            <w:shd w:val="clear"/>
            <w:tcMar>
              <w:top w:w="100" w:type="dxa"/>
              <w:left w:w="160" w:type="dxa"/>
              <w:bottom w:w="100" w:type="dxa"/>
              <w:right w:w="160" w:type="dxa"/>
            </w:tcMar>
            <w:vAlign w:val="center"/>
          </w:tcPr>
          <w:p w14:paraId="69014E9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"https://globalsolaratlas.info/"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https://globalsolaratlas.info</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2163" w:type="dxa"/>
            <w:shd w:val="clear"/>
            <w:tcMar>
              <w:top w:w="100" w:type="dxa"/>
              <w:left w:w="160" w:type="dxa"/>
              <w:bottom w:w="100" w:type="dxa"/>
              <w:right w:w="0" w:type="dxa"/>
            </w:tcMar>
            <w:vAlign w:val="center"/>
          </w:tcPr>
          <w:p w14:paraId="3B89BF2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光伏资源评估</w:t>
            </w:r>
          </w:p>
        </w:tc>
      </w:tr>
    </w:tbl>
    <w:p w14:paraId="40C7AAA1">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5.2 储能电池数据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80"/>
        <w:gridCol w:w="2594"/>
        <w:gridCol w:w="1693"/>
        <w:gridCol w:w="2664"/>
        <w:gridCol w:w="1076"/>
      </w:tblGrid>
      <w:tr w14:paraId="4A8870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380" w:type="dxa"/>
            <w:tcBorders>
              <w:top w:val="nil"/>
            </w:tcBorders>
            <w:shd w:val="clear"/>
            <w:tcMar>
              <w:top w:w="100" w:type="dxa"/>
              <w:left w:w="0" w:type="dxa"/>
              <w:bottom w:w="100" w:type="dxa"/>
              <w:right w:w="160" w:type="dxa"/>
            </w:tcMar>
            <w:vAlign w:val="center"/>
          </w:tcPr>
          <w:p w14:paraId="275338F0">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序号</w:t>
            </w:r>
          </w:p>
        </w:tc>
        <w:tc>
          <w:tcPr>
            <w:tcW w:w="2594" w:type="dxa"/>
            <w:tcBorders>
              <w:top w:val="nil"/>
            </w:tcBorders>
            <w:shd w:val="clear"/>
            <w:tcMar>
              <w:top w:w="100" w:type="dxa"/>
              <w:left w:w="160" w:type="dxa"/>
              <w:bottom w:w="100" w:type="dxa"/>
              <w:right w:w="160" w:type="dxa"/>
            </w:tcMar>
            <w:vAlign w:val="center"/>
          </w:tcPr>
          <w:p w14:paraId="6709DE4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数据集名称</w:t>
            </w:r>
          </w:p>
        </w:tc>
        <w:tc>
          <w:tcPr>
            <w:tcW w:w="1693" w:type="dxa"/>
            <w:tcBorders>
              <w:top w:val="nil"/>
            </w:tcBorders>
            <w:shd w:val="clear"/>
            <w:tcMar>
              <w:top w:w="100" w:type="dxa"/>
              <w:left w:w="160" w:type="dxa"/>
              <w:bottom w:w="100" w:type="dxa"/>
              <w:right w:w="160" w:type="dxa"/>
            </w:tcMar>
            <w:vAlign w:val="center"/>
          </w:tcPr>
          <w:p w14:paraId="29B6C9B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核心内容</w:t>
            </w:r>
          </w:p>
        </w:tc>
        <w:tc>
          <w:tcPr>
            <w:tcW w:w="2664" w:type="dxa"/>
            <w:tcBorders>
              <w:top w:val="nil"/>
            </w:tcBorders>
            <w:shd w:val="clear"/>
            <w:tcMar>
              <w:top w:w="100" w:type="dxa"/>
              <w:left w:w="160" w:type="dxa"/>
              <w:bottom w:w="100" w:type="dxa"/>
              <w:right w:w="160" w:type="dxa"/>
            </w:tcMar>
            <w:vAlign w:val="center"/>
          </w:tcPr>
          <w:p w14:paraId="7AE6A23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直接网址</w:t>
            </w:r>
          </w:p>
        </w:tc>
        <w:tc>
          <w:tcPr>
            <w:tcW w:w="1076" w:type="dxa"/>
            <w:tcBorders>
              <w:top w:val="nil"/>
            </w:tcBorders>
            <w:shd w:val="clear"/>
            <w:tcMar>
              <w:top w:w="100" w:type="dxa"/>
              <w:left w:w="160" w:type="dxa"/>
              <w:bottom w:w="100" w:type="dxa"/>
              <w:right w:w="160" w:type="dxa"/>
            </w:tcMar>
            <w:vAlign w:val="center"/>
          </w:tcPr>
          <w:p w14:paraId="259477E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用途</w:t>
            </w:r>
          </w:p>
        </w:tc>
      </w:tr>
      <w:tr w14:paraId="71134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 w:type="dxa"/>
            <w:shd w:val="clear"/>
            <w:tcMar>
              <w:top w:w="100" w:type="dxa"/>
              <w:left w:w="0" w:type="dxa"/>
              <w:bottom w:w="100" w:type="dxa"/>
              <w:right w:w="160" w:type="dxa"/>
            </w:tcMar>
            <w:vAlign w:val="center"/>
          </w:tcPr>
          <w:p w14:paraId="6C71FBA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w:t>
            </w:r>
          </w:p>
        </w:tc>
        <w:tc>
          <w:tcPr>
            <w:tcW w:w="2594" w:type="dxa"/>
            <w:shd w:val="clear"/>
            <w:tcMar>
              <w:top w:w="100" w:type="dxa"/>
              <w:left w:w="160" w:type="dxa"/>
              <w:bottom w:w="100" w:type="dxa"/>
              <w:right w:w="160" w:type="dxa"/>
            </w:tcMar>
            <w:vAlign w:val="center"/>
          </w:tcPr>
          <w:p w14:paraId="152968F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Stanford梯次电池电网储能老化数据集</w:t>
            </w:r>
          </w:p>
        </w:tc>
        <w:tc>
          <w:tcPr>
            <w:tcW w:w="1693" w:type="dxa"/>
            <w:shd w:val="clear"/>
            <w:tcMar>
              <w:top w:w="100" w:type="dxa"/>
              <w:left w:w="160" w:type="dxa"/>
              <w:bottom w:w="100" w:type="dxa"/>
              <w:right w:w="160" w:type="dxa"/>
            </w:tcMar>
            <w:vAlign w:val="center"/>
          </w:tcPr>
          <w:p w14:paraId="6B3187A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6颗NMC 21700，24月，RPT+EIS</w:t>
            </w:r>
          </w:p>
        </w:tc>
        <w:tc>
          <w:tcPr>
            <w:tcW w:w="2664" w:type="dxa"/>
            <w:shd w:val="clear"/>
            <w:tcMar>
              <w:top w:w="100" w:type="dxa"/>
              <w:left w:w="160" w:type="dxa"/>
              <w:bottom w:w="100" w:type="dxa"/>
              <w:right w:w="160" w:type="dxa"/>
            </w:tcMar>
            <w:vAlign w:val="center"/>
          </w:tcPr>
          <w:p w14:paraId="3B59E96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"https://osf.io/8jnr5/"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https://osf.io/8jnr5/</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1076" w:type="dxa"/>
            <w:shd w:val="clear"/>
            <w:tcMar>
              <w:top w:w="100" w:type="dxa"/>
              <w:left w:w="160" w:type="dxa"/>
              <w:bottom w:w="100" w:type="dxa"/>
              <w:right w:w="0" w:type="dxa"/>
            </w:tcMar>
            <w:vAlign w:val="center"/>
          </w:tcPr>
          <w:p w14:paraId="26D4B40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SOH退化约束校准</w:t>
            </w:r>
          </w:p>
        </w:tc>
      </w:tr>
      <w:tr w14:paraId="60EB37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 w:type="dxa"/>
            <w:shd w:val="clear"/>
            <w:tcMar>
              <w:top w:w="100" w:type="dxa"/>
              <w:left w:w="0" w:type="dxa"/>
              <w:bottom w:w="100" w:type="dxa"/>
              <w:right w:w="160" w:type="dxa"/>
            </w:tcMar>
            <w:vAlign w:val="center"/>
          </w:tcPr>
          <w:p w14:paraId="0270443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w:t>
            </w:r>
          </w:p>
        </w:tc>
        <w:tc>
          <w:tcPr>
            <w:tcW w:w="2594" w:type="dxa"/>
            <w:shd w:val="clear"/>
            <w:tcMar>
              <w:top w:w="100" w:type="dxa"/>
              <w:left w:w="160" w:type="dxa"/>
              <w:bottom w:w="100" w:type="dxa"/>
              <w:right w:w="160" w:type="dxa"/>
            </w:tcMar>
            <w:vAlign w:val="center"/>
          </w:tcPr>
          <w:p w14:paraId="78F2D96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Stanford锂离子电池日历与循环老化数据集</w:t>
            </w:r>
          </w:p>
        </w:tc>
        <w:tc>
          <w:tcPr>
            <w:tcW w:w="1693" w:type="dxa"/>
            <w:shd w:val="clear"/>
            <w:tcMar>
              <w:top w:w="100" w:type="dxa"/>
              <w:left w:w="160" w:type="dxa"/>
              <w:bottom w:w="100" w:type="dxa"/>
              <w:right w:w="160" w:type="dxa"/>
            </w:tcMar>
            <w:vAlign w:val="center"/>
          </w:tcPr>
          <w:p w14:paraId="4B5917A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22颗NMC/石墨，0/25/40°C</w:t>
            </w:r>
          </w:p>
        </w:tc>
        <w:tc>
          <w:tcPr>
            <w:tcW w:w="2664" w:type="dxa"/>
            <w:shd w:val="clear"/>
            <w:tcMar>
              <w:top w:w="100" w:type="dxa"/>
              <w:left w:w="160" w:type="dxa"/>
              <w:bottom w:w="100" w:type="dxa"/>
              <w:right w:w="160" w:type="dxa"/>
            </w:tcMar>
            <w:vAlign w:val="center"/>
          </w:tcPr>
          <w:p w14:paraId="33828D8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"https://osf.io/j2sn4/"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https://osf.io/j2sn4/</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1076" w:type="dxa"/>
            <w:shd w:val="clear"/>
            <w:tcMar>
              <w:top w:w="100" w:type="dxa"/>
              <w:left w:w="160" w:type="dxa"/>
              <w:bottom w:w="100" w:type="dxa"/>
              <w:right w:w="0" w:type="dxa"/>
            </w:tcMar>
            <w:vAlign w:val="center"/>
          </w:tcPr>
          <w:p w14:paraId="1BF324E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SOH估计算法开发</w:t>
            </w:r>
          </w:p>
        </w:tc>
      </w:tr>
      <w:tr w14:paraId="6642A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0" w:type="dxa"/>
            <w:shd w:val="clear"/>
            <w:tcMar>
              <w:top w:w="100" w:type="dxa"/>
              <w:left w:w="0" w:type="dxa"/>
              <w:bottom w:w="100" w:type="dxa"/>
              <w:right w:w="160" w:type="dxa"/>
            </w:tcMar>
            <w:vAlign w:val="center"/>
          </w:tcPr>
          <w:p w14:paraId="43D53A3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3</w:t>
            </w:r>
          </w:p>
        </w:tc>
        <w:tc>
          <w:tcPr>
            <w:tcW w:w="2594" w:type="dxa"/>
            <w:shd w:val="clear"/>
            <w:tcMar>
              <w:top w:w="100" w:type="dxa"/>
              <w:left w:w="160" w:type="dxa"/>
              <w:bottom w:w="100" w:type="dxa"/>
              <w:right w:w="160" w:type="dxa"/>
            </w:tcMar>
            <w:vAlign w:val="center"/>
          </w:tcPr>
          <w:p w14:paraId="4F70E4B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BatteryLife_Processed</w:t>
            </w:r>
          </w:p>
        </w:tc>
        <w:tc>
          <w:tcPr>
            <w:tcW w:w="1693" w:type="dxa"/>
            <w:shd w:val="clear"/>
            <w:tcMar>
              <w:top w:w="100" w:type="dxa"/>
              <w:left w:w="160" w:type="dxa"/>
              <w:bottom w:w="100" w:type="dxa"/>
              <w:right w:w="160" w:type="dxa"/>
            </w:tcMar>
            <w:vAlign w:val="center"/>
          </w:tcPr>
          <w:p w14:paraId="5FA1C26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990颗电池，59种化学体系</w:t>
            </w:r>
          </w:p>
        </w:tc>
        <w:tc>
          <w:tcPr>
            <w:tcW w:w="2664" w:type="dxa"/>
            <w:shd w:val="clear"/>
            <w:tcMar>
              <w:top w:w="100" w:type="dxa"/>
              <w:left w:w="160" w:type="dxa"/>
              <w:bottom w:w="100" w:type="dxa"/>
              <w:right w:w="160" w:type="dxa"/>
            </w:tcMar>
            <w:vAlign w:val="center"/>
          </w:tcPr>
          <w:p w14:paraId="4674CB7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"https://zenodo.org/"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https://zenodo.org</w:t>
            </w:r>
            <w:r>
              <w:rPr>
                <w:rFonts w:hint="eastAsia" w:ascii="宋体" w:hAnsi="宋体" w:eastAsia="宋体" w:cs="宋体"/>
                <w:color w:val="3964FE"/>
                <w:kern w:val="0"/>
                <w:sz w:val="21"/>
                <w:szCs w:val="21"/>
                <w:u w:val="none"/>
                <w:bdr w:val="single" w:color="auto" w:sz="12" w:space="0"/>
                <w:lang w:val="en-US" w:eastAsia="zh-CN" w:bidi="ar"/>
              </w:rPr>
              <w:fldChar w:fldCharType="end"/>
            </w:r>
            <w:r>
              <w:rPr>
                <w:rFonts w:hint="eastAsia" w:ascii="宋体" w:hAnsi="宋体" w:eastAsia="宋体" w:cs="宋体"/>
                <w:kern w:val="0"/>
                <w:sz w:val="21"/>
                <w:szCs w:val="21"/>
                <w:bdr w:val="none" w:color="auto" w:sz="0" w:space="0"/>
                <w:lang w:val="en-US" w:eastAsia="zh-CN" w:bidi="ar"/>
              </w:rPr>
              <w:t>（搜索“BatteryLife_Processed”）</w:t>
            </w:r>
          </w:p>
        </w:tc>
        <w:tc>
          <w:tcPr>
            <w:tcW w:w="1076" w:type="dxa"/>
            <w:shd w:val="clear"/>
            <w:tcMar>
              <w:top w:w="100" w:type="dxa"/>
              <w:left w:w="160" w:type="dxa"/>
              <w:bottom w:w="100" w:type="dxa"/>
              <w:right w:w="0" w:type="dxa"/>
            </w:tcMar>
            <w:vAlign w:val="center"/>
          </w:tcPr>
          <w:p w14:paraId="37A8B22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多化学体系对比</w:t>
            </w:r>
          </w:p>
        </w:tc>
      </w:tr>
    </w:tbl>
    <w:p w14:paraId="2638320E">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5.3 用电负荷数据</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73"/>
        <w:gridCol w:w="1773"/>
        <w:gridCol w:w="1671"/>
        <w:gridCol w:w="2771"/>
        <w:gridCol w:w="1331"/>
      </w:tblGrid>
      <w:tr w14:paraId="42486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373" w:type="dxa"/>
            <w:tcBorders>
              <w:top w:val="nil"/>
            </w:tcBorders>
            <w:shd w:val="clear"/>
            <w:tcMar>
              <w:top w:w="100" w:type="dxa"/>
              <w:left w:w="0" w:type="dxa"/>
              <w:bottom w:w="100" w:type="dxa"/>
              <w:right w:w="160" w:type="dxa"/>
            </w:tcMar>
            <w:vAlign w:val="center"/>
          </w:tcPr>
          <w:p w14:paraId="4B5893D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序号</w:t>
            </w:r>
          </w:p>
        </w:tc>
        <w:tc>
          <w:tcPr>
            <w:tcW w:w="1773" w:type="dxa"/>
            <w:tcBorders>
              <w:top w:val="nil"/>
            </w:tcBorders>
            <w:shd w:val="clear"/>
            <w:tcMar>
              <w:top w:w="100" w:type="dxa"/>
              <w:left w:w="160" w:type="dxa"/>
              <w:bottom w:w="100" w:type="dxa"/>
              <w:right w:w="160" w:type="dxa"/>
            </w:tcMar>
            <w:vAlign w:val="center"/>
          </w:tcPr>
          <w:p w14:paraId="5503613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数据集名称</w:t>
            </w:r>
          </w:p>
        </w:tc>
        <w:tc>
          <w:tcPr>
            <w:tcW w:w="1671" w:type="dxa"/>
            <w:tcBorders>
              <w:top w:val="nil"/>
            </w:tcBorders>
            <w:shd w:val="clear"/>
            <w:tcMar>
              <w:top w:w="100" w:type="dxa"/>
              <w:left w:w="160" w:type="dxa"/>
              <w:bottom w:w="100" w:type="dxa"/>
              <w:right w:w="160" w:type="dxa"/>
            </w:tcMar>
            <w:vAlign w:val="center"/>
          </w:tcPr>
          <w:p w14:paraId="4CB5E7E6">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核心内容</w:t>
            </w:r>
          </w:p>
        </w:tc>
        <w:tc>
          <w:tcPr>
            <w:tcW w:w="2771" w:type="dxa"/>
            <w:tcBorders>
              <w:top w:val="nil"/>
            </w:tcBorders>
            <w:shd w:val="clear"/>
            <w:tcMar>
              <w:top w:w="100" w:type="dxa"/>
              <w:left w:w="160" w:type="dxa"/>
              <w:bottom w:w="100" w:type="dxa"/>
              <w:right w:w="160" w:type="dxa"/>
            </w:tcMar>
            <w:vAlign w:val="center"/>
          </w:tcPr>
          <w:p w14:paraId="75A43B30">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直接网址</w:t>
            </w:r>
          </w:p>
        </w:tc>
        <w:tc>
          <w:tcPr>
            <w:tcW w:w="1331" w:type="dxa"/>
            <w:tcBorders>
              <w:top w:val="nil"/>
            </w:tcBorders>
            <w:shd w:val="clear"/>
            <w:tcMar>
              <w:top w:w="100" w:type="dxa"/>
              <w:left w:w="160" w:type="dxa"/>
              <w:bottom w:w="100" w:type="dxa"/>
              <w:right w:w="160" w:type="dxa"/>
            </w:tcMar>
            <w:vAlign w:val="center"/>
          </w:tcPr>
          <w:p w14:paraId="730BC99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用途</w:t>
            </w:r>
          </w:p>
        </w:tc>
      </w:tr>
      <w:tr w14:paraId="3864F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3" w:type="dxa"/>
            <w:shd w:val="clear"/>
            <w:tcMar>
              <w:top w:w="100" w:type="dxa"/>
              <w:left w:w="0" w:type="dxa"/>
              <w:bottom w:w="100" w:type="dxa"/>
              <w:right w:w="160" w:type="dxa"/>
            </w:tcMar>
            <w:vAlign w:val="center"/>
          </w:tcPr>
          <w:p w14:paraId="6F4FF69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w:t>
            </w:r>
          </w:p>
        </w:tc>
        <w:tc>
          <w:tcPr>
            <w:tcW w:w="1773" w:type="dxa"/>
            <w:shd w:val="clear"/>
            <w:tcMar>
              <w:top w:w="100" w:type="dxa"/>
              <w:left w:w="160" w:type="dxa"/>
              <w:bottom w:w="100" w:type="dxa"/>
              <w:right w:w="160" w:type="dxa"/>
            </w:tcMar>
            <w:vAlign w:val="center"/>
          </w:tcPr>
          <w:p w14:paraId="0CB8EB3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国家基础学科数据中心—广州行业用电量数据集</w:t>
            </w:r>
          </w:p>
        </w:tc>
        <w:tc>
          <w:tcPr>
            <w:tcW w:w="1671" w:type="dxa"/>
            <w:shd w:val="clear"/>
            <w:tcMar>
              <w:top w:w="100" w:type="dxa"/>
              <w:left w:w="160" w:type="dxa"/>
              <w:bottom w:w="100" w:type="dxa"/>
              <w:right w:w="160" w:type="dxa"/>
            </w:tcMar>
            <w:vAlign w:val="center"/>
          </w:tcPr>
          <w:p w14:paraId="5EF5F43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广州不同区/行业/用户，30.82MB</w:t>
            </w:r>
          </w:p>
        </w:tc>
        <w:tc>
          <w:tcPr>
            <w:tcW w:w="2771" w:type="dxa"/>
            <w:shd w:val="clear"/>
            <w:tcMar>
              <w:top w:w="100" w:type="dxa"/>
              <w:left w:w="160" w:type="dxa"/>
              <w:bottom w:w="100" w:type="dxa"/>
              <w:right w:w="160" w:type="dxa"/>
            </w:tcMar>
            <w:vAlign w:val="center"/>
          </w:tcPr>
          <w:p w14:paraId="2FF0BB1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"https://www.nbsdc.cn/"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https://www.nbsdc.cn</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1331" w:type="dxa"/>
            <w:shd w:val="clear"/>
            <w:tcMar>
              <w:top w:w="100" w:type="dxa"/>
              <w:left w:w="160" w:type="dxa"/>
              <w:bottom w:w="100" w:type="dxa"/>
              <w:right w:w="0" w:type="dxa"/>
            </w:tcMar>
            <w:vAlign w:val="center"/>
          </w:tcPr>
          <w:p w14:paraId="11DE537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前景理论参数校准</w:t>
            </w:r>
          </w:p>
        </w:tc>
      </w:tr>
      <w:tr w14:paraId="6AFFFC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3" w:type="dxa"/>
            <w:shd w:val="clear"/>
            <w:tcMar>
              <w:top w:w="100" w:type="dxa"/>
              <w:left w:w="0" w:type="dxa"/>
              <w:bottom w:w="100" w:type="dxa"/>
              <w:right w:w="160" w:type="dxa"/>
            </w:tcMar>
            <w:vAlign w:val="center"/>
          </w:tcPr>
          <w:p w14:paraId="16DF90C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w:t>
            </w:r>
          </w:p>
        </w:tc>
        <w:tc>
          <w:tcPr>
            <w:tcW w:w="1773" w:type="dxa"/>
            <w:shd w:val="clear"/>
            <w:tcMar>
              <w:top w:w="100" w:type="dxa"/>
              <w:left w:w="160" w:type="dxa"/>
              <w:bottom w:w="100" w:type="dxa"/>
              <w:right w:w="160" w:type="dxa"/>
            </w:tcMar>
            <w:vAlign w:val="center"/>
          </w:tcPr>
          <w:p w14:paraId="499E800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Pecan Street Dataport</w:t>
            </w:r>
          </w:p>
        </w:tc>
        <w:tc>
          <w:tcPr>
            <w:tcW w:w="1671" w:type="dxa"/>
            <w:shd w:val="clear"/>
            <w:tcMar>
              <w:top w:w="100" w:type="dxa"/>
              <w:left w:w="160" w:type="dxa"/>
              <w:bottom w:w="100" w:type="dxa"/>
              <w:right w:w="160" w:type="dxa"/>
            </w:tcMar>
            <w:vAlign w:val="center"/>
          </w:tcPr>
          <w:p w14:paraId="15EA082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1分钟/秒级电路级数据</w:t>
            </w:r>
          </w:p>
        </w:tc>
        <w:tc>
          <w:tcPr>
            <w:tcW w:w="2771" w:type="dxa"/>
            <w:shd w:val="clear"/>
            <w:tcMar>
              <w:top w:w="100" w:type="dxa"/>
              <w:left w:w="160" w:type="dxa"/>
              <w:bottom w:w="100" w:type="dxa"/>
              <w:right w:w="160" w:type="dxa"/>
            </w:tcMar>
            <w:vAlign w:val="center"/>
          </w:tcPr>
          <w:p w14:paraId="17FC0C3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"https://www.pecanstreet.org/dataport"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https://www.pecanstreet.org/dataport</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1331" w:type="dxa"/>
            <w:shd w:val="clear"/>
            <w:tcMar>
              <w:top w:w="100" w:type="dxa"/>
              <w:left w:w="160" w:type="dxa"/>
              <w:bottom w:w="100" w:type="dxa"/>
              <w:right w:w="0" w:type="dxa"/>
            </w:tcMar>
            <w:vAlign w:val="center"/>
          </w:tcPr>
          <w:p w14:paraId="6538FDED">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可调负荷识别</w:t>
            </w:r>
          </w:p>
        </w:tc>
      </w:tr>
      <w:tr w14:paraId="16D035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3" w:type="dxa"/>
            <w:shd w:val="clear"/>
            <w:tcMar>
              <w:top w:w="100" w:type="dxa"/>
              <w:left w:w="0" w:type="dxa"/>
              <w:bottom w:w="100" w:type="dxa"/>
              <w:right w:w="160" w:type="dxa"/>
            </w:tcMar>
            <w:vAlign w:val="center"/>
          </w:tcPr>
          <w:p w14:paraId="1DFC21D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3</w:t>
            </w:r>
          </w:p>
        </w:tc>
        <w:tc>
          <w:tcPr>
            <w:tcW w:w="1773" w:type="dxa"/>
            <w:shd w:val="clear"/>
            <w:tcMar>
              <w:top w:w="100" w:type="dxa"/>
              <w:left w:w="160" w:type="dxa"/>
              <w:bottom w:w="100" w:type="dxa"/>
              <w:right w:w="160" w:type="dxa"/>
            </w:tcMar>
            <w:vAlign w:val="center"/>
          </w:tcPr>
          <w:p w14:paraId="4A53BD4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GEFCom2012负荷预测数据集</w:t>
            </w:r>
          </w:p>
        </w:tc>
        <w:tc>
          <w:tcPr>
            <w:tcW w:w="1671" w:type="dxa"/>
            <w:shd w:val="clear"/>
            <w:tcMar>
              <w:top w:w="100" w:type="dxa"/>
              <w:left w:w="160" w:type="dxa"/>
              <w:bottom w:w="100" w:type="dxa"/>
              <w:right w:w="160" w:type="dxa"/>
            </w:tcMar>
            <w:vAlign w:val="center"/>
          </w:tcPr>
          <w:p w14:paraId="32FDCC3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20区域逐时负荷+气象</w:t>
            </w:r>
          </w:p>
        </w:tc>
        <w:tc>
          <w:tcPr>
            <w:tcW w:w="2771" w:type="dxa"/>
            <w:shd w:val="clear"/>
            <w:tcMar>
              <w:top w:w="100" w:type="dxa"/>
              <w:left w:w="160" w:type="dxa"/>
              <w:bottom w:w="100" w:type="dxa"/>
              <w:right w:w="160" w:type="dxa"/>
            </w:tcMar>
            <w:vAlign w:val="center"/>
          </w:tcPr>
          <w:p w14:paraId="12A2F09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"https://www.kaggle.com/"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https://www.kaggle.com</w:t>
            </w:r>
            <w:r>
              <w:rPr>
                <w:rFonts w:hint="eastAsia" w:ascii="宋体" w:hAnsi="宋体" w:eastAsia="宋体" w:cs="宋体"/>
                <w:color w:val="3964FE"/>
                <w:kern w:val="0"/>
                <w:sz w:val="21"/>
                <w:szCs w:val="21"/>
                <w:u w:val="none"/>
                <w:bdr w:val="single" w:color="auto" w:sz="12" w:space="0"/>
                <w:lang w:val="en-US" w:eastAsia="zh-CN" w:bidi="ar"/>
              </w:rPr>
              <w:fldChar w:fldCharType="end"/>
            </w:r>
            <w:r>
              <w:rPr>
                <w:rFonts w:hint="eastAsia" w:ascii="宋体" w:hAnsi="宋体" w:eastAsia="宋体" w:cs="宋体"/>
                <w:kern w:val="0"/>
                <w:sz w:val="21"/>
                <w:szCs w:val="21"/>
                <w:bdr w:val="none" w:color="auto" w:sz="0" w:space="0"/>
                <w:lang w:val="en-US" w:eastAsia="zh-CN" w:bidi="ar"/>
              </w:rPr>
              <w:t>（搜索“GEFCom 2012”）</w:t>
            </w:r>
          </w:p>
        </w:tc>
        <w:tc>
          <w:tcPr>
            <w:tcW w:w="1331" w:type="dxa"/>
            <w:shd w:val="clear"/>
            <w:tcMar>
              <w:top w:w="100" w:type="dxa"/>
              <w:left w:w="160" w:type="dxa"/>
              <w:bottom w:w="100" w:type="dxa"/>
              <w:right w:w="0" w:type="dxa"/>
            </w:tcMar>
            <w:vAlign w:val="center"/>
          </w:tcPr>
          <w:p w14:paraId="3644155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负荷预测基准</w:t>
            </w:r>
          </w:p>
        </w:tc>
      </w:tr>
    </w:tbl>
    <w:p w14:paraId="5D443BC7">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5.4 电价数据</w:t>
      </w:r>
    </w:p>
    <w:tbl>
      <w:tblPr>
        <w:tblW w:w="853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336"/>
        <w:gridCol w:w="1431"/>
        <w:gridCol w:w="1786"/>
        <w:gridCol w:w="3943"/>
        <w:gridCol w:w="1041"/>
      </w:tblGrid>
      <w:tr w14:paraId="08104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36" w:type="dxa"/>
            <w:tcBorders>
              <w:top w:val="nil"/>
            </w:tcBorders>
            <w:shd w:val="clear"/>
            <w:tcMar>
              <w:top w:w="100" w:type="dxa"/>
              <w:left w:w="0" w:type="dxa"/>
              <w:bottom w:w="100" w:type="dxa"/>
              <w:right w:w="160" w:type="dxa"/>
            </w:tcMar>
            <w:vAlign w:val="center"/>
          </w:tcPr>
          <w:p w14:paraId="2012FE9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序号</w:t>
            </w:r>
          </w:p>
        </w:tc>
        <w:tc>
          <w:tcPr>
            <w:tcW w:w="1431" w:type="dxa"/>
            <w:tcBorders>
              <w:top w:val="nil"/>
            </w:tcBorders>
            <w:shd w:val="clear"/>
            <w:tcMar>
              <w:top w:w="100" w:type="dxa"/>
              <w:left w:w="160" w:type="dxa"/>
              <w:bottom w:w="100" w:type="dxa"/>
              <w:right w:w="160" w:type="dxa"/>
            </w:tcMar>
            <w:vAlign w:val="center"/>
          </w:tcPr>
          <w:p w14:paraId="21CE609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数据集名称</w:t>
            </w:r>
          </w:p>
        </w:tc>
        <w:tc>
          <w:tcPr>
            <w:tcW w:w="1786" w:type="dxa"/>
            <w:tcBorders>
              <w:top w:val="nil"/>
            </w:tcBorders>
            <w:shd w:val="clear"/>
            <w:tcMar>
              <w:top w:w="100" w:type="dxa"/>
              <w:left w:w="160" w:type="dxa"/>
              <w:bottom w:w="100" w:type="dxa"/>
              <w:right w:w="160" w:type="dxa"/>
            </w:tcMar>
            <w:vAlign w:val="center"/>
          </w:tcPr>
          <w:p w14:paraId="27BA76E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核心内容</w:t>
            </w:r>
          </w:p>
        </w:tc>
        <w:tc>
          <w:tcPr>
            <w:tcW w:w="3943" w:type="dxa"/>
            <w:tcBorders>
              <w:top w:val="nil"/>
            </w:tcBorders>
            <w:shd w:val="clear"/>
            <w:tcMar>
              <w:top w:w="100" w:type="dxa"/>
              <w:left w:w="160" w:type="dxa"/>
              <w:bottom w:w="100" w:type="dxa"/>
              <w:right w:w="160" w:type="dxa"/>
            </w:tcMar>
            <w:vAlign w:val="center"/>
          </w:tcPr>
          <w:p w14:paraId="33A25A0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直接网址</w:t>
            </w:r>
          </w:p>
        </w:tc>
        <w:tc>
          <w:tcPr>
            <w:tcW w:w="1041" w:type="dxa"/>
            <w:tcBorders>
              <w:top w:val="nil"/>
            </w:tcBorders>
            <w:shd w:val="clear"/>
            <w:tcMar>
              <w:top w:w="100" w:type="dxa"/>
              <w:left w:w="160" w:type="dxa"/>
              <w:bottom w:w="100" w:type="dxa"/>
              <w:right w:w="160" w:type="dxa"/>
            </w:tcMar>
            <w:vAlign w:val="center"/>
          </w:tcPr>
          <w:p w14:paraId="3D6B2B1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用途</w:t>
            </w:r>
          </w:p>
        </w:tc>
      </w:tr>
      <w:tr w14:paraId="37C113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6" w:type="dxa"/>
            <w:shd w:val="clear"/>
            <w:tcMar>
              <w:top w:w="100" w:type="dxa"/>
              <w:left w:w="0" w:type="dxa"/>
              <w:bottom w:w="100" w:type="dxa"/>
              <w:right w:w="160" w:type="dxa"/>
            </w:tcMar>
            <w:vAlign w:val="center"/>
          </w:tcPr>
          <w:p w14:paraId="6DF8BD8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w:t>
            </w:r>
          </w:p>
        </w:tc>
        <w:tc>
          <w:tcPr>
            <w:tcW w:w="1431" w:type="dxa"/>
            <w:shd w:val="clear"/>
            <w:tcMar>
              <w:top w:w="100" w:type="dxa"/>
              <w:left w:w="160" w:type="dxa"/>
              <w:bottom w:w="100" w:type="dxa"/>
              <w:right w:w="160" w:type="dxa"/>
            </w:tcMar>
            <w:vAlign w:val="center"/>
          </w:tcPr>
          <w:p w14:paraId="0C289A6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广东电力交易中心系统</w:t>
            </w:r>
          </w:p>
        </w:tc>
        <w:tc>
          <w:tcPr>
            <w:tcW w:w="1786" w:type="dxa"/>
            <w:shd w:val="clear"/>
            <w:tcMar>
              <w:top w:w="100" w:type="dxa"/>
              <w:left w:w="160" w:type="dxa"/>
              <w:bottom w:w="100" w:type="dxa"/>
              <w:right w:w="160" w:type="dxa"/>
            </w:tcMar>
            <w:vAlign w:val="center"/>
          </w:tcPr>
          <w:p w14:paraId="474B76C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现货结算月正式结果</w:t>
            </w:r>
          </w:p>
        </w:tc>
        <w:tc>
          <w:tcPr>
            <w:tcW w:w="3943" w:type="dxa"/>
            <w:shd w:val="clear"/>
            <w:tcMar>
              <w:top w:w="100" w:type="dxa"/>
              <w:left w:w="160" w:type="dxa"/>
              <w:bottom w:w="100" w:type="dxa"/>
              <w:right w:w="160" w:type="dxa"/>
            </w:tcMar>
            <w:vAlign w:val="center"/>
          </w:tcPr>
          <w:p w14:paraId="496A8174">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"https://pm.gd.csg.cn/"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https://pm.gd.csg.cn</w:t>
            </w:r>
            <w:r>
              <w:rPr>
                <w:rFonts w:hint="eastAsia" w:ascii="宋体" w:hAnsi="宋体" w:eastAsia="宋体" w:cs="宋体"/>
                <w:color w:val="3964FE"/>
                <w:kern w:val="0"/>
                <w:sz w:val="21"/>
                <w:szCs w:val="21"/>
                <w:u w:val="none"/>
                <w:bdr w:val="single" w:color="auto" w:sz="12" w:space="0"/>
                <w:lang w:val="en-US" w:eastAsia="zh-CN" w:bidi="ar"/>
              </w:rPr>
              <w:fldChar w:fldCharType="end"/>
            </w:r>
            <w:r>
              <w:rPr>
                <w:rFonts w:hint="eastAsia" w:ascii="宋体" w:hAnsi="宋体" w:eastAsia="宋体" w:cs="宋体"/>
                <w:kern w:val="0"/>
                <w:sz w:val="21"/>
                <w:szCs w:val="21"/>
                <w:bdr w:val="none" w:color="auto" w:sz="0" w:space="0"/>
                <w:lang w:val="en-US" w:eastAsia="zh-CN" w:bidi="ar"/>
              </w:rPr>
              <w:t>（需注册）</w:t>
            </w:r>
          </w:p>
        </w:tc>
        <w:tc>
          <w:tcPr>
            <w:tcW w:w="1041" w:type="dxa"/>
            <w:shd w:val="clear"/>
            <w:tcMar>
              <w:top w:w="100" w:type="dxa"/>
              <w:left w:w="160" w:type="dxa"/>
              <w:bottom w:w="100" w:type="dxa"/>
              <w:right w:w="0" w:type="dxa"/>
            </w:tcMar>
            <w:vAlign w:val="center"/>
          </w:tcPr>
          <w:p w14:paraId="38BBD41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MPC实时价格信号</w:t>
            </w:r>
          </w:p>
        </w:tc>
      </w:tr>
      <w:tr w14:paraId="03615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6" w:type="dxa"/>
            <w:shd w:val="clear"/>
            <w:tcMar>
              <w:top w:w="100" w:type="dxa"/>
              <w:left w:w="0" w:type="dxa"/>
              <w:bottom w:w="100" w:type="dxa"/>
              <w:right w:w="160" w:type="dxa"/>
            </w:tcMar>
            <w:vAlign w:val="center"/>
          </w:tcPr>
          <w:p w14:paraId="108B6F9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w:t>
            </w:r>
          </w:p>
        </w:tc>
        <w:tc>
          <w:tcPr>
            <w:tcW w:w="1431" w:type="dxa"/>
            <w:shd w:val="clear"/>
            <w:tcMar>
              <w:top w:w="100" w:type="dxa"/>
              <w:left w:w="160" w:type="dxa"/>
              <w:bottom w:w="100" w:type="dxa"/>
              <w:right w:w="160" w:type="dxa"/>
            </w:tcMar>
            <w:vAlign w:val="center"/>
          </w:tcPr>
          <w:p w14:paraId="34EB61C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广东智能电网AI数据集</w:t>
            </w:r>
          </w:p>
        </w:tc>
        <w:tc>
          <w:tcPr>
            <w:tcW w:w="1786" w:type="dxa"/>
            <w:shd w:val="clear"/>
            <w:tcMar>
              <w:top w:w="100" w:type="dxa"/>
              <w:left w:w="160" w:type="dxa"/>
              <w:bottom w:w="100" w:type="dxa"/>
              <w:right w:w="160" w:type="dxa"/>
            </w:tcMar>
            <w:vAlign w:val="center"/>
          </w:tcPr>
          <w:p w14:paraId="2A2BCBD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2024-2025年日前/实时电价</w:t>
            </w:r>
          </w:p>
        </w:tc>
        <w:tc>
          <w:tcPr>
            <w:tcW w:w="3943" w:type="dxa"/>
            <w:shd w:val="clear"/>
            <w:tcMar>
              <w:top w:w="100" w:type="dxa"/>
              <w:left w:w="160" w:type="dxa"/>
              <w:bottom w:w="100" w:type="dxa"/>
              <w:right w:w="160" w:type="dxa"/>
            </w:tcMar>
            <w:vAlign w:val="center"/>
          </w:tcPr>
          <w:p w14:paraId="3A2ABB0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default" w:ascii="宋体" w:hAnsi="宋体" w:eastAsia="宋体" w:cs="宋体"/>
                <w:sz w:val="21"/>
                <w:szCs w:val="21"/>
                <w:lang w:val="en-US"/>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"https://ieee-dataport.org/documents/guangdong-smart-grid-ai-dataset"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https://ieee-dataport.org/documents/guangdong-smart-grid-ai-dataset</w:t>
            </w:r>
            <w:r>
              <w:rPr>
                <w:rFonts w:hint="eastAsia" w:ascii="宋体" w:hAnsi="宋体" w:eastAsia="宋体" w:cs="宋体"/>
                <w:color w:val="3964FE"/>
                <w:kern w:val="0"/>
                <w:sz w:val="21"/>
                <w:szCs w:val="21"/>
                <w:u w:val="none"/>
                <w:bdr w:val="single" w:color="auto" w:sz="12" w:space="0"/>
                <w:lang w:val="en-US" w:eastAsia="zh-CN" w:bidi="ar"/>
              </w:rPr>
              <w:fldChar w:fldCharType="end"/>
            </w:r>
            <w:r>
              <w:rPr>
                <w:rFonts w:hint="eastAsia"/>
                <w:lang w:val="en-US" w:eastAsia="zh-CN"/>
              </w:rPr>
              <w:t>目前网址矫正</w:t>
            </w:r>
          </w:p>
        </w:tc>
        <w:tc>
          <w:tcPr>
            <w:tcW w:w="1041" w:type="dxa"/>
            <w:shd w:val="clear"/>
            <w:tcMar>
              <w:top w:w="100" w:type="dxa"/>
              <w:left w:w="160" w:type="dxa"/>
              <w:bottom w:w="100" w:type="dxa"/>
              <w:right w:w="0" w:type="dxa"/>
            </w:tcMar>
            <w:vAlign w:val="center"/>
          </w:tcPr>
          <w:p w14:paraId="1AB6F99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电价预测模型训练</w:t>
            </w:r>
          </w:p>
        </w:tc>
      </w:tr>
      <w:tr w14:paraId="378FC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36" w:type="dxa"/>
            <w:shd w:val="clear"/>
            <w:tcMar>
              <w:top w:w="100" w:type="dxa"/>
              <w:left w:w="0" w:type="dxa"/>
              <w:bottom w:w="100" w:type="dxa"/>
              <w:right w:w="160" w:type="dxa"/>
            </w:tcMar>
            <w:vAlign w:val="center"/>
          </w:tcPr>
          <w:p w14:paraId="55F09AE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3</w:t>
            </w:r>
          </w:p>
        </w:tc>
        <w:tc>
          <w:tcPr>
            <w:tcW w:w="1431" w:type="dxa"/>
            <w:shd w:val="clear"/>
            <w:tcMar>
              <w:top w:w="100" w:type="dxa"/>
              <w:left w:w="160" w:type="dxa"/>
              <w:bottom w:w="100" w:type="dxa"/>
              <w:right w:w="160" w:type="dxa"/>
            </w:tcMar>
            <w:vAlign w:val="center"/>
          </w:tcPr>
          <w:p w14:paraId="06E7BE3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广东省发改委官网</w:t>
            </w:r>
          </w:p>
        </w:tc>
        <w:tc>
          <w:tcPr>
            <w:tcW w:w="1786" w:type="dxa"/>
            <w:shd w:val="clear"/>
            <w:tcMar>
              <w:top w:w="100" w:type="dxa"/>
              <w:left w:w="160" w:type="dxa"/>
              <w:bottom w:w="100" w:type="dxa"/>
              <w:right w:w="160" w:type="dxa"/>
            </w:tcMar>
            <w:vAlign w:val="center"/>
          </w:tcPr>
          <w:p w14:paraId="2C10DF0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代理购电电价表、峰谷电价</w:t>
            </w:r>
          </w:p>
        </w:tc>
        <w:tc>
          <w:tcPr>
            <w:tcW w:w="3943" w:type="dxa"/>
            <w:shd w:val="clear"/>
            <w:tcMar>
              <w:top w:w="100" w:type="dxa"/>
              <w:left w:w="160" w:type="dxa"/>
              <w:bottom w:w="100" w:type="dxa"/>
              <w:right w:w="160" w:type="dxa"/>
            </w:tcMar>
            <w:vAlign w:val="center"/>
          </w:tcPr>
          <w:p w14:paraId="33ED9CED">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"https://drc.gd.gov.cn/"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https://drc.gd.gov.cn</w:t>
            </w:r>
            <w:r>
              <w:rPr>
                <w:rFonts w:hint="eastAsia" w:ascii="宋体" w:hAnsi="宋体" w:eastAsia="宋体" w:cs="宋体"/>
                <w:color w:val="3964FE"/>
                <w:kern w:val="0"/>
                <w:sz w:val="21"/>
                <w:szCs w:val="21"/>
                <w:u w:val="none"/>
                <w:bdr w:val="single" w:color="auto" w:sz="12" w:space="0"/>
                <w:lang w:val="en-US" w:eastAsia="zh-CN" w:bidi="ar"/>
              </w:rPr>
              <w:fldChar w:fldCharType="end"/>
            </w:r>
          </w:p>
        </w:tc>
        <w:tc>
          <w:tcPr>
            <w:tcW w:w="1041" w:type="dxa"/>
            <w:shd w:val="clear"/>
            <w:tcMar>
              <w:top w:w="100" w:type="dxa"/>
              <w:left w:w="160" w:type="dxa"/>
              <w:bottom w:w="100" w:type="dxa"/>
              <w:right w:w="0" w:type="dxa"/>
            </w:tcMar>
            <w:vAlign w:val="center"/>
          </w:tcPr>
          <w:p w14:paraId="0814FB1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政策性电价参考</w:t>
            </w:r>
          </w:p>
        </w:tc>
      </w:tr>
    </w:tbl>
    <w:p w14:paraId="7C1A8892">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5.5 Open-Meteo气象数据引擎</w:t>
      </w:r>
    </w:p>
    <w:tbl>
      <w:tblPr>
        <w:tblW w:w="75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59"/>
        <w:gridCol w:w="5861"/>
      </w:tblGrid>
      <w:tr w14:paraId="6759D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100" w:type="dxa"/>
              <w:left w:w="0" w:type="dxa"/>
              <w:bottom w:w="100" w:type="dxa"/>
              <w:right w:w="160" w:type="dxa"/>
            </w:tcMar>
            <w:vAlign w:val="center"/>
          </w:tcPr>
          <w:p w14:paraId="4A01AFD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项目</w:t>
            </w:r>
          </w:p>
        </w:tc>
        <w:tc>
          <w:tcPr>
            <w:tcW w:w="0" w:type="auto"/>
            <w:tcBorders>
              <w:top w:val="nil"/>
            </w:tcBorders>
            <w:shd w:val="clear"/>
            <w:tcMar>
              <w:top w:w="100" w:type="dxa"/>
              <w:left w:w="160" w:type="dxa"/>
              <w:bottom w:w="100" w:type="dxa"/>
              <w:right w:w="160" w:type="dxa"/>
            </w:tcMar>
            <w:vAlign w:val="center"/>
          </w:tcPr>
          <w:p w14:paraId="5C1892A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内容</w:t>
            </w:r>
          </w:p>
        </w:tc>
      </w:tr>
      <w:tr w14:paraId="2090E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466D405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官方网址</w:t>
            </w:r>
          </w:p>
        </w:tc>
        <w:tc>
          <w:tcPr>
            <w:tcW w:w="0" w:type="auto"/>
            <w:shd w:val="clear"/>
            <w:tcMar>
              <w:top w:w="100" w:type="dxa"/>
              <w:left w:w="160" w:type="dxa"/>
              <w:bottom w:w="100" w:type="dxa"/>
              <w:right w:w="0" w:type="dxa"/>
            </w:tcMar>
            <w:vAlign w:val="center"/>
          </w:tcPr>
          <w:p w14:paraId="223118A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"https://open-meteo.com/"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https://open-meteo.com</w:t>
            </w:r>
            <w:r>
              <w:rPr>
                <w:rFonts w:hint="eastAsia" w:ascii="宋体" w:hAnsi="宋体" w:eastAsia="宋体" w:cs="宋体"/>
                <w:color w:val="3964FE"/>
                <w:kern w:val="0"/>
                <w:sz w:val="21"/>
                <w:szCs w:val="21"/>
                <w:u w:val="none"/>
                <w:bdr w:val="single" w:color="auto" w:sz="12" w:space="0"/>
                <w:lang w:val="en-US" w:eastAsia="zh-CN" w:bidi="ar"/>
              </w:rPr>
              <w:fldChar w:fldCharType="end"/>
            </w:r>
          </w:p>
        </w:tc>
      </w:tr>
      <w:tr w14:paraId="7091A7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236B1E7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API文档</w:t>
            </w:r>
          </w:p>
        </w:tc>
        <w:tc>
          <w:tcPr>
            <w:tcW w:w="0" w:type="auto"/>
            <w:shd w:val="clear"/>
            <w:tcMar>
              <w:top w:w="100" w:type="dxa"/>
              <w:left w:w="160" w:type="dxa"/>
              <w:bottom w:w="100" w:type="dxa"/>
              <w:right w:w="0" w:type="dxa"/>
            </w:tcMar>
            <w:vAlign w:val="center"/>
          </w:tcPr>
          <w:p w14:paraId="79649CF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color w:val="3964FE"/>
                <w:kern w:val="0"/>
                <w:sz w:val="21"/>
                <w:szCs w:val="21"/>
                <w:u w:val="none"/>
                <w:bdr w:val="single" w:color="auto" w:sz="12" w:space="0"/>
                <w:lang w:val="en-US" w:eastAsia="zh-CN" w:bidi="ar"/>
              </w:rPr>
              <w:fldChar w:fldCharType="begin"/>
            </w:r>
            <w:r>
              <w:rPr>
                <w:rFonts w:hint="eastAsia" w:ascii="宋体" w:hAnsi="宋体" w:eastAsia="宋体" w:cs="宋体"/>
                <w:color w:val="3964FE"/>
                <w:kern w:val="0"/>
                <w:sz w:val="21"/>
                <w:szCs w:val="21"/>
                <w:u w:val="none"/>
                <w:bdr w:val="single" w:color="auto" w:sz="12" w:space="0"/>
                <w:lang w:val="en-US" w:eastAsia="zh-CN" w:bidi="ar"/>
              </w:rPr>
              <w:instrText xml:space="preserve"> HYPERLINK "https://open-meteo.com/en/docs" \t "https://chat.deepseek.com/a/chat/s/_blank" </w:instrText>
            </w:r>
            <w:r>
              <w:rPr>
                <w:rFonts w:hint="eastAsia" w:ascii="宋体" w:hAnsi="宋体" w:eastAsia="宋体" w:cs="宋体"/>
                <w:color w:val="3964FE"/>
                <w:kern w:val="0"/>
                <w:sz w:val="21"/>
                <w:szCs w:val="21"/>
                <w:u w:val="none"/>
                <w:bdr w:val="single" w:color="auto" w:sz="12" w:space="0"/>
                <w:lang w:val="en-US" w:eastAsia="zh-CN" w:bidi="ar"/>
              </w:rPr>
              <w:fldChar w:fldCharType="separate"/>
            </w:r>
            <w:r>
              <w:rPr>
                <w:rStyle w:val="10"/>
                <w:rFonts w:hint="eastAsia" w:ascii="宋体" w:hAnsi="宋体" w:eastAsia="宋体" w:cs="宋体"/>
                <w:color w:val="3964FE"/>
                <w:sz w:val="21"/>
                <w:szCs w:val="21"/>
                <w:u w:val="none"/>
              </w:rPr>
              <w:t>https://open-meteo.com/en/docs</w:t>
            </w:r>
            <w:r>
              <w:rPr>
                <w:rFonts w:hint="eastAsia" w:ascii="宋体" w:hAnsi="宋体" w:eastAsia="宋体" w:cs="宋体"/>
                <w:color w:val="3964FE"/>
                <w:kern w:val="0"/>
                <w:sz w:val="21"/>
                <w:szCs w:val="21"/>
                <w:u w:val="none"/>
                <w:bdr w:val="single" w:color="auto" w:sz="12" w:space="0"/>
                <w:lang w:val="en-US" w:eastAsia="zh-CN" w:bidi="ar"/>
              </w:rPr>
              <w:fldChar w:fldCharType="end"/>
            </w:r>
          </w:p>
        </w:tc>
      </w:tr>
      <w:tr w14:paraId="07247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57A2F3CF">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可替代的数据源</w:t>
            </w:r>
          </w:p>
        </w:tc>
        <w:tc>
          <w:tcPr>
            <w:tcW w:w="0" w:type="auto"/>
            <w:shd w:val="clear"/>
            <w:tcMar>
              <w:top w:w="100" w:type="dxa"/>
              <w:left w:w="160" w:type="dxa"/>
              <w:bottom w:w="100" w:type="dxa"/>
              <w:right w:w="0" w:type="dxa"/>
            </w:tcMar>
            <w:vAlign w:val="center"/>
          </w:tcPr>
          <w:p w14:paraId="1FFB321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NASA POWER、CAMS、PVGIS、中国气象局、ERA5</w:t>
            </w:r>
          </w:p>
        </w:tc>
      </w:tr>
      <w:tr w14:paraId="09621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322501C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核心能力</w:t>
            </w:r>
          </w:p>
        </w:tc>
        <w:tc>
          <w:tcPr>
            <w:tcW w:w="0" w:type="auto"/>
            <w:shd w:val="clear"/>
            <w:tcMar>
              <w:top w:w="100" w:type="dxa"/>
              <w:left w:w="160" w:type="dxa"/>
              <w:bottom w:w="100" w:type="dxa"/>
              <w:right w:w="0" w:type="dxa"/>
            </w:tcMar>
            <w:vAlign w:val="center"/>
          </w:tcPr>
          <w:p w14:paraId="7F1A1A7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1-11km分辨率、15分钟级数据；16天预报；历史再分析数据</w:t>
            </w:r>
          </w:p>
        </w:tc>
      </w:tr>
      <w:tr w14:paraId="429B5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100" w:type="dxa"/>
              <w:left w:w="0" w:type="dxa"/>
              <w:bottom w:w="100" w:type="dxa"/>
              <w:right w:w="160" w:type="dxa"/>
            </w:tcMar>
            <w:vAlign w:val="center"/>
          </w:tcPr>
          <w:p w14:paraId="0540740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关键变量</w:t>
            </w:r>
          </w:p>
        </w:tc>
        <w:tc>
          <w:tcPr>
            <w:tcW w:w="0" w:type="auto"/>
            <w:shd w:val="clear"/>
            <w:tcMar>
              <w:top w:w="100" w:type="dxa"/>
              <w:left w:w="160" w:type="dxa"/>
              <w:bottom w:w="100" w:type="dxa"/>
              <w:right w:w="0" w:type="dxa"/>
            </w:tcMar>
            <w:vAlign w:val="center"/>
          </w:tcPr>
          <w:p w14:paraId="421E4C73">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GHI/DNI/DHI太阳辐射、气温、湿度、风速风向、天气代码等</w:t>
            </w:r>
          </w:p>
        </w:tc>
      </w:tr>
    </w:tbl>
    <w:p w14:paraId="426C495E">
      <w:pPr>
        <w:pStyle w:val="3"/>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六、中小企业入市路径与储能配置建议</w:t>
      </w:r>
    </w:p>
    <w:p w14:paraId="76F48C4F">
      <w:pPr>
        <w:pStyle w:val="4"/>
        <w:keepNext w:val="0"/>
        <w:keepLines w:val="0"/>
        <w:pageBreakBefore w:val="0"/>
        <w:widowControl/>
        <w:suppressLineNumbers w:val="0"/>
        <w:shd w:val="clear" w:fill="FFFFFF"/>
        <w:kinsoku/>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各路径效益对比</w:t>
      </w:r>
    </w:p>
    <w:tbl>
      <w:tblPr>
        <w:tblW w:w="8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174"/>
        <w:gridCol w:w="2572"/>
        <w:gridCol w:w="4014"/>
      </w:tblGrid>
      <w:tr w14:paraId="69CE2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2174" w:type="dxa"/>
            <w:tcBorders>
              <w:top w:val="nil"/>
            </w:tcBorders>
            <w:shd w:val="clear"/>
            <w:tcMar>
              <w:top w:w="100" w:type="dxa"/>
              <w:left w:w="0" w:type="dxa"/>
              <w:bottom w:w="100" w:type="dxa"/>
              <w:right w:w="160" w:type="dxa"/>
            </w:tcMar>
            <w:vAlign w:val="center"/>
          </w:tcPr>
          <w:p w14:paraId="2C8CDD2B">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入市路径</w:t>
            </w:r>
          </w:p>
        </w:tc>
        <w:tc>
          <w:tcPr>
            <w:tcW w:w="2572" w:type="dxa"/>
            <w:tcBorders>
              <w:top w:val="nil"/>
            </w:tcBorders>
            <w:shd w:val="clear"/>
            <w:tcMar>
              <w:top w:w="100" w:type="dxa"/>
              <w:left w:w="160" w:type="dxa"/>
              <w:bottom w:w="100" w:type="dxa"/>
              <w:right w:w="160" w:type="dxa"/>
            </w:tcMar>
            <w:vAlign w:val="center"/>
          </w:tcPr>
          <w:p w14:paraId="7AEA06F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适用条件</w:t>
            </w:r>
          </w:p>
        </w:tc>
        <w:tc>
          <w:tcPr>
            <w:tcW w:w="4014" w:type="dxa"/>
            <w:tcBorders>
              <w:top w:val="nil"/>
            </w:tcBorders>
            <w:shd w:val="clear"/>
            <w:tcMar>
              <w:top w:w="100" w:type="dxa"/>
              <w:left w:w="160" w:type="dxa"/>
              <w:bottom w:w="100" w:type="dxa"/>
              <w:right w:w="160" w:type="dxa"/>
            </w:tcMar>
            <w:vAlign w:val="center"/>
          </w:tcPr>
          <w:p w14:paraId="31600AB5">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收益来源</w:t>
            </w:r>
          </w:p>
        </w:tc>
      </w:tr>
      <w:tr w14:paraId="5FDA0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4" w:type="dxa"/>
            <w:shd w:val="clear"/>
            <w:tcMar>
              <w:top w:w="100" w:type="dxa"/>
              <w:left w:w="0" w:type="dxa"/>
              <w:bottom w:w="100" w:type="dxa"/>
              <w:right w:w="160" w:type="dxa"/>
            </w:tcMar>
            <w:vAlign w:val="center"/>
          </w:tcPr>
          <w:p w14:paraId="4387504E">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峰谷套利（仅储能）</w:t>
            </w:r>
          </w:p>
        </w:tc>
        <w:tc>
          <w:tcPr>
            <w:tcW w:w="2572" w:type="dxa"/>
            <w:shd w:val="clear"/>
            <w:tcMar>
              <w:top w:w="100" w:type="dxa"/>
              <w:left w:w="160" w:type="dxa"/>
              <w:bottom w:w="100" w:type="dxa"/>
              <w:right w:w="160" w:type="dxa"/>
            </w:tcMar>
            <w:vAlign w:val="center"/>
          </w:tcPr>
          <w:p w14:paraId="7F788E9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有储能，电价政策覆盖</w:t>
            </w:r>
          </w:p>
        </w:tc>
        <w:tc>
          <w:tcPr>
            <w:tcW w:w="4014" w:type="dxa"/>
            <w:shd w:val="clear"/>
            <w:tcMar>
              <w:top w:w="100" w:type="dxa"/>
              <w:left w:w="160" w:type="dxa"/>
              <w:bottom w:w="100" w:type="dxa"/>
              <w:right w:w="160" w:type="dxa"/>
            </w:tcMar>
            <w:vAlign w:val="center"/>
          </w:tcPr>
          <w:p w14:paraId="4176074D">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峰谷价差（确定）</w:t>
            </w:r>
          </w:p>
        </w:tc>
      </w:tr>
      <w:tr w14:paraId="36E2C7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4" w:type="dxa"/>
            <w:shd w:val="clear"/>
            <w:tcMar>
              <w:top w:w="100" w:type="dxa"/>
              <w:left w:w="0" w:type="dxa"/>
              <w:bottom w:w="100" w:type="dxa"/>
              <w:right w:w="160" w:type="dxa"/>
            </w:tcMar>
            <w:vAlign w:val="center"/>
          </w:tcPr>
          <w:p w14:paraId="2ACA5AB8">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VPP聚合（储能+负荷）</w:t>
            </w:r>
          </w:p>
        </w:tc>
        <w:tc>
          <w:tcPr>
            <w:tcW w:w="2572" w:type="dxa"/>
            <w:shd w:val="clear"/>
            <w:tcMar>
              <w:top w:w="100" w:type="dxa"/>
              <w:left w:w="160" w:type="dxa"/>
              <w:bottom w:w="100" w:type="dxa"/>
              <w:right w:w="160" w:type="dxa"/>
            </w:tcMar>
            <w:vAlign w:val="center"/>
          </w:tcPr>
          <w:p w14:paraId="4C7F02B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储能&lt;5MW，有可调负荷</w:t>
            </w:r>
          </w:p>
        </w:tc>
        <w:tc>
          <w:tcPr>
            <w:tcW w:w="4014" w:type="dxa"/>
            <w:shd w:val="clear"/>
            <w:tcMar>
              <w:top w:w="100" w:type="dxa"/>
              <w:left w:w="160" w:type="dxa"/>
              <w:bottom w:w="100" w:type="dxa"/>
              <w:right w:w="160" w:type="dxa"/>
            </w:tcMar>
            <w:vAlign w:val="center"/>
          </w:tcPr>
          <w:p w14:paraId="3D3A0B8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峰谷套利+现货交易+需求响应</w:t>
            </w:r>
          </w:p>
        </w:tc>
      </w:tr>
      <w:tr w14:paraId="72905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4" w:type="dxa"/>
            <w:shd w:val="clear"/>
            <w:tcMar>
              <w:top w:w="100" w:type="dxa"/>
              <w:left w:w="0" w:type="dxa"/>
              <w:bottom w:w="100" w:type="dxa"/>
              <w:right w:w="160" w:type="dxa"/>
            </w:tcMar>
            <w:vAlign w:val="center"/>
          </w:tcPr>
          <w:p w14:paraId="535C4E71">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独立储能直接入市</w:t>
            </w:r>
          </w:p>
        </w:tc>
        <w:tc>
          <w:tcPr>
            <w:tcW w:w="2572" w:type="dxa"/>
            <w:shd w:val="clear"/>
            <w:tcMar>
              <w:top w:w="100" w:type="dxa"/>
              <w:left w:w="160" w:type="dxa"/>
              <w:bottom w:w="100" w:type="dxa"/>
              <w:right w:w="160" w:type="dxa"/>
            </w:tcMar>
            <w:vAlign w:val="center"/>
          </w:tcPr>
          <w:p w14:paraId="618D1929">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储能≥5MW</w:t>
            </w:r>
          </w:p>
        </w:tc>
        <w:tc>
          <w:tcPr>
            <w:tcW w:w="4014" w:type="dxa"/>
            <w:shd w:val="clear"/>
            <w:tcMar>
              <w:top w:w="100" w:type="dxa"/>
              <w:left w:w="160" w:type="dxa"/>
              <w:bottom w:w="100" w:type="dxa"/>
              <w:right w:w="160" w:type="dxa"/>
            </w:tcMar>
            <w:vAlign w:val="center"/>
          </w:tcPr>
          <w:p w14:paraId="19C51392">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中长期+现货+辅助服务</w:t>
            </w:r>
          </w:p>
        </w:tc>
      </w:tr>
      <w:tr w14:paraId="46007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174" w:type="dxa"/>
            <w:shd w:val="clear"/>
            <w:tcMar>
              <w:top w:w="100" w:type="dxa"/>
              <w:left w:w="0" w:type="dxa"/>
              <w:bottom w:w="100" w:type="dxa"/>
              <w:right w:w="160" w:type="dxa"/>
            </w:tcMar>
            <w:vAlign w:val="center"/>
          </w:tcPr>
          <w:p w14:paraId="48B651B7">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大用户+储能</w:t>
            </w:r>
          </w:p>
        </w:tc>
        <w:tc>
          <w:tcPr>
            <w:tcW w:w="2572" w:type="dxa"/>
            <w:shd w:val="clear"/>
            <w:tcMar>
              <w:top w:w="100" w:type="dxa"/>
              <w:left w:w="160" w:type="dxa"/>
              <w:bottom w:w="100" w:type="dxa"/>
              <w:right w:w="160" w:type="dxa"/>
            </w:tcMar>
            <w:vAlign w:val="center"/>
          </w:tcPr>
          <w:p w14:paraId="62BCA82C">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年用电≥500万kWh</w:t>
            </w:r>
          </w:p>
        </w:tc>
        <w:tc>
          <w:tcPr>
            <w:tcW w:w="4014" w:type="dxa"/>
            <w:shd w:val="clear"/>
            <w:tcMar>
              <w:top w:w="100" w:type="dxa"/>
              <w:left w:w="160" w:type="dxa"/>
              <w:bottom w:w="100" w:type="dxa"/>
              <w:right w:w="160" w:type="dxa"/>
            </w:tcMar>
            <w:vAlign w:val="center"/>
          </w:tcPr>
          <w:p w14:paraId="6B80A41A">
            <w:pPr>
              <w:keepNext w:val="0"/>
              <w:keepLines w:val="0"/>
              <w:pageBreakBefore w:val="0"/>
              <w:widowControl/>
              <w:suppressLineNumbers w:val="0"/>
              <w:kinsoku/>
              <w:overflowPunct/>
              <w:topLinePunct w:val="0"/>
              <w:autoSpaceDE/>
              <w:autoSpaceDN/>
              <w:bidi w:val="0"/>
              <w:adjustRightInd/>
              <w:snapToGrid/>
              <w:spacing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售电公司代理+VPP聚合双通道</w:t>
            </w:r>
          </w:p>
        </w:tc>
      </w:tr>
    </w:tbl>
    <w:p w14:paraId="5E6F669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7.1 OpenClaw与“微信龙虾”简介</w:t>
      </w:r>
    </w:p>
    <w:p w14:paraId="0E31655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什么是 OpenClaw</w:t>
      </w:r>
      <w:r>
        <w:rPr>
          <w:rFonts w:hint="eastAsia" w:ascii="宋体" w:hAnsi="宋体" w:eastAsia="宋体" w:cs="宋体"/>
          <w:i w:val="0"/>
          <w:iCs w:val="0"/>
          <w:caps w:val="0"/>
          <w:color w:val="0F1115"/>
          <w:spacing w:val="0"/>
          <w:sz w:val="21"/>
          <w:szCs w:val="21"/>
          <w:shd w:val="clear" w:fill="FFFFFF"/>
        </w:rPr>
        <w:t>：OpenClaw 是一个开源的</w:t>
      </w:r>
      <w:r>
        <w:rPr>
          <w:rFonts w:hint="eastAsia" w:ascii="宋体" w:hAnsi="宋体" w:eastAsia="宋体" w:cs="宋体"/>
          <w:b/>
          <w:bCs/>
          <w:i w:val="0"/>
          <w:iCs w:val="0"/>
          <w:caps w:val="0"/>
          <w:color w:val="0F1115"/>
          <w:spacing w:val="0"/>
          <w:sz w:val="21"/>
          <w:szCs w:val="21"/>
          <w:shd w:val="clear" w:fill="FFFFFF"/>
        </w:rPr>
        <w:t>多智能体（Multi-Agent）AI 代理平台</w:t>
      </w:r>
      <w:r>
        <w:rPr>
          <w:rFonts w:hint="eastAsia" w:ascii="宋体" w:hAnsi="宋体" w:eastAsia="宋体" w:cs="宋体"/>
          <w:i w:val="0"/>
          <w:iCs w:val="0"/>
          <w:caps w:val="0"/>
          <w:color w:val="0F1115"/>
          <w:spacing w:val="0"/>
          <w:sz w:val="21"/>
          <w:szCs w:val="21"/>
          <w:shd w:val="clear" w:fill="FFFFFF"/>
        </w:rPr>
        <w:t>，它像一个“AI 操作系统”，可将复杂的任务拆解，交给不同的 AI 智能体（如 Main Agent、Writer Agent、Quality Agent 等）分工协作完成。它本身也是一个连接了 WhatsApp、Telegram、Discord 等多种聊天应用的“自托管网关”。</w:t>
      </w:r>
    </w:p>
    <w:p w14:paraId="7637B2CF">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它和“龙虾”的关系</w:t>
      </w:r>
      <w:r>
        <w:rPr>
          <w:rFonts w:hint="eastAsia" w:ascii="宋体" w:hAnsi="宋体" w:eastAsia="宋体" w:cs="宋体"/>
          <w:i w:val="0"/>
          <w:iCs w:val="0"/>
          <w:caps w:val="0"/>
          <w:color w:val="0F1115"/>
          <w:spacing w:val="0"/>
          <w:sz w:val="21"/>
          <w:szCs w:val="21"/>
          <w:shd w:val="clear" w:fill="FFFFFF"/>
        </w:rPr>
        <w:t>：这个平台被俗称为“龙虾”。“微信龙虾”就是指通过微信上的“ClawBot”插件来与 OpenClaw 平台进行交互的功能。</w:t>
      </w:r>
    </w:p>
    <w:p w14:paraId="7BABAF0A">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为什么了解它</w:t>
      </w:r>
      <w:r>
        <w:rPr>
          <w:rFonts w:hint="eastAsia" w:ascii="宋体" w:hAnsi="宋体" w:eastAsia="宋体" w:cs="宋体"/>
          <w:i w:val="0"/>
          <w:iCs w:val="0"/>
          <w:caps w:val="0"/>
          <w:color w:val="0F1115"/>
          <w:spacing w:val="0"/>
          <w:sz w:val="21"/>
          <w:szCs w:val="21"/>
          <w:shd w:val="clear" w:fill="FFFFFF"/>
        </w:rPr>
        <w:t>：在储能与电力市场的研究中，我们需要处理政策分析、市场数据追踪、模型开发等多线程任务。OpenClaw 的</w:t>
      </w:r>
      <w:r>
        <w:rPr>
          <w:rFonts w:hint="eastAsia" w:ascii="宋体" w:hAnsi="宋体" w:eastAsia="宋体" w:cs="宋体"/>
          <w:b/>
          <w:bCs/>
          <w:i w:val="0"/>
          <w:iCs w:val="0"/>
          <w:caps w:val="0"/>
          <w:color w:val="0F1115"/>
          <w:spacing w:val="0"/>
          <w:sz w:val="21"/>
          <w:szCs w:val="21"/>
          <w:shd w:val="clear" w:fill="FFFFFF"/>
        </w:rPr>
        <w:t>多智能体协作架构</w:t>
      </w:r>
      <w:r>
        <w:rPr>
          <w:rFonts w:hint="eastAsia" w:ascii="宋体" w:hAnsi="宋体" w:eastAsia="宋体" w:cs="宋体"/>
          <w:i w:val="0"/>
          <w:iCs w:val="0"/>
          <w:caps w:val="0"/>
          <w:color w:val="0F1115"/>
          <w:spacing w:val="0"/>
          <w:sz w:val="21"/>
          <w:szCs w:val="21"/>
          <w:shd w:val="clear" w:fill="FFFFFF"/>
        </w:rPr>
        <w:t>与此高度契合，可以尝试用它来打造一个专用的“AI 研究军团”，提升信息处理和项目开发的效率。</w:t>
      </w:r>
    </w:p>
    <w:p w14:paraId="21F2706E">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sz w:val="21"/>
          <w:szCs w:val="21"/>
        </w:rPr>
      </w:pPr>
      <w:r>
        <w:rPr>
          <w:rFonts w:hint="eastAsia" w:ascii="宋体" w:hAnsi="宋体" w:eastAsia="宋体" w:cs="宋体"/>
          <w:b/>
          <w:bCs/>
          <w:caps w:val="0"/>
          <w:color w:val="0F1115"/>
          <w:spacing w:val="0"/>
          <w:sz w:val="21"/>
          <w:szCs w:val="21"/>
          <w:shd w:val="clear" w:fill="FFFFFF"/>
        </w:rPr>
        <w:t>🔌 7.2 学习过程记录</w:t>
      </w:r>
    </w:p>
    <w:p w14:paraId="5FB4AAA9">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了解背景</w:t>
      </w:r>
      <w:r>
        <w:rPr>
          <w:rFonts w:hint="eastAsia" w:ascii="宋体" w:hAnsi="宋体" w:eastAsia="宋体" w:cs="宋体"/>
          <w:i w:val="0"/>
          <w:iCs w:val="0"/>
          <w:caps w:val="0"/>
          <w:color w:val="0F1115"/>
          <w:spacing w:val="0"/>
          <w:sz w:val="21"/>
          <w:szCs w:val="21"/>
          <w:shd w:val="clear" w:fill="FFFFFF"/>
        </w:rPr>
        <w:t>：关注到微信在逐步放开 AI 插件限制。早在 2026 年 3 月，腾讯就为其 QQ 机器人接入了 OpenClaw，随后微信也推出了官方的“ClawBot”插件，支持接入 OpenClaw。</w:t>
      </w:r>
    </w:p>
    <w:p w14:paraId="114EB14C">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初步尝试</w:t>
      </w:r>
      <w:r>
        <w:rPr>
          <w:rFonts w:hint="eastAsia" w:ascii="宋体" w:hAnsi="宋体" w:eastAsia="宋体" w:cs="宋体"/>
          <w:i w:val="0"/>
          <w:iCs w:val="0"/>
          <w:caps w:val="0"/>
          <w:color w:val="0F1115"/>
          <w:spacing w:val="0"/>
          <w:sz w:val="21"/>
          <w:szCs w:val="21"/>
          <w:shd w:val="clear" w:fill="FFFFFF"/>
        </w:rPr>
        <w:t>：通过查阅资料了解了如何利用腾讯云 Lighthouse 等平台一键部署 OpenClaw 应用，并与微信进行连接。它通过“前端无状态+后端智能体”的分离设计，让微信插件主要负责消息收发和格式转换。</w:t>
      </w:r>
    </w:p>
    <w:p w14:paraId="37162F70">
      <w:pPr>
        <w:pStyle w:val="7"/>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ind w:left="0" w:right="0"/>
        <w:textAlignment w:val="auto"/>
        <w:rPr>
          <w:rFonts w:hint="eastAsia" w:ascii="宋体" w:hAnsi="宋体" w:eastAsia="宋体" w:cs="宋体"/>
          <w:sz w:val="21"/>
          <w:szCs w:val="21"/>
        </w:rPr>
      </w:pPr>
      <w:r>
        <w:rPr>
          <w:rFonts w:hint="eastAsia" w:ascii="宋体" w:hAnsi="宋体" w:eastAsia="宋体" w:cs="宋体"/>
          <w:b/>
          <w:bCs/>
          <w:i w:val="0"/>
          <w:iCs w:val="0"/>
          <w:caps w:val="0"/>
          <w:color w:val="0F1115"/>
          <w:spacing w:val="0"/>
          <w:sz w:val="21"/>
          <w:szCs w:val="21"/>
          <w:shd w:val="clear" w:fill="FFFFFF"/>
        </w:rPr>
        <w:t>项目相关性测试</w:t>
      </w:r>
      <w:r>
        <w:rPr>
          <w:rFonts w:hint="eastAsia" w:ascii="宋体" w:hAnsi="宋体" w:eastAsia="宋体" w:cs="宋体"/>
          <w:i w:val="0"/>
          <w:iCs w:val="0"/>
          <w:caps w:val="0"/>
          <w:color w:val="0F1115"/>
          <w:spacing w:val="0"/>
          <w:sz w:val="21"/>
          <w:szCs w:val="21"/>
          <w:shd w:val="clear" w:fill="FFFFFF"/>
        </w:rPr>
        <w:t>：在试用过程中，我发现它可以被用来</w:t>
      </w:r>
      <w:r>
        <w:rPr>
          <w:rFonts w:hint="eastAsia" w:ascii="宋体" w:hAnsi="宋体" w:eastAsia="宋体" w:cs="宋体"/>
          <w:b/>
          <w:bCs/>
          <w:i w:val="0"/>
          <w:iCs w:val="0"/>
          <w:caps w:val="0"/>
          <w:color w:val="0F1115"/>
          <w:spacing w:val="0"/>
          <w:sz w:val="21"/>
          <w:szCs w:val="21"/>
          <w:shd w:val="clear" w:fill="FFFFFF"/>
        </w:rPr>
        <w:t>模拟我们之前的“行为感知”模型中用户的“有限理性”决策过程</w:t>
      </w:r>
      <w:r>
        <w:rPr>
          <w:rFonts w:hint="eastAsia" w:ascii="宋体" w:hAnsi="宋体" w:eastAsia="宋体" w:cs="宋体"/>
          <w:i w:val="0"/>
          <w:iCs w:val="0"/>
          <w:caps w:val="0"/>
          <w:color w:val="0F1115"/>
          <w:spacing w:val="0"/>
          <w:sz w:val="21"/>
          <w:szCs w:val="21"/>
          <w:shd w:val="clear" w:fill="FFFFFF"/>
        </w:rPr>
        <w:t>。同时，微信插件“收发文件、视频、语音”的强大多媒体消息能力，为远程监控和指令下达提供了丰富的交互方式。</w:t>
      </w:r>
    </w:p>
    <w:p w14:paraId="518C47AD">
      <w:pPr>
        <w:pStyle w:val="4"/>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00" w:lineRule="auto"/>
        <w:ind w:left="0" w:right="0" w:firstLine="0"/>
        <w:textAlignment w:val="auto"/>
        <w:rPr>
          <w:rFonts w:hint="eastAsia" w:ascii="宋体" w:hAnsi="宋体" w:eastAsia="宋体" w:cs="宋体"/>
          <w:b/>
          <w:bCs/>
          <w:caps w:val="0"/>
          <w:color w:val="0F1115"/>
          <w:spacing w:val="0"/>
          <w:sz w:val="21"/>
          <w:szCs w:val="21"/>
        </w:rPr>
      </w:pPr>
      <w:r>
        <w:rPr>
          <w:rFonts w:hint="eastAsia" w:ascii="宋体" w:hAnsi="宋体" w:eastAsia="宋体" w:cs="宋体"/>
          <w:b/>
          <w:bCs/>
          <w:caps w:val="0"/>
          <w:color w:val="0F1115"/>
          <w:spacing w:val="0"/>
          <w:sz w:val="21"/>
          <w:szCs w:val="21"/>
          <w:shd w:val="clear" w:fill="FFFFFF"/>
        </w:rPr>
        <w:t>🧠 7.3 对现有技术方案的潜在助益</w:t>
      </w:r>
    </w:p>
    <w:p w14:paraId="43721A8D">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通过试用和思考，我认为 OpenClaw 这种多智能体协同模式，可以为我们的核心技术方案带来以下提升：</w:t>
      </w:r>
    </w:p>
    <w:tbl>
      <w:tblPr>
        <w:tblW w:w="848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788"/>
        <w:gridCol w:w="3800"/>
        <w:gridCol w:w="2893"/>
      </w:tblGrid>
      <w:tr w14:paraId="444DD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788" w:type="dxa"/>
            <w:tcBorders>
              <w:top w:val="nil"/>
            </w:tcBorders>
            <w:shd w:val="clear"/>
            <w:tcMar>
              <w:top w:w="100" w:type="dxa"/>
              <w:left w:w="0" w:type="dxa"/>
              <w:bottom w:w="100" w:type="dxa"/>
              <w:right w:w="160" w:type="dxa"/>
            </w:tcMar>
            <w:vAlign w:val="center"/>
          </w:tcPr>
          <w:p w14:paraId="546041BF">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技术方案模块</w:t>
            </w:r>
          </w:p>
        </w:tc>
        <w:tc>
          <w:tcPr>
            <w:tcW w:w="3800" w:type="dxa"/>
            <w:tcBorders>
              <w:top w:val="nil"/>
            </w:tcBorders>
            <w:shd w:val="clear"/>
            <w:tcMar>
              <w:top w:w="100" w:type="dxa"/>
              <w:left w:w="160" w:type="dxa"/>
              <w:bottom w:w="100" w:type="dxa"/>
              <w:right w:w="160" w:type="dxa"/>
            </w:tcMar>
            <w:vAlign w:val="center"/>
          </w:tcPr>
          <w:p w14:paraId="35AB80B2">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OpenClaw 的潜在助益</w:t>
            </w:r>
          </w:p>
        </w:tc>
        <w:tc>
          <w:tcPr>
            <w:tcW w:w="2893" w:type="dxa"/>
            <w:tcBorders>
              <w:top w:val="nil"/>
            </w:tcBorders>
            <w:shd w:val="clear"/>
            <w:tcMar>
              <w:top w:w="100" w:type="dxa"/>
              <w:left w:w="160" w:type="dxa"/>
              <w:bottom w:w="100" w:type="dxa"/>
              <w:right w:w="160" w:type="dxa"/>
            </w:tcMar>
            <w:vAlign w:val="center"/>
          </w:tcPr>
          <w:p w14:paraId="56E307D3">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应用场景设想</w:t>
            </w:r>
          </w:p>
        </w:tc>
      </w:tr>
      <w:tr w14:paraId="4F533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471C8F5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行为感知层</w:t>
            </w:r>
            <w:r>
              <w:rPr>
                <w:rFonts w:hint="eastAsia" w:ascii="宋体" w:hAnsi="宋体" w:eastAsia="宋体" w:cs="宋体"/>
                <w:kern w:val="0"/>
                <w:sz w:val="21"/>
                <w:szCs w:val="21"/>
                <w:bdr w:val="none" w:color="auto" w:sz="0" w:space="0"/>
                <w:lang w:val="en-US" w:eastAsia="zh-CN" w:bidi="ar"/>
              </w:rPr>
              <w:br w:type="textWrapping"/>
            </w:r>
            <w:r>
              <w:rPr>
                <w:rFonts w:hint="eastAsia" w:ascii="宋体" w:hAnsi="宋体" w:eastAsia="宋体" w:cs="宋体"/>
                <w:kern w:val="0"/>
                <w:sz w:val="21"/>
                <w:szCs w:val="21"/>
                <w:bdr w:val="none" w:color="auto" w:sz="0" w:space="0"/>
                <w:lang w:val="en-US" w:eastAsia="zh-CN" w:bidi="ar"/>
              </w:rPr>
              <w:t>(前景理论建模)</w:t>
            </w:r>
          </w:p>
        </w:tc>
        <w:tc>
          <w:tcPr>
            <w:tcW w:w="3800" w:type="dxa"/>
            <w:shd w:val="clear"/>
            <w:tcMar>
              <w:top w:w="100" w:type="dxa"/>
              <w:left w:w="160" w:type="dxa"/>
              <w:bottom w:w="100" w:type="dxa"/>
              <w:right w:w="160" w:type="dxa"/>
            </w:tcMar>
            <w:vAlign w:val="center"/>
          </w:tcPr>
          <w:p w14:paraId="18B3329C">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可创建多个具有不同“风险偏好”(如损失厌恶系数λ)的智能体来</w:t>
            </w:r>
            <w:r>
              <w:rPr>
                <w:rFonts w:hint="eastAsia" w:ascii="宋体" w:hAnsi="宋体" w:eastAsia="宋体" w:cs="宋体"/>
                <w:b/>
                <w:bCs/>
                <w:kern w:val="0"/>
                <w:sz w:val="21"/>
                <w:szCs w:val="21"/>
                <w:bdr w:val="none" w:color="auto" w:sz="0" w:space="0"/>
                <w:lang w:val="en-US" w:eastAsia="zh-CN" w:bidi="ar"/>
              </w:rPr>
              <w:t>模拟不同类型的电力用户</w:t>
            </w:r>
            <w:r>
              <w:rPr>
                <w:rFonts w:hint="eastAsia" w:ascii="宋体" w:hAnsi="宋体" w:eastAsia="宋体" w:cs="宋体"/>
                <w:kern w:val="0"/>
                <w:sz w:val="21"/>
                <w:szCs w:val="21"/>
                <w:bdr w:val="none" w:color="auto" w:sz="0" w:space="0"/>
                <w:lang w:val="en-US" w:eastAsia="zh-CN" w:bidi="ar"/>
              </w:rPr>
              <w:t>。通过它们在模拟电价下的决策，更高效地校准和验证前景理论模型的参数。</w:t>
            </w:r>
          </w:p>
        </w:tc>
        <w:tc>
          <w:tcPr>
            <w:tcW w:w="2893" w:type="dxa"/>
            <w:shd w:val="clear"/>
            <w:tcMar>
              <w:top w:w="100" w:type="dxa"/>
              <w:left w:w="160" w:type="dxa"/>
              <w:bottom w:w="100" w:type="dxa"/>
              <w:right w:w="0" w:type="dxa"/>
            </w:tcMar>
            <w:vAlign w:val="center"/>
          </w:tcPr>
          <w:p w14:paraId="31E89648">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创建一个“激进型用户Agent”和一个“保守型用户Agent”，观察它们在现货电价波动时的虚拟响应。</w:t>
            </w:r>
          </w:p>
        </w:tc>
      </w:tr>
      <w:tr w14:paraId="1B3D4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497D976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不确定性量化层</w:t>
            </w:r>
            <w:r>
              <w:rPr>
                <w:rFonts w:hint="eastAsia" w:ascii="宋体" w:hAnsi="宋体" w:eastAsia="宋体" w:cs="宋体"/>
                <w:kern w:val="0"/>
                <w:sz w:val="21"/>
                <w:szCs w:val="21"/>
                <w:bdr w:val="none" w:color="auto" w:sz="0" w:space="0"/>
                <w:lang w:val="en-US" w:eastAsia="zh-CN" w:bidi="ar"/>
              </w:rPr>
              <w:br w:type="textWrapping"/>
            </w:r>
            <w:r>
              <w:rPr>
                <w:rFonts w:hint="eastAsia" w:ascii="宋体" w:hAnsi="宋体" w:eastAsia="宋体" w:cs="宋体"/>
                <w:kern w:val="0"/>
                <w:sz w:val="21"/>
                <w:szCs w:val="21"/>
                <w:bdr w:val="none" w:color="auto" w:sz="0" w:space="0"/>
                <w:lang w:val="en-US" w:eastAsia="zh-CN" w:bidi="ar"/>
              </w:rPr>
              <w:t>(共形预测)</w:t>
            </w:r>
          </w:p>
        </w:tc>
        <w:tc>
          <w:tcPr>
            <w:tcW w:w="3800" w:type="dxa"/>
            <w:shd w:val="clear"/>
            <w:tcMar>
              <w:top w:w="100" w:type="dxa"/>
              <w:left w:w="160" w:type="dxa"/>
              <w:bottom w:w="100" w:type="dxa"/>
              <w:right w:w="160" w:type="dxa"/>
            </w:tcMar>
            <w:vAlign w:val="center"/>
          </w:tcPr>
          <w:p w14:paraId="0B40A934">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利用 OpenClaw 的 </w:t>
            </w:r>
            <w:r>
              <w:rPr>
                <w:rFonts w:hint="eastAsia" w:ascii="宋体" w:hAnsi="宋体" w:eastAsia="宋体" w:cs="宋体"/>
                <w:b/>
                <w:bCs/>
                <w:kern w:val="0"/>
                <w:sz w:val="21"/>
                <w:szCs w:val="21"/>
                <w:bdr w:val="none" w:color="auto" w:sz="0" w:space="0"/>
                <w:lang w:val="en-US" w:eastAsia="zh-CN" w:bidi="ar"/>
              </w:rPr>
              <w:t>Tools 机制直接调用 Python 科学计算库</w:t>
            </w:r>
            <w:r>
              <w:rPr>
                <w:rFonts w:hint="eastAsia" w:ascii="宋体" w:hAnsi="宋体" w:eastAsia="宋体" w:cs="宋体"/>
                <w:kern w:val="0"/>
                <w:sz w:val="21"/>
                <w:szCs w:val="21"/>
                <w:bdr w:val="none" w:color="auto" w:sz="0" w:space="0"/>
                <w:lang w:val="en-US" w:eastAsia="zh-CN" w:bidi="ar"/>
              </w:rPr>
              <w:t>，实现共形预测模型的自动重训练、在线更新与推理。</w:t>
            </w:r>
          </w:p>
        </w:tc>
        <w:tc>
          <w:tcPr>
            <w:tcW w:w="2893" w:type="dxa"/>
            <w:shd w:val="clear"/>
            <w:tcMar>
              <w:top w:w="100" w:type="dxa"/>
              <w:left w:w="160" w:type="dxa"/>
              <w:bottom w:w="100" w:type="dxa"/>
              <w:right w:w="0" w:type="dxa"/>
            </w:tcMar>
            <w:vAlign w:val="center"/>
          </w:tcPr>
          <w:p w14:paraId="18F5C4A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创建一个“预测Agent”，每天凌晨自动拉取最新气象和电价数据，更新预测模型，并将结果推送到微信。</w:t>
            </w:r>
          </w:p>
        </w:tc>
      </w:tr>
      <w:tr w14:paraId="37C08D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88" w:type="dxa"/>
            <w:shd w:val="clear"/>
            <w:tcMar>
              <w:top w:w="100" w:type="dxa"/>
              <w:left w:w="0" w:type="dxa"/>
              <w:bottom w:w="100" w:type="dxa"/>
              <w:right w:w="160" w:type="dxa"/>
            </w:tcMar>
            <w:vAlign w:val="center"/>
          </w:tcPr>
          <w:p w14:paraId="53DF24A7">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滚动优化层</w:t>
            </w:r>
            <w:r>
              <w:rPr>
                <w:rFonts w:hint="eastAsia" w:ascii="宋体" w:hAnsi="宋体" w:eastAsia="宋体" w:cs="宋体"/>
                <w:kern w:val="0"/>
                <w:sz w:val="21"/>
                <w:szCs w:val="21"/>
                <w:bdr w:val="none" w:color="auto" w:sz="0" w:space="0"/>
                <w:lang w:val="en-US" w:eastAsia="zh-CN" w:bidi="ar"/>
              </w:rPr>
              <w:br w:type="textWrapping"/>
            </w:r>
            <w:r>
              <w:rPr>
                <w:rFonts w:hint="eastAsia" w:ascii="宋体" w:hAnsi="宋体" w:eastAsia="宋体" w:cs="宋体"/>
                <w:kern w:val="0"/>
                <w:sz w:val="21"/>
                <w:szCs w:val="21"/>
                <w:bdr w:val="none" w:color="auto" w:sz="0" w:space="0"/>
                <w:lang w:val="en-US" w:eastAsia="zh-CN" w:bidi="ar"/>
              </w:rPr>
              <w:t>(MPC+MILP)</w:t>
            </w:r>
          </w:p>
        </w:tc>
        <w:tc>
          <w:tcPr>
            <w:tcW w:w="3800" w:type="dxa"/>
            <w:shd w:val="clear"/>
            <w:tcMar>
              <w:top w:w="100" w:type="dxa"/>
              <w:left w:w="160" w:type="dxa"/>
              <w:bottom w:w="100" w:type="dxa"/>
              <w:right w:w="160" w:type="dxa"/>
            </w:tcMar>
            <w:vAlign w:val="center"/>
          </w:tcPr>
          <w:p w14:paraId="2CB3B42E">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b/>
                <w:bCs/>
                <w:kern w:val="0"/>
                <w:sz w:val="21"/>
                <w:szCs w:val="21"/>
                <w:bdr w:val="none" w:color="auto" w:sz="0" w:space="0"/>
                <w:lang w:val="en-US" w:eastAsia="zh-CN" w:bidi="ar"/>
              </w:rPr>
              <w:t>Channels 多通道特性</w:t>
            </w:r>
            <w:r>
              <w:rPr>
                <w:rFonts w:hint="eastAsia" w:ascii="宋体" w:hAnsi="宋体" w:eastAsia="宋体" w:cs="宋体"/>
                <w:kern w:val="0"/>
                <w:sz w:val="21"/>
                <w:szCs w:val="21"/>
                <w:bdr w:val="none" w:color="auto" w:sz="0" w:space="0"/>
                <w:lang w:val="en-US" w:eastAsia="zh-CN" w:bidi="ar"/>
              </w:rPr>
              <w:t>可将不同来源（如电价数据、设备状态）的消息路由至不同的处理智能体，最后汇总给“决策Agent”进行统一调度。</w:t>
            </w:r>
          </w:p>
        </w:tc>
        <w:tc>
          <w:tcPr>
            <w:tcW w:w="2893" w:type="dxa"/>
            <w:shd w:val="clear"/>
            <w:tcMar>
              <w:top w:w="100" w:type="dxa"/>
              <w:left w:w="160" w:type="dxa"/>
              <w:bottom w:w="100" w:type="dxa"/>
              <w:right w:w="0" w:type="dxa"/>
            </w:tcMar>
            <w:vAlign w:val="center"/>
          </w:tcPr>
          <w:p w14:paraId="2CD6A9A5">
            <w:pPr>
              <w:keepNext w:val="0"/>
              <w:keepLines w:val="0"/>
              <w:pageBreakBefore w:val="0"/>
              <w:widowControl/>
              <w:suppressLineNumbers w:val="0"/>
              <w:kinsoku/>
              <w:wordWrap/>
              <w:overflowPunct/>
              <w:topLinePunct w:val="0"/>
              <w:autoSpaceDE/>
              <w:autoSpaceDN/>
              <w:bidi w:val="0"/>
              <w:adjustRightInd/>
              <w:snapToGrid/>
              <w:spacing w:beforeAutospacing="0" w:afterAutospacing="0" w:line="300" w:lineRule="auto"/>
              <w:jc w:val="center"/>
              <w:textAlignment w:val="auto"/>
              <w:rPr>
                <w:rFonts w:hint="eastAsia" w:ascii="宋体" w:hAnsi="宋体" w:eastAsia="宋体" w:cs="宋体"/>
                <w:sz w:val="21"/>
                <w:szCs w:val="21"/>
              </w:rPr>
            </w:pPr>
            <w:r>
              <w:rPr>
                <w:rFonts w:hint="eastAsia" w:ascii="宋体" w:hAnsi="宋体" w:eastAsia="宋体" w:cs="宋体"/>
                <w:kern w:val="0"/>
                <w:sz w:val="21"/>
                <w:szCs w:val="21"/>
                <w:bdr w:val="none" w:color="auto" w:sz="0" w:space="0"/>
                <w:lang w:val="en-US" w:eastAsia="zh-CN" w:bidi="ar"/>
              </w:rPr>
              <w:t>“决策Agent”综合所有信息后，通过微信下达储能充放电指令，或发送日报至工作群。</w:t>
            </w:r>
          </w:p>
        </w:tc>
      </w:tr>
    </w:tbl>
    <w:p w14:paraId="74F83A61">
      <w:pPr>
        <w:pStyle w:val="7"/>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300" w:lineRule="auto"/>
        <w:ind w:left="0" w:right="0" w:firstLine="0"/>
        <w:textAlignment w:val="auto"/>
        <w:rPr>
          <w:rFonts w:hint="eastAsia" w:ascii="宋体" w:hAnsi="宋体" w:eastAsia="宋体" w:cs="宋体"/>
          <w:i w:val="0"/>
          <w:iCs w:val="0"/>
          <w:caps w:val="0"/>
          <w:color w:val="0F1115"/>
          <w:spacing w:val="0"/>
          <w:sz w:val="21"/>
          <w:szCs w:val="21"/>
        </w:rPr>
      </w:pPr>
      <w:r>
        <w:rPr>
          <w:rFonts w:hint="eastAsia" w:ascii="宋体" w:hAnsi="宋体" w:eastAsia="宋体" w:cs="宋体"/>
          <w:i w:val="0"/>
          <w:iCs w:val="0"/>
          <w:caps w:val="0"/>
          <w:color w:val="0F1115"/>
          <w:spacing w:val="0"/>
          <w:sz w:val="21"/>
          <w:szCs w:val="21"/>
          <w:shd w:val="clear" w:fill="FFFFFF"/>
        </w:rPr>
        <w:t>通过对 OpenClaw 的探索，我们看到了</w:t>
      </w:r>
      <w:r>
        <w:rPr>
          <w:rFonts w:hint="eastAsia" w:ascii="宋体" w:hAnsi="宋体" w:eastAsia="宋体" w:cs="宋体"/>
          <w:b/>
          <w:bCs/>
          <w:i w:val="0"/>
          <w:iCs w:val="0"/>
          <w:caps w:val="0"/>
          <w:color w:val="0F1115"/>
          <w:spacing w:val="0"/>
          <w:sz w:val="21"/>
          <w:szCs w:val="21"/>
          <w:shd w:val="clear" w:fill="FFFFFF"/>
        </w:rPr>
        <w:t>将复杂 AI 工作流产品化、集成到日常沟通场景</w:t>
      </w:r>
      <w:r>
        <w:rPr>
          <w:rFonts w:hint="eastAsia" w:ascii="宋体" w:hAnsi="宋体" w:eastAsia="宋体" w:cs="宋体"/>
          <w:i w:val="0"/>
          <w:iCs w:val="0"/>
          <w:caps w:val="0"/>
          <w:color w:val="0F1115"/>
          <w:spacing w:val="0"/>
          <w:sz w:val="21"/>
          <w:szCs w:val="21"/>
          <w:shd w:val="clear" w:fill="FFFFFF"/>
        </w:rPr>
        <w:t>的可能性。虽然将其直接用于核心电力交易还需严谨验证，但它作为一个提升研究效率和组织效率的辅助工具，潜力巨大。</w:t>
      </w:r>
    </w:p>
    <w:p w14:paraId="41C702FF">
      <w:pPr>
        <w:keepNext w:val="0"/>
        <w:keepLines w:val="0"/>
        <w:pageBreakBefore w:val="0"/>
        <w:kinsoku/>
        <w:wordWrap/>
        <w:overflowPunct/>
        <w:topLinePunct w:val="0"/>
        <w:autoSpaceDE/>
        <w:autoSpaceDN/>
        <w:bidi w:val="0"/>
        <w:adjustRightInd/>
        <w:snapToGrid/>
        <w:spacing w:beforeAutospacing="0" w:afterAutospacing="0" w:line="300" w:lineRule="auto"/>
        <w:textAlignment w:val="auto"/>
        <w:rPr>
          <w:rFonts w:hint="eastAsia" w:ascii="宋体" w:hAnsi="宋体" w:eastAsia="宋体" w:cs="宋体"/>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9CB4CD3"/>
    <w:rsid w:val="0DD217DB"/>
    <w:rsid w:val="18A3747F"/>
    <w:rsid w:val="27455C6D"/>
    <w:rsid w:val="3C0B71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rPr>
      <w:sz w:val="24"/>
    </w:rPr>
  </w:style>
  <w:style w:type="character" w:styleId="10">
    <w:name w:val="Hyperlink"/>
    <w:basedOn w:val="9"/>
    <w:uiPriority w:val="0"/>
    <w:rPr>
      <w:color w:val="0000FF"/>
      <w:u w:val="single"/>
    </w:rPr>
  </w:style>
  <w:style w:type="character" w:customStyle="1" w:styleId="11">
    <w:name w:val="标题 4 Char"/>
    <w:link w:val="5"/>
    <w:uiPriority w:val="0"/>
    <w:rPr>
      <w:rFonts w:hint="eastAsia" w:ascii="宋体" w:hAnsi="宋体" w:eastAsia="宋体" w:cs="宋体"/>
      <w:b/>
      <w:bCs/>
      <w:kern w:val="0"/>
      <w:sz w:val="24"/>
      <w:szCs w:val="24"/>
      <w:lang w:val="en-US" w:eastAsia="zh-CN" w:bidi="ar"/>
    </w:rPr>
  </w:style>
  <w:style w:type="character" w:customStyle="1" w:styleId="12">
    <w:name w:val="标题 1 Char"/>
    <w:link w:val="2"/>
    <w:uiPriority w:val="0"/>
    <w:rPr>
      <w:b/>
      <w:kern w:val="44"/>
      <w:sz w:val="4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2026-05-18T13:46:28Z</dcterms:created>
  <dc:creator>ASUS</dc:creator>
  <cp:lastModifiedBy>35号王嘉豪</cp:lastModifiedBy>
  <dcterms:modified xsi:type="dcterms:W3CDTF">2026-05-18T14:58:07Z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eyJoZGlkIjoiZGMyNDNmZmU0YmNiMDM1NjMxODNhMGU4NThhYTNiOWUiLCJ1c2VySWQiOiIxMjYwMzQ2ODYwIn0=</vt:lpwstr>
  </property>
  <property fmtid="{D5CDD505-2E9C-101B-9397-08002B2CF9AE}" pid="4" name="ICV">
    <vt:lpwstr>1026666919D74ADF91FA09BEA3726287_12</vt:lpwstr>
  </property>
</Properties>
</file>