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7C041">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一、开会</w:t>
      </w:r>
      <w:r>
        <w:rPr>
          <w:rFonts w:hint="eastAsia" w:cs="宋体"/>
          <w:b/>
          <w:bCs/>
          <w:caps w:val="0"/>
          <w:color w:val="0F1115"/>
          <w:spacing w:val="0"/>
          <w:sz w:val="21"/>
          <w:szCs w:val="21"/>
          <w:shd w:val="clear" w:fill="FFFFFF"/>
          <w:lang w:val="en-US" w:eastAsia="zh-CN"/>
        </w:rPr>
        <w:t>后要思考的</w:t>
      </w:r>
      <w:r>
        <w:rPr>
          <w:rFonts w:hint="eastAsia" w:ascii="宋体" w:hAnsi="宋体" w:eastAsia="宋体" w:cs="宋体"/>
          <w:b/>
          <w:bCs/>
          <w:caps w:val="0"/>
          <w:color w:val="0F1115"/>
          <w:spacing w:val="0"/>
          <w:sz w:val="21"/>
          <w:szCs w:val="21"/>
          <w:shd w:val="clear" w:fill="FFFFFF"/>
        </w:rPr>
        <w:t>核心问题</w:t>
      </w:r>
    </w:p>
    <w:p w14:paraId="252F06E3">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ind w:left="0" w:right="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lang w:val="en-US" w:eastAsia="zh-CN"/>
        </w:rPr>
        <w:t>我</w:t>
      </w:r>
      <w:r>
        <w:rPr>
          <w:rFonts w:hint="eastAsia" w:ascii="宋体" w:hAnsi="宋体" w:eastAsia="宋体" w:cs="宋体"/>
          <w:i w:val="0"/>
          <w:iCs w:val="0"/>
          <w:caps w:val="0"/>
          <w:color w:val="0F1115"/>
          <w:spacing w:val="0"/>
          <w:sz w:val="21"/>
          <w:szCs w:val="21"/>
          <w:shd w:val="clear" w:fill="FFFFFF"/>
        </w:rPr>
        <w:t>最初设想的LSTM+深度强化学习（DRL）方向，以团队现有条件能否实现？</w:t>
      </w:r>
    </w:p>
    <w:p w14:paraId="03EA59BE">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ind w:left="0" w:right="0"/>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这个想法别人做的怎么样？</w:t>
      </w:r>
    </w:p>
    <w:p w14:paraId="7E49DEB0">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如果不可行，应该向哪个方向调整？</w:t>
      </w:r>
    </w:p>
    <w:p w14:paraId="371A1008">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调整后的方向如何验证？需要什么工具和数据？</w:t>
      </w:r>
    </w:p>
    <w:p w14:paraId="2A952A87">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二、讨论结论</w:t>
      </w:r>
    </w:p>
    <w:p w14:paraId="6001C3B4">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2.1 关于原方案：决定放弃DRL方向</w:t>
      </w:r>
    </w:p>
    <w:p w14:paraId="6AB1AD49">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经</w:t>
      </w:r>
      <w:r>
        <w:rPr>
          <w:rFonts w:hint="eastAsia" w:ascii="宋体" w:hAnsi="宋体" w:eastAsia="宋体" w:cs="宋体"/>
          <w:i w:val="0"/>
          <w:iCs w:val="0"/>
          <w:caps w:val="0"/>
          <w:color w:val="0F1115"/>
          <w:spacing w:val="0"/>
          <w:sz w:val="21"/>
          <w:szCs w:val="21"/>
          <w:shd w:val="clear" w:fill="FFFFFF"/>
          <w:lang w:val="en-US" w:eastAsia="zh-CN"/>
        </w:rPr>
        <w:t>思考</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我</w:t>
      </w:r>
      <w:r>
        <w:rPr>
          <w:rFonts w:hint="eastAsia" w:ascii="宋体" w:hAnsi="宋体" w:eastAsia="宋体" w:cs="宋体"/>
          <w:i w:val="0"/>
          <w:iCs w:val="0"/>
          <w:caps w:val="0"/>
          <w:color w:val="0F1115"/>
          <w:spacing w:val="0"/>
          <w:sz w:val="21"/>
          <w:szCs w:val="21"/>
          <w:shd w:val="clear" w:fill="FFFFFF"/>
        </w:rPr>
        <w:t>认为原计划存在以下现实困难：</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3"/>
        <w:gridCol w:w="6307"/>
      </w:tblGrid>
      <w:tr w14:paraId="22A59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13" w:type="dxa"/>
            <w:tcBorders>
              <w:top w:val="nil"/>
            </w:tcBorders>
            <w:shd w:val="clear"/>
            <w:tcMar>
              <w:top w:w="100" w:type="dxa"/>
              <w:left w:w="0" w:type="dxa"/>
              <w:bottom w:w="100" w:type="dxa"/>
              <w:right w:w="160" w:type="dxa"/>
            </w:tcMar>
            <w:vAlign w:val="center"/>
          </w:tcPr>
          <w:p w14:paraId="0FC34B2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问题</w:t>
            </w:r>
          </w:p>
        </w:tc>
        <w:tc>
          <w:tcPr>
            <w:tcW w:w="6307" w:type="dxa"/>
            <w:tcBorders>
              <w:top w:val="nil"/>
            </w:tcBorders>
            <w:shd w:val="clear"/>
            <w:tcMar>
              <w:top w:w="100" w:type="dxa"/>
              <w:left w:w="160" w:type="dxa"/>
              <w:bottom w:w="100" w:type="dxa"/>
              <w:right w:w="160" w:type="dxa"/>
            </w:tcMar>
            <w:vAlign w:val="center"/>
          </w:tcPr>
          <w:p w14:paraId="5DD5630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具体说明</w:t>
            </w:r>
          </w:p>
        </w:tc>
      </w:tr>
      <w:tr w14:paraId="65A57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3" w:type="dxa"/>
            <w:shd w:val="clear"/>
            <w:tcMar>
              <w:top w:w="100" w:type="dxa"/>
              <w:left w:w="0" w:type="dxa"/>
              <w:bottom w:w="100" w:type="dxa"/>
              <w:right w:w="160" w:type="dxa"/>
            </w:tcMar>
            <w:vAlign w:val="center"/>
          </w:tcPr>
          <w:p w14:paraId="53686DF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学习门槛高</w:t>
            </w:r>
          </w:p>
        </w:tc>
        <w:tc>
          <w:tcPr>
            <w:tcW w:w="6307" w:type="dxa"/>
            <w:shd w:val="clear"/>
            <w:tcMar>
              <w:top w:w="100" w:type="dxa"/>
              <w:left w:w="160" w:type="dxa"/>
              <w:bottom w:w="100" w:type="dxa"/>
              <w:right w:w="0" w:type="dxa"/>
            </w:tcMar>
            <w:vAlign w:val="center"/>
          </w:tcPr>
          <w:p w14:paraId="15C2E10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DRL需要理解MDP、策略网络、经验回放等概念，零基础团队至少需2-3个月入门</w:t>
            </w:r>
          </w:p>
        </w:tc>
      </w:tr>
      <w:tr w14:paraId="21868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3" w:type="dxa"/>
            <w:shd w:val="clear"/>
            <w:tcMar>
              <w:top w:w="100" w:type="dxa"/>
              <w:left w:w="0" w:type="dxa"/>
              <w:bottom w:w="100" w:type="dxa"/>
              <w:right w:w="160" w:type="dxa"/>
            </w:tcMar>
            <w:vAlign w:val="center"/>
          </w:tcPr>
          <w:p w14:paraId="2498353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训练不稳定</w:t>
            </w:r>
          </w:p>
        </w:tc>
        <w:tc>
          <w:tcPr>
            <w:tcW w:w="6307" w:type="dxa"/>
            <w:shd w:val="clear"/>
            <w:tcMar>
              <w:top w:w="100" w:type="dxa"/>
              <w:left w:w="160" w:type="dxa"/>
              <w:bottom w:w="100" w:type="dxa"/>
              <w:right w:w="0" w:type="dxa"/>
            </w:tcMar>
            <w:vAlign w:val="center"/>
          </w:tcPr>
          <w:p w14:paraId="01D1524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调参依赖经验，我们缺乏相关经验，可能投入大量时间仍难收敛</w:t>
            </w:r>
          </w:p>
        </w:tc>
      </w:tr>
      <w:tr w14:paraId="3B667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3" w:type="dxa"/>
            <w:shd w:val="clear"/>
            <w:tcMar>
              <w:top w:w="100" w:type="dxa"/>
              <w:left w:w="0" w:type="dxa"/>
              <w:bottom w:w="100" w:type="dxa"/>
              <w:right w:w="160" w:type="dxa"/>
            </w:tcMar>
            <w:vAlign w:val="center"/>
          </w:tcPr>
          <w:p w14:paraId="6F6DE32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算力不足</w:t>
            </w:r>
          </w:p>
        </w:tc>
        <w:tc>
          <w:tcPr>
            <w:tcW w:w="6307" w:type="dxa"/>
            <w:shd w:val="clear"/>
            <w:tcMar>
              <w:top w:w="100" w:type="dxa"/>
              <w:left w:w="160" w:type="dxa"/>
              <w:bottom w:w="100" w:type="dxa"/>
              <w:right w:w="0" w:type="dxa"/>
            </w:tcMar>
            <w:vAlign w:val="center"/>
          </w:tcPr>
          <w:p w14:paraId="7EC8E5E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普通笔记本无法满足DRL训练需求</w:t>
            </w:r>
          </w:p>
        </w:tc>
      </w:tr>
      <w:tr w14:paraId="28819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3" w:type="dxa"/>
            <w:shd w:val="clear"/>
            <w:tcMar>
              <w:top w:w="100" w:type="dxa"/>
              <w:left w:w="0" w:type="dxa"/>
              <w:bottom w:w="100" w:type="dxa"/>
              <w:right w:w="160" w:type="dxa"/>
            </w:tcMar>
            <w:vAlign w:val="center"/>
          </w:tcPr>
          <w:p w14:paraId="5D7B186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可解释性弱</w:t>
            </w:r>
          </w:p>
        </w:tc>
        <w:tc>
          <w:tcPr>
            <w:tcW w:w="6307" w:type="dxa"/>
            <w:shd w:val="clear"/>
            <w:tcMar>
              <w:top w:w="100" w:type="dxa"/>
              <w:left w:w="160" w:type="dxa"/>
              <w:bottom w:w="100" w:type="dxa"/>
              <w:right w:w="0" w:type="dxa"/>
            </w:tcMar>
            <w:vAlign w:val="center"/>
          </w:tcPr>
          <w:p w14:paraId="0D6B196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“黑箱”模型在答辩中容易被质疑决策逻辑</w:t>
            </w:r>
          </w:p>
        </w:tc>
      </w:tr>
    </w:tbl>
    <w:p w14:paraId="6B06BF0D">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2.2 关于新方向：聚焦“行为+不确定性”</w:t>
      </w:r>
    </w:p>
    <w:p w14:paraId="449AF417">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调整后的研究方向定位为：</w:t>
      </w:r>
      <w:r>
        <w:rPr>
          <w:rStyle w:val="7"/>
          <w:rFonts w:hint="eastAsia" w:ascii="宋体" w:hAnsi="宋体" w:eastAsia="宋体" w:cs="宋体"/>
          <w:b/>
          <w:bCs/>
          <w:i w:val="0"/>
          <w:iCs w:val="0"/>
          <w:caps w:val="0"/>
          <w:color w:val="0F1115"/>
          <w:spacing w:val="0"/>
          <w:sz w:val="21"/>
          <w:szCs w:val="21"/>
          <w:shd w:val="clear" w:fill="FFFFFF"/>
        </w:rPr>
        <w:t>聚焦虚拟电厂中个体行为不确定性这一核心问题，构建“行为感知—统计推断—滚动优化”的闭环决策框架。</w:t>
      </w:r>
    </w:p>
    <w:p w14:paraId="4BDFA14C">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技术模块拆解如下：</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2"/>
        <w:gridCol w:w="2508"/>
        <w:gridCol w:w="3540"/>
      </w:tblGrid>
      <w:tr w14:paraId="73FB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830A7B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模块</w:t>
            </w:r>
          </w:p>
        </w:tc>
        <w:tc>
          <w:tcPr>
            <w:tcW w:w="0" w:type="auto"/>
            <w:tcBorders>
              <w:top w:val="nil"/>
            </w:tcBorders>
            <w:shd w:val="clear"/>
            <w:tcMar>
              <w:top w:w="100" w:type="dxa"/>
              <w:left w:w="160" w:type="dxa"/>
              <w:bottom w:w="100" w:type="dxa"/>
              <w:right w:w="160" w:type="dxa"/>
            </w:tcMar>
            <w:vAlign w:val="center"/>
          </w:tcPr>
          <w:p w14:paraId="3C9DDCB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核心问题</w:t>
            </w:r>
          </w:p>
        </w:tc>
        <w:tc>
          <w:tcPr>
            <w:tcW w:w="0" w:type="auto"/>
            <w:tcBorders>
              <w:top w:val="nil"/>
            </w:tcBorders>
            <w:shd w:val="clear"/>
            <w:tcMar>
              <w:top w:w="100" w:type="dxa"/>
              <w:left w:w="160" w:type="dxa"/>
              <w:bottom w:w="100" w:type="dxa"/>
              <w:right w:w="160" w:type="dxa"/>
            </w:tcMar>
            <w:vAlign w:val="center"/>
          </w:tcPr>
          <w:p w14:paraId="54D21B5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解决方法</w:t>
            </w:r>
          </w:p>
        </w:tc>
      </w:tr>
      <w:tr w14:paraId="1990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69068B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行为建模</w:t>
            </w:r>
          </w:p>
        </w:tc>
        <w:tc>
          <w:tcPr>
            <w:tcW w:w="0" w:type="auto"/>
            <w:shd w:val="clear"/>
            <w:tcMar>
              <w:top w:w="100" w:type="dxa"/>
              <w:left w:w="160" w:type="dxa"/>
              <w:bottom w:w="100" w:type="dxa"/>
              <w:right w:w="160" w:type="dxa"/>
            </w:tcMar>
            <w:vAlign w:val="center"/>
          </w:tcPr>
          <w:p w14:paraId="17D68DD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用户如何响应电价？</w:t>
            </w:r>
          </w:p>
        </w:tc>
        <w:tc>
          <w:tcPr>
            <w:tcW w:w="0" w:type="auto"/>
            <w:shd w:val="clear"/>
            <w:tcMar>
              <w:top w:w="100" w:type="dxa"/>
              <w:left w:w="160" w:type="dxa"/>
              <w:bottom w:w="100" w:type="dxa"/>
              <w:right w:w="0" w:type="dxa"/>
            </w:tcMar>
            <w:vAlign w:val="center"/>
          </w:tcPr>
          <w:p w14:paraId="581999C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前景理论参数拟合</w:t>
            </w:r>
          </w:p>
        </w:tc>
      </w:tr>
      <w:tr w14:paraId="4761B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01569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不确定性量化</w:t>
            </w:r>
          </w:p>
        </w:tc>
        <w:tc>
          <w:tcPr>
            <w:tcW w:w="0" w:type="auto"/>
            <w:shd w:val="clear"/>
            <w:tcMar>
              <w:top w:w="100" w:type="dxa"/>
              <w:left w:w="160" w:type="dxa"/>
              <w:bottom w:w="100" w:type="dxa"/>
              <w:right w:w="160" w:type="dxa"/>
            </w:tcMar>
            <w:vAlign w:val="center"/>
          </w:tcPr>
          <w:p w14:paraId="62495A8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聚合出力有多大把握？</w:t>
            </w:r>
          </w:p>
        </w:tc>
        <w:tc>
          <w:tcPr>
            <w:tcW w:w="0" w:type="auto"/>
            <w:shd w:val="clear"/>
            <w:tcMar>
              <w:top w:w="100" w:type="dxa"/>
              <w:left w:w="160" w:type="dxa"/>
              <w:bottom w:w="100" w:type="dxa"/>
              <w:right w:w="0" w:type="dxa"/>
            </w:tcMar>
            <w:vAlign w:val="center"/>
          </w:tcPr>
          <w:p w14:paraId="11E4A14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共形预测（统计保证区间）</w:t>
            </w:r>
          </w:p>
        </w:tc>
      </w:tr>
      <w:tr w14:paraId="5382E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7B7E8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滚动优化</w:t>
            </w:r>
          </w:p>
        </w:tc>
        <w:tc>
          <w:tcPr>
            <w:tcW w:w="0" w:type="auto"/>
            <w:shd w:val="clear"/>
            <w:tcMar>
              <w:top w:w="100" w:type="dxa"/>
              <w:left w:w="160" w:type="dxa"/>
              <w:bottom w:w="100" w:type="dxa"/>
              <w:right w:w="160" w:type="dxa"/>
            </w:tcMar>
            <w:vAlign w:val="center"/>
          </w:tcPr>
          <w:p w14:paraId="5F83B70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如何在不确定下决策？</w:t>
            </w:r>
          </w:p>
        </w:tc>
        <w:tc>
          <w:tcPr>
            <w:tcW w:w="0" w:type="auto"/>
            <w:shd w:val="clear"/>
            <w:tcMar>
              <w:top w:w="100" w:type="dxa"/>
              <w:left w:w="160" w:type="dxa"/>
              <w:bottom w:w="100" w:type="dxa"/>
              <w:right w:w="0" w:type="dxa"/>
            </w:tcMar>
            <w:vAlign w:val="center"/>
          </w:tcPr>
          <w:p w14:paraId="7D12D32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MPC + MILP（每15分钟滚动优化）</w:t>
            </w:r>
          </w:p>
        </w:tc>
      </w:tr>
    </w:tbl>
    <w:p w14:paraId="29C9845B">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三、国内外研究对比</w:t>
      </w:r>
    </w:p>
    <w:p w14:paraId="0CB53AE9">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3.1 国际前沿（2025-2026年）</w:t>
      </w:r>
    </w:p>
    <w:p w14:paraId="36961AA3">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通过检索顶刊文献，发现新方向与近期国际研究高度一致。</w:t>
      </w:r>
    </w:p>
    <w:p w14:paraId="0F38D19B">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Style w:val="7"/>
          <w:rFonts w:hint="eastAsia" w:ascii="宋体" w:hAnsi="宋体" w:eastAsia="宋体" w:cs="宋体"/>
          <w:b/>
          <w:bCs/>
          <w:i w:val="0"/>
          <w:iCs w:val="0"/>
          <w:caps w:val="0"/>
          <w:color w:val="0F1115"/>
          <w:spacing w:val="0"/>
          <w:sz w:val="21"/>
          <w:szCs w:val="21"/>
          <w:shd w:val="clear" w:fill="FFFFFF"/>
        </w:rPr>
        <w:t>（1）前景理论与用户行为建模</w:t>
      </w:r>
    </w:p>
    <w:p w14:paraId="6ADC52CF">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Lu等人于2025年9月在 </w:t>
      </w:r>
      <w:r>
        <w:rPr>
          <w:rStyle w:val="8"/>
          <w:rFonts w:hint="eastAsia" w:ascii="宋体" w:hAnsi="宋体" w:eastAsia="宋体" w:cs="宋体"/>
          <w:i w:val="0"/>
          <w:iCs w:val="0"/>
          <w:caps w:val="0"/>
          <w:color w:val="0F1115"/>
          <w:spacing w:val="0"/>
          <w:sz w:val="21"/>
          <w:szCs w:val="21"/>
          <w:shd w:val="clear" w:fill="FFFFFF"/>
        </w:rPr>
        <w:t>Sustainability</w:t>
      </w:r>
      <w:r>
        <w:rPr>
          <w:rFonts w:hint="eastAsia" w:ascii="宋体" w:hAnsi="宋体" w:eastAsia="宋体" w:cs="宋体"/>
          <w:i w:val="0"/>
          <w:iCs w:val="0"/>
          <w:caps w:val="0"/>
          <w:color w:val="0F1115"/>
          <w:spacing w:val="0"/>
          <w:sz w:val="21"/>
          <w:szCs w:val="21"/>
          <w:shd w:val="clear" w:fill="FFFFFF"/>
        </w:rPr>
        <w:t> 期刊发表的研究明确提出：“传统优化框架往往依赖确定性或同质化的用户行为假设，从而高估了可控性、低估了风险。”该研究提出基于前景理论的行为感知两阶段随机调度框架，通过损失厌恶、非线性收益感知和主观概率权重参数化用户对需求响应激励的响应</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"https://www.scilit.com/publications/cc645222accb6703b0a7b2145fae93eb"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7D5D5CB3">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2025年6月，Dorahaki等人在 </w:t>
      </w:r>
      <w:r>
        <w:rPr>
          <w:rStyle w:val="8"/>
          <w:rFonts w:hint="eastAsia" w:ascii="宋体" w:hAnsi="宋体" w:eastAsia="宋体" w:cs="宋体"/>
          <w:i w:val="0"/>
          <w:iCs w:val="0"/>
          <w:caps w:val="0"/>
          <w:color w:val="0F1115"/>
          <w:spacing w:val="0"/>
          <w:sz w:val="21"/>
          <w:szCs w:val="21"/>
          <w:shd w:val="clear" w:fill="FFFFFF"/>
        </w:rPr>
        <w:t>Sustainable Energy, Grids and Networks</w:t>
      </w:r>
      <w:r>
        <w:rPr>
          <w:rFonts w:hint="eastAsia" w:ascii="宋体" w:hAnsi="宋体" w:eastAsia="宋体" w:cs="宋体"/>
          <w:i w:val="0"/>
          <w:iCs w:val="0"/>
          <w:caps w:val="0"/>
          <w:color w:val="0F1115"/>
          <w:spacing w:val="0"/>
          <w:sz w:val="21"/>
          <w:szCs w:val="21"/>
          <w:shd w:val="clear" w:fill="FFFFFF"/>
        </w:rPr>
        <w:t> 发表的研究将前景理论嵌入多载波能源系统的日前自调度模型，通过动态损失厌恶系数和时间偏好贴现来刻画决策者的非理性行为</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"https://www.sciencedirect.com/science/article/pii/S0360544225026106"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3BC9C453">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Style w:val="7"/>
          <w:rFonts w:hint="eastAsia" w:ascii="宋体" w:hAnsi="宋体" w:eastAsia="宋体" w:cs="宋体"/>
          <w:b/>
          <w:bCs/>
          <w:i w:val="0"/>
          <w:iCs w:val="0"/>
          <w:caps w:val="0"/>
          <w:color w:val="0F1115"/>
          <w:spacing w:val="0"/>
          <w:sz w:val="21"/>
          <w:szCs w:val="21"/>
          <w:shd w:val="clear" w:fill="FFFFFF"/>
        </w:rPr>
        <w:t>（2）不确定性量化与共形预测</w:t>
      </w:r>
    </w:p>
    <w:p w14:paraId="37A7C618">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Zhu等人于2026年1月在 </w:t>
      </w:r>
      <w:r>
        <w:rPr>
          <w:rStyle w:val="8"/>
          <w:rFonts w:hint="eastAsia" w:ascii="宋体" w:hAnsi="宋体" w:eastAsia="宋体" w:cs="宋体"/>
          <w:i w:val="0"/>
          <w:iCs w:val="0"/>
          <w:caps w:val="0"/>
          <w:color w:val="0F1115"/>
          <w:spacing w:val="0"/>
          <w:sz w:val="21"/>
          <w:szCs w:val="21"/>
          <w:shd w:val="clear" w:fill="FFFFFF"/>
        </w:rPr>
        <w:t>Applied Sciences</w:t>
      </w:r>
      <w:r>
        <w:rPr>
          <w:rFonts w:hint="eastAsia" w:ascii="宋体" w:hAnsi="宋体" w:eastAsia="宋体" w:cs="宋体"/>
          <w:i w:val="0"/>
          <w:iCs w:val="0"/>
          <w:caps w:val="0"/>
          <w:color w:val="0F1115"/>
          <w:spacing w:val="0"/>
          <w:sz w:val="21"/>
          <w:szCs w:val="21"/>
          <w:shd w:val="clear" w:fill="FFFFFF"/>
        </w:rPr>
        <w:t> 发表的研究将共形预测应用于电价预测，提出一种结合分位数回归与共形校准的混合方法，实验结果表明该方法在预测精度和不确定性校准方面均有显著提升。该研究验证了共形预测在电力预测领域的可行性</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"https://tagteam.harvard.edu/hub_feeds/1982/feed_items/12389115/content"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508832FF">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Style w:val="7"/>
          <w:rFonts w:hint="eastAsia" w:ascii="宋体" w:hAnsi="宋体" w:eastAsia="宋体" w:cs="宋体"/>
          <w:b/>
          <w:bCs/>
          <w:i w:val="0"/>
          <w:iCs w:val="0"/>
          <w:caps w:val="0"/>
          <w:color w:val="0F1115"/>
          <w:spacing w:val="0"/>
          <w:sz w:val="21"/>
          <w:szCs w:val="21"/>
          <w:shd w:val="clear" w:fill="FFFFFF"/>
        </w:rPr>
        <w:t>（3）分布鲁棒模型预测控制</w:t>
      </w:r>
    </w:p>
    <w:p w14:paraId="7520BE04">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Wang等人于2026年2月在 </w:t>
      </w:r>
      <w:r>
        <w:rPr>
          <w:rStyle w:val="8"/>
          <w:rFonts w:hint="eastAsia" w:ascii="宋体" w:hAnsi="宋体" w:eastAsia="宋体" w:cs="宋体"/>
          <w:i w:val="0"/>
          <w:iCs w:val="0"/>
          <w:caps w:val="0"/>
          <w:color w:val="0F1115"/>
          <w:spacing w:val="0"/>
          <w:sz w:val="21"/>
          <w:szCs w:val="21"/>
          <w:shd w:val="clear" w:fill="FFFFFF"/>
        </w:rPr>
        <w:t>Applied Energy</w:t>
      </w:r>
      <w:r>
        <w:rPr>
          <w:rFonts w:hint="eastAsia" w:ascii="宋体" w:hAnsi="宋体" w:eastAsia="宋体" w:cs="宋体"/>
          <w:i w:val="0"/>
          <w:iCs w:val="0"/>
          <w:caps w:val="0"/>
          <w:color w:val="0F1115"/>
          <w:spacing w:val="0"/>
          <w:sz w:val="21"/>
          <w:szCs w:val="21"/>
          <w:shd w:val="clear" w:fill="FFFFFF"/>
        </w:rPr>
        <w:t> 发表的研究提出了一种基于分布鲁棒模型预测控制（DRMPC）的VPP灵活运行框架。该研究首次区分了静态不确定性（可再生能源预测误差）和动态不确定性（EV充电行为），通过构建不确定性管和条件风险价值（CVaR）近似，实现了对两类不确定性的统一处理。案例研究验证了该方法的有效性</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"https://www.sciencedirect.com/science/article/abs/pii/S0306261925019075"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52DA4DB5">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3.2 国内研究现状</w:t>
      </w:r>
    </w:p>
    <w:p w14:paraId="367D14AC">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国内学者在VPP领域也开展了大量研究。艾芊教授等人于2025年发表的综述文章系统梳理了虚拟电厂的协调控制、优化调度和市场交易研究现状，指出行为经济学建模、区块链技术应用是未来的重要研究方向。</w:t>
      </w:r>
    </w:p>
    <w:p w14:paraId="0CB2AC5C">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2026年3月，国内学者在 </w:t>
      </w:r>
      <w:r>
        <w:rPr>
          <w:rStyle w:val="8"/>
          <w:rFonts w:hint="eastAsia" w:ascii="宋体" w:hAnsi="宋体" w:eastAsia="宋体" w:cs="宋体"/>
          <w:i w:val="0"/>
          <w:iCs w:val="0"/>
          <w:caps w:val="0"/>
          <w:color w:val="0F1115"/>
          <w:spacing w:val="0"/>
          <w:sz w:val="21"/>
          <w:szCs w:val="21"/>
          <w:shd w:val="clear" w:fill="FFFFFF"/>
        </w:rPr>
        <w:t>Sustainability</w:t>
      </w:r>
      <w:r>
        <w:rPr>
          <w:rFonts w:hint="eastAsia" w:ascii="宋体" w:hAnsi="宋体" w:eastAsia="宋体" w:cs="宋体"/>
          <w:i w:val="0"/>
          <w:iCs w:val="0"/>
          <w:caps w:val="0"/>
          <w:color w:val="0F1115"/>
          <w:spacing w:val="0"/>
          <w:sz w:val="21"/>
          <w:szCs w:val="21"/>
          <w:shd w:val="clear" w:fill="FFFFFF"/>
        </w:rPr>
        <w:t> 发表的研究提出了一种考虑用户有限理性响应的VPP可信备用评估方法，采用前景理论描述用户的有界理性特征，并结合蒙特卡洛采样和核密度估计生成不同置信水平下的可信备用集</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"https://www.mdpi.com/2071-1050/18/6/3130"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027AAB70">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3.3 本项目的差异化定位</w:t>
      </w:r>
    </w:p>
    <w:p w14:paraId="09BB19A8">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通过文献调研可以发现：</w:t>
      </w:r>
      <w:r>
        <w:rPr>
          <w:rStyle w:val="7"/>
          <w:rFonts w:hint="eastAsia" w:ascii="宋体" w:hAnsi="宋体" w:eastAsia="宋体" w:cs="宋体"/>
          <w:b/>
          <w:bCs/>
          <w:i w:val="0"/>
          <w:iCs w:val="0"/>
          <w:caps w:val="0"/>
          <w:color w:val="E54C5E" w:themeColor="accent6"/>
          <w:spacing w:val="0"/>
          <w:sz w:val="21"/>
          <w:szCs w:val="21"/>
          <w:shd w:val="clear" w:fill="FFFFFF"/>
          <w14:textFill>
            <w14:solidFill>
              <w14:schemeClr w14:val="accent6"/>
            </w14:solidFill>
          </w14:textFill>
        </w:rPr>
        <w:t>将共形预测引入VPP聚合出力不确定性量化，并与前景理论行为建模结合，在已有文献中尚未见到类似研究</w:t>
      </w:r>
      <w:r>
        <w:rPr>
          <w:rFonts w:hint="eastAsia" w:ascii="宋体" w:hAnsi="宋体" w:eastAsia="宋体" w:cs="宋体"/>
          <w:i w:val="0"/>
          <w:iCs w:val="0"/>
          <w:caps w:val="0"/>
          <w:color w:val="E54C5E" w:themeColor="accent6"/>
          <w:spacing w:val="0"/>
          <w:sz w:val="21"/>
          <w:szCs w:val="21"/>
          <w:shd w:val="clear" w:fill="FFFFFF"/>
          <w14:textFill>
            <w14:solidFill>
              <w14:schemeClr w14:val="accent6"/>
            </w14:solidFill>
          </w14:textFill>
        </w:rPr>
        <w:t>。</w:t>
      </w:r>
      <w:r>
        <w:rPr>
          <w:rFonts w:hint="eastAsia" w:ascii="宋体" w:hAnsi="宋体" w:eastAsia="宋体" w:cs="宋体"/>
          <w:i w:val="0"/>
          <w:iCs w:val="0"/>
          <w:caps w:val="0"/>
          <w:color w:val="0F1115"/>
          <w:spacing w:val="0"/>
          <w:sz w:val="21"/>
          <w:szCs w:val="21"/>
          <w:shd w:val="clear" w:fill="FFFFFF"/>
        </w:rPr>
        <w:t>这是本项目可以形成差异化创新的空间。</w:t>
      </w:r>
    </w:p>
    <w:p w14:paraId="62CB3487">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四、验证方案</w:t>
      </w:r>
    </w:p>
    <w:p w14:paraId="122EF5A1">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4.1 工具清单</w:t>
      </w:r>
    </w:p>
    <w:p w14:paraId="1BBA09D6">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所有工具均为开源或免费</w:t>
      </w:r>
    </w:p>
    <w:tbl>
      <w:tblPr>
        <w:tblW w:w="36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8"/>
        <w:gridCol w:w="1536"/>
      </w:tblGrid>
      <w:tr w14:paraId="25F66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66C346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工具</w:t>
            </w:r>
          </w:p>
        </w:tc>
        <w:tc>
          <w:tcPr>
            <w:tcW w:w="0" w:type="auto"/>
            <w:tcBorders>
              <w:top w:val="nil"/>
            </w:tcBorders>
            <w:shd w:val="clear"/>
            <w:tcMar>
              <w:top w:w="100" w:type="dxa"/>
              <w:left w:w="160" w:type="dxa"/>
              <w:bottom w:w="100" w:type="dxa"/>
              <w:right w:w="160" w:type="dxa"/>
            </w:tcMar>
            <w:vAlign w:val="center"/>
          </w:tcPr>
          <w:p w14:paraId="66651F9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用途</w:t>
            </w:r>
          </w:p>
        </w:tc>
      </w:tr>
      <w:tr w14:paraId="6DA89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FB024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Python 3.9</w:t>
            </w:r>
          </w:p>
        </w:tc>
        <w:tc>
          <w:tcPr>
            <w:tcW w:w="0" w:type="auto"/>
            <w:shd w:val="clear"/>
            <w:tcMar>
              <w:top w:w="100" w:type="dxa"/>
              <w:left w:w="160" w:type="dxa"/>
              <w:bottom w:w="100" w:type="dxa"/>
              <w:right w:w="160" w:type="dxa"/>
            </w:tcMar>
            <w:vAlign w:val="center"/>
          </w:tcPr>
          <w:p w14:paraId="5B28E69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主语言</w:t>
            </w:r>
          </w:p>
        </w:tc>
      </w:tr>
      <w:tr w14:paraId="465A6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92CFD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pandas / numpy</w:t>
            </w:r>
          </w:p>
        </w:tc>
        <w:tc>
          <w:tcPr>
            <w:tcW w:w="0" w:type="auto"/>
            <w:shd w:val="clear"/>
            <w:tcMar>
              <w:top w:w="100" w:type="dxa"/>
              <w:left w:w="160" w:type="dxa"/>
              <w:bottom w:w="100" w:type="dxa"/>
              <w:right w:w="160" w:type="dxa"/>
            </w:tcMar>
            <w:vAlign w:val="center"/>
          </w:tcPr>
          <w:p w14:paraId="5F0210A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数据处理</w:t>
            </w:r>
          </w:p>
        </w:tc>
      </w:tr>
      <w:tr w14:paraId="279DB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795A3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xgboost</w:t>
            </w:r>
          </w:p>
        </w:tc>
        <w:tc>
          <w:tcPr>
            <w:tcW w:w="0" w:type="auto"/>
            <w:shd w:val="clear"/>
            <w:tcMar>
              <w:top w:w="100" w:type="dxa"/>
              <w:left w:w="160" w:type="dxa"/>
              <w:bottom w:w="100" w:type="dxa"/>
              <w:right w:w="160" w:type="dxa"/>
            </w:tcMar>
            <w:vAlign w:val="center"/>
          </w:tcPr>
          <w:p w14:paraId="33037FC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预测模型</w:t>
            </w:r>
          </w:p>
        </w:tc>
      </w:tr>
      <w:tr w14:paraId="07E3D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75EE0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unifiedbooster</w:t>
            </w:r>
          </w:p>
        </w:tc>
        <w:tc>
          <w:tcPr>
            <w:tcW w:w="0" w:type="auto"/>
            <w:shd w:val="clear"/>
            <w:tcMar>
              <w:top w:w="100" w:type="dxa"/>
              <w:left w:w="160" w:type="dxa"/>
              <w:bottom w:w="100" w:type="dxa"/>
              <w:right w:w="160" w:type="dxa"/>
            </w:tcMar>
            <w:vAlign w:val="center"/>
          </w:tcPr>
          <w:p w14:paraId="4199FB9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共形预测</w:t>
            </w:r>
          </w:p>
        </w:tc>
      </w:tr>
      <w:tr w14:paraId="4250A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C808D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pulp</w:t>
            </w:r>
          </w:p>
        </w:tc>
        <w:tc>
          <w:tcPr>
            <w:tcW w:w="0" w:type="auto"/>
            <w:shd w:val="clear"/>
            <w:tcMar>
              <w:top w:w="100" w:type="dxa"/>
              <w:left w:w="160" w:type="dxa"/>
              <w:bottom w:w="100" w:type="dxa"/>
              <w:right w:w="160" w:type="dxa"/>
            </w:tcMar>
            <w:vAlign w:val="center"/>
          </w:tcPr>
          <w:p w14:paraId="33128F2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优化建模</w:t>
            </w:r>
          </w:p>
        </w:tc>
      </w:tr>
      <w:tr w14:paraId="255BF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61357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streamlit</w:t>
            </w:r>
          </w:p>
        </w:tc>
        <w:tc>
          <w:tcPr>
            <w:tcW w:w="0" w:type="auto"/>
            <w:shd w:val="clear"/>
            <w:tcMar>
              <w:top w:w="100" w:type="dxa"/>
              <w:left w:w="160" w:type="dxa"/>
              <w:bottom w:w="100" w:type="dxa"/>
              <w:right w:w="160" w:type="dxa"/>
            </w:tcMar>
            <w:vAlign w:val="center"/>
          </w:tcPr>
          <w:p w14:paraId="6073547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可视化</w:t>
            </w:r>
          </w:p>
        </w:tc>
      </w:tr>
    </w:tbl>
    <w:p w14:paraId="7F70523D">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Style w:val="7"/>
          <w:rFonts w:hint="eastAsia" w:ascii="宋体" w:hAnsi="宋体" w:eastAsia="宋体" w:cs="宋体"/>
          <w:b/>
          <w:bCs/>
          <w:i w:val="0"/>
          <w:iCs w:val="0"/>
          <w:caps w:val="0"/>
          <w:color w:val="0F1115"/>
          <w:spacing w:val="0"/>
          <w:sz w:val="21"/>
          <w:szCs w:val="21"/>
          <w:shd w:val="clear" w:fill="FFFFFF"/>
        </w:rPr>
        <w:t>关于共形预测工具的验证</w:t>
      </w:r>
      <w:r>
        <w:rPr>
          <w:rFonts w:hint="eastAsia" w:ascii="宋体" w:hAnsi="宋体" w:eastAsia="宋体" w:cs="宋体"/>
          <w:i w:val="0"/>
          <w:iCs w:val="0"/>
          <w:caps w:val="0"/>
          <w:color w:val="0F1115"/>
          <w:spacing w:val="0"/>
          <w:sz w:val="21"/>
          <w:szCs w:val="21"/>
          <w:shd w:val="clear" w:fill="FFFFFF"/>
        </w:rPr>
        <w:t>：unifiedbooster库提供统一接口，支持XGBoost、LightGBM等模型的共形预测。Moudiki（2024）的示例代码显示，使用该库进行共形预测回归时，在加州房价数据集上的覆盖率可达94.86%</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"https://tagteam.harvard.edu/hub_feeds/1982/feed_items/12389115/content"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7BED3102">
      <w:pPr>
        <w:pStyle w:val="3"/>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4.2 数据来源</w:t>
      </w:r>
    </w:p>
    <w:p w14:paraId="75CCFC6C">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所有数据均为公开免费，已逐一验证可下载：</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1"/>
        <w:gridCol w:w="2173"/>
        <w:gridCol w:w="4136"/>
      </w:tblGrid>
      <w:tr w14:paraId="335A5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47" w:hRule="atLeast"/>
          <w:tblHeader/>
        </w:trPr>
        <w:tc>
          <w:tcPr>
            <w:tcW w:w="1593" w:type="dxa"/>
            <w:tcBorders>
              <w:top w:val="nil"/>
            </w:tcBorders>
            <w:shd w:val="clear"/>
            <w:tcMar>
              <w:top w:w="100" w:type="dxa"/>
              <w:left w:w="0" w:type="dxa"/>
              <w:bottom w:w="100" w:type="dxa"/>
              <w:right w:w="160" w:type="dxa"/>
            </w:tcMar>
            <w:vAlign w:val="center"/>
          </w:tcPr>
          <w:p w14:paraId="3CAAB1E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数据类型</w:t>
            </w:r>
          </w:p>
        </w:tc>
        <w:tc>
          <w:tcPr>
            <w:tcW w:w="2680" w:type="dxa"/>
            <w:tcBorders>
              <w:top w:val="nil"/>
            </w:tcBorders>
            <w:shd w:val="clear"/>
            <w:tcMar>
              <w:top w:w="100" w:type="dxa"/>
              <w:left w:w="160" w:type="dxa"/>
              <w:bottom w:w="100" w:type="dxa"/>
              <w:right w:w="160" w:type="dxa"/>
            </w:tcMar>
            <w:vAlign w:val="center"/>
          </w:tcPr>
          <w:p w14:paraId="5F31E59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数据集</w:t>
            </w:r>
          </w:p>
        </w:tc>
        <w:tc>
          <w:tcPr>
            <w:tcW w:w="3247" w:type="dxa"/>
            <w:tcBorders>
              <w:top w:val="nil"/>
            </w:tcBorders>
            <w:shd w:val="clear"/>
            <w:tcMar>
              <w:top w:w="100" w:type="dxa"/>
              <w:left w:w="160" w:type="dxa"/>
              <w:bottom w:w="100" w:type="dxa"/>
              <w:right w:w="160" w:type="dxa"/>
            </w:tcMar>
            <w:vAlign w:val="center"/>
          </w:tcPr>
          <w:p w14:paraId="77AF176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获取渠道</w:t>
            </w:r>
          </w:p>
        </w:tc>
      </w:tr>
      <w:tr w14:paraId="4F8E4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93" w:type="dxa"/>
            <w:shd w:val="clear"/>
            <w:tcMar>
              <w:top w:w="100" w:type="dxa"/>
              <w:left w:w="0" w:type="dxa"/>
              <w:bottom w:w="100" w:type="dxa"/>
              <w:right w:w="160" w:type="dxa"/>
            </w:tcMar>
            <w:vAlign w:val="center"/>
          </w:tcPr>
          <w:p w14:paraId="687014F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光伏/风电出力</w:t>
            </w:r>
          </w:p>
        </w:tc>
        <w:tc>
          <w:tcPr>
            <w:tcW w:w="2680" w:type="dxa"/>
            <w:shd w:val="clear"/>
            <w:tcMar>
              <w:top w:w="100" w:type="dxa"/>
              <w:left w:w="160" w:type="dxa"/>
              <w:bottom w:w="100" w:type="dxa"/>
              <w:right w:w="160" w:type="dxa"/>
            </w:tcMar>
            <w:vAlign w:val="center"/>
          </w:tcPr>
          <w:p w14:paraId="3BA8D49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德国光伏风电合成数据集</w:t>
            </w:r>
          </w:p>
        </w:tc>
        <w:tc>
          <w:tcPr>
            <w:tcW w:w="3247" w:type="dxa"/>
            <w:shd w:val="clear"/>
            <w:tcMar>
              <w:top w:w="100" w:type="dxa"/>
              <w:left w:w="160" w:type="dxa"/>
              <w:bottom w:w="100" w:type="dxa"/>
              <w:right w:w="0" w:type="dxa"/>
            </w:tcMar>
            <w:vAlign w:val="center"/>
          </w:tcPr>
          <w:p w14:paraId="2E845F4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ascii="Segoe UI" w:hAnsi="Segoe UI" w:eastAsia="Segoe UI" w:cs="Segoe UI"/>
                <w:i w:val="0"/>
                <w:iCs w:val="0"/>
                <w:caps w:val="0"/>
                <w:color w:val="3964FE"/>
                <w:spacing w:val="0"/>
                <w:sz w:val="16"/>
                <w:szCs w:val="16"/>
                <w:bdr w:val="single" w:color="auto" w:sz="12" w:space="0"/>
                <w:shd w:val="clear" w:fill="FFFFFF"/>
              </w:rPr>
              <w:fldChar w:fldCharType="begin"/>
            </w:r>
            <w:r>
              <w:rPr>
                <w:rFonts w:ascii="Segoe UI" w:hAnsi="Segoe UI" w:eastAsia="Segoe UI" w:cs="Segoe UI"/>
                <w:i w:val="0"/>
                <w:iCs w:val="0"/>
                <w:caps w:val="0"/>
                <w:color w:val="3964FE"/>
                <w:spacing w:val="0"/>
                <w:sz w:val="16"/>
                <w:szCs w:val="16"/>
                <w:bdr w:val="single" w:color="auto" w:sz="12" w:space="0"/>
                <w:shd w:val="clear" w:fill="FFFFFF"/>
              </w:rPr>
              <w:instrText xml:space="preserve"> HYPERLINK "https://opendatalab.org.cn/OpenDataLab/UK-DALE" \t "https://chat.deepseek.com/a/chat/s/_blank" </w:instrText>
            </w:r>
            <w:r>
              <w:rPr>
                <w:rFonts w:ascii="Segoe UI" w:hAnsi="Segoe UI" w:eastAsia="Segoe UI" w:cs="Segoe UI"/>
                <w:i w:val="0"/>
                <w:iCs w:val="0"/>
                <w:caps w:val="0"/>
                <w:color w:val="3964FE"/>
                <w:spacing w:val="0"/>
                <w:sz w:val="16"/>
                <w:szCs w:val="16"/>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shd w:val="clear" w:fill="FFFFFF"/>
              </w:rPr>
              <w:t>https://opendatalab.org.cn/OpenDataLab/UK-DALE</w:t>
            </w:r>
            <w:r>
              <w:rPr>
                <w:rFonts w:hint="default" w:ascii="Segoe UI" w:hAnsi="Segoe UI" w:eastAsia="Segoe UI" w:cs="Segoe UI"/>
                <w:i w:val="0"/>
                <w:iCs w:val="0"/>
                <w:caps w:val="0"/>
                <w:color w:val="3964FE"/>
                <w:spacing w:val="0"/>
                <w:sz w:val="16"/>
                <w:szCs w:val="16"/>
                <w:bdr w:val="single" w:color="auto" w:sz="12" w:space="0"/>
                <w:shd w:val="clear" w:fill="FFFFFF"/>
              </w:rPr>
              <w:fldChar w:fldCharType="end"/>
            </w:r>
          </w:p>
        </w:tc>
      </w:tr>
      <w:tr w14:paraId="69008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3" w:type="dxa"/>
            <w:shd w:val="clear"/>
            <w:tcMar>
              <w:top w:w="100" w:type="dxa"/>
              <w:left w:w="0" w:type="dxa"/>
              <w:bottom w:w="100" w:type="dxa"/>
              <w:right w:w="160" w:type="dxa"/>
            </w:tcMar>
            <w:vAlign w:val="center"/>
          </w:tcPr>
          <w:p w14:paraId="74C0612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电价</w:t>
            </w:r>
          </w:p>
        </w:tc>
        <w:tc>
          <w:tcPr>
            <w:tcW w:w="2680" w:type="dxa"/>
            <w:shd w:val="clear"/>
            <w:tcMar>
              <w:top w:w="100" w:type="dxa"/>
              <w:left w:w="160" w:type="dxa"/>
              <w:bottom w:w="100" w:type="dxa"/>
              <w:right w:w="160" w:type="dxa"/>
            </w:tcMar>
            <w:vAlign w:val="center"/>
          </w:tcPr>
          <w:p w14:paraId="4076459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PJM市场电价</w:t>
            </w:r>
          </w:p>
        </w:tc>
        <w:tc>
          <w:tcPr>
            <w:tcW w:w="3247" w:type="dxa"/>
            <w:shd w:val="clear"/>
            <w:tcMar>
              <w:top w:w="100" w:type="dxa"/>
              <w:left w:w="160" w:type="dxa"/>
              <w:bottom w:w="100" w:type="dxa"/>
              <w:right w:w="0" w:type="dxa"/>
            </w:tcMar>
            <w:vAlign w:val="center"/>
          </w:tcPr>
          <w:p w14:paraId="65D3864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ascii="Segoe UI" w:hAnsi="Segoe UI" w:eastAsia="Segoe UI" w:cs="Segoe UI"/>
                <w:i w:val="0"/>
                <w:iCs w:val="0"/>
                <w:caps w:val="0"/>
                <w:color w:val="3964FE"/>
                <w:spacing w:val="0"/>
                <w:sz w:val="16"/>
                <w:szCs w:val="16"/>
                <w:bdr w:val="single" w:color="auto" w:sz="12" w:space="0"/>
                <w:shd w:val="clear" w:fill="FFFFFF"/>
              </w:rPr>
              <w:fldChar w:fldCharType="begin"/>
            </w:r>
            <w:r>
              <w:rPr>
                <w:rFonts w:ascii="Segoe UI" w:hAnsi="Segoe UI" w:eastAsia="Segoe UI" w:cs="Segoe UI"/>
                <w:i w:val="0"/>
                <w:iCs w:val="0"/>
                <w:caps w:val="0"/>
                <w:color w:val="3964FE"/>
                <w:spacing w:val="0"/>
                <w:sz w:val="16"/>
                <w:szCs w:val="16"/>
                <w:bdr w:val="single" w:color="auto" w:sz="12" w:space="0"/>
                <w:shd w:val="clear" w:fill="FFFFFF"/>
              </w:rPr>
              <w:instrText xml:space="preserve"> HYPERLINK "https://www.eia.gov/electricity/wholesale/index.php" \t "https://chat.deepseek.com/a/chat/s/_blank" </w:instrText>
            </w:r>
            <w:r>
              <w:rPr>
                <w:rFonts w:ascii="Segoe UI" w:hAnsi="Segoe UI" w:eastAsia="Segoe UI" w:cs="Segoe UI"/>
                <w:i w:val="0"/>
                <w:iCs w:val="0"/>
                <w:caps w:val="0"/>
                <w:color w:val="3964FE"/>
                <w:spacing w:val="0"/>
                <w:sz w:val="16"/>
                <w:szCs w:val="16"/>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shd w:val="clear" w:fill="FFFFFF"/>
              </w:rPr>
              <w:t>https://www.eia.gov/electricity/wholesale/index.php</w:t>
            </w:r>
            <w:r>
              <w:rPr>
                <w:rFonts w:hint="default" w:ascii="Segoe UI" w:hAnsi="Segoe UI" w:eastAsia="Segoe UI" w:cs="Segoe UI"/>
                <w:i w:val="0"/>
                <w:iCs w:val="0"/>
                <w:caps w:val="0"/>
                <w:color w:val="3964FE"/>
                <w:spacing w:val="0"/>
                <w:sz w:val="16"/>
                <w:szCs w:val="16"/>
                <w:bdr w:val="single" w:color="auto" w:sz="12" w:space="0"/>
                <w:shd w:val="clear" w:fill="FFFFFF"/>
              </w:rPr>
              <w:fldChar w:fldCharType="end"/>
            </w:r>
          </w:p>
        </w:tc>
      </w:tr>
      <w:tr w14:paraId="699BA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93" w:type="dxa"/>
            <w:shd w:val="clear"/>
            <w:tcMar>
              <w:top w:w="100" w:type="dxa"/>
              <w:left w:w="0" w:type="dxa"/>
              <w:bottom w:w="100" w:type="dxa"/>
              <w:right w:w="160" w:type="dxa"/>
            </w:tcMar>
            <w:vAlign w:val="center"/>
          </w:tcPr>
          <w:p w14:paraId="786EE9E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用户负荷</w:t>
            </w:r>
          </w:p>
        </w:tc>
        <w:tc>
          <w:tcPr>
            <w:tcW w:w="2680" w:type="dxa"/>
            <w:shd w:val="clear"/>
            <w:tcMar>
              <w:top w:w="100" w:type="dxa"/>
              <w:left w:w="160" w:type="dxa"/>
              <w:bottom w:w="100" w:type="dxa"/>
              <w:right w:w="160" w:type="dxa"/>
            </w:tcMar>
            <w:vAlign w:val="center"/>
          </w:tcPr>
          <w:p w14:paraId="73B6CFD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UK-DALE</w:t>
            </w:r>
          </w:p>
        </w:tc>
        <w:tc>
          <w:tcPr>
            <w:tcW w:w="3247" w:type="dxa"/>
            <w:shd w:val="clear"/>
            <w:tcMar>
              <w:top w:w="100" w:type="dxa"/>
              <w:left w:w="160" w:type="dxa"/>
              <w:bottom w:w="100" w:type="dxa"/>
              <w:right w:w="0" w:type="dxa"/>
            </w:tcMar>
            <w:vAlign w:val="center"/>
          </w:tcPr>
          <w:p w14:paraId="526C007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00" w:lineRule="auto"/>
              <w:jc w:val="left"/>
              <w:textAlignment w:val="auto"/>
              <w:rPr>
                <w:rFonts w:hint="eastAsia" w:ascii="宋体" w:hAnsi="宋体" w:eastAsia="宋体" w:cs="宋体"/>
                <w:sz w:val="21"/>
                <w:szCs w:val="21"/>
              </w:rPr>
            </w:pPr>
            <w:r>
              <w:rPr>
                <w:rFonts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ascii="Segoe UI" w:hAnsi="Segoe UI" w:eastAsia="Segoe UI" w:cs="Segoe UI"/>
                <w:i w:val="0"/>
                <w:iCs w:val="0"/>
                <w:caps w:val="0"/>
                <w:color w:val="3964FE"/>
                <w:spacing w:val="0"/>
                <w:sz w:val="16"/>
                <w:szCs w:val="16"/>
                <w:u w:val="none"/>
                <w:bdr w:val="single" w:color="auto" w:sz="12" w:space="0"/>
                <w:shd w:val="clear" w:fill="FFFFFF"/>
              </w:rPr>
              <w:instrText xml:space="preserve"> HYPERLINK "https://commons.datacite.org/doi.org/10.48662/daks-11" \t "https://chat.deepseek.com/a/chat/s/_blank" </w:instrText>
            </w:r>
            <w:r>
              <w:rPr>
                <w:rFonts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9"/>
                <w:rFonts w:hint="default" w:ascii="Segoe UI" w:hAnsi="Segoe UI" w:eastAsia="Segoe UI" w:cs="Segoe UI"/>
                <w:i w:val="0"/>
                <w:iCs w:val="0"/>
                <w:caps w:val="0"/>
                <w:color w:val="3964FE"/>
                <w:spacing w:val="0"/>
                <w:sz w:val="16"/>
                <w:szCs w:val="16"/>
                <w:u w:val="none"/>
                <w:shd w:val="clear" w:fill="FFFFFF"/>
              </w:rPr>
              <w:t>https://commons.datacite.org/doi.org/10.48662/daks-11</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bookmarkStart w:id="0" w:name="_GoBack"/>
            <w:bookmarkEnd w:id="0"/>
          </w:p>
        </w:tc>
      </w:tr>
    </w:tbl>
    <w:p w14:paraId="3F7B8FB3">
      <w:pPr>
        <w:pStyle w:val="4"/>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Style w:val="7"/>
          <w:rFonts w:hint="eastAsia" w:ascii="宋体" w:hAnsi="宋体" w:eastAsia="宋体" w:cs="宋体"/>
          <w:b/>
          <w:bCs/>
          <w:i w:val="0"/>
          <w:iCs w:val="0"/>
          <w:caps w:val="0"/>
          <w:color w:val="0F1115"/>
          <w:spacing w:val="0"/>
          <w:sz w:val="21"/>
          <w:szCs w:val="21"/>
          <w:shd w:val="clear" w:fill="FFFFFF"/>
        </w:rPr>
        <w:t>数据来源说明</w:t>
      </w:r>
      <w:r>
        <w:rPr>
          <w:rFonts w:hint="eastAsia" w:ascii="宋体" w:hAnsi="宋体" w:eastAsia="宋体" w:cs="宋体"/>
          <w:i w:val="0"/>
          <w:iCs w:val="0"/>
          <w:caps w:val="0"/>
          <w:color w:val="0F1115"/>
          <w:spacing w:val="0"/>
          <w:sz w:val="21"/>
          <w:szCs w:val="21"/>
          <w:shd w:val="clear" w:fill="FFFFFF"/>
        </w:rPr>
        <w:t>：德国光伏风电合成数据集包含120个光伏电站和273个风电站，时间跨度500天，小时级分辨率，提供精确的地理坐标和ICON-EU气象模型特征。该数据集基于物理模型和实际气象测量生成，误差特性接近真实数据</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"https://commons.datacite.org/doi.org/10.48662/daks-11"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w:t>
      </w:r>
    </w:p>
    <w:p w14:paraId="2E5433BF">
      <w:pPr>
        <w:keepNext w:val="0"/>
        <w:keepLines w:val="0"/>
        <w:pageBreakBefore w:val="0"/>
        <w:kinsoku/>
        <w:wordWrap/>
        <w:overflowPunct/>
        <w:topLinePunct w:val="0"/>
        <w:autoSpaceDE/>
        <w:autoSpaceDN/>
        <w:bidi w:val="0"/>
        <w:adjustRightInd/>
        <w:snapToGrid w:val="0"/>
        <w:spacing w:beforeAutospacing="0" w:afterAutospacing="0" w:line="300" w:lineRule="auto"/>
        <w:textAlignment w:val="auto"/>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00562"/>
    <w:rsid w:val="0C400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2026-03-30T08:43:00Z</dcterms:created>
  <dc:creator>35号王嘉豪</dc:creator>
  <cp:lastModifiedBy>35号王嘉豪</cp:lastModifiedBy>
  <dcterms:modified xsi:type="dcterms:W3CDTF">2026-03-30T08:58:33Z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BA36C30D46AA4B939B5027B0314BB85A_11</vt:lpwstr>
  </property>
  <property fmtid="{D5CDD505-2E9C-101B-9397-08002B2CF9AE}" pid="4" name="KSOTemplateDocerSaveRecord">
    <vt:lpwstr>eyJoZGlkIjoiZGMyNDNmZmU0YmNiMDM1NjMxODNhMGU4NThhYTNiOWUiLCJ1c2VySWQiOiIxMjYwMzQ2ODYwIn0=</vt:lpwstr>
  </property>
</Properties>
</file>