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CDD" w:rsidRDefault="008B4CDD" w:rsidP="008B4CDD">
      <w:r w:rsidRPr="008B4CDD">
        <w:t>科学对创新和经济繁荣至关重要。尽管研究表明，国家科学发展受到地理、历史和经济因素的影响，但是否存在可为预测和决策提供信息的国家科学发展的普遍结构和轨迹仍不清楚。追踪国家研究组合的演变可以发现，在过去的几十年中，虽然各国的研究概况越来越多样化，但在全球科学中，科学生产却越来越专业化</w:t>
      </w:r>
      <w:r w:rsidR="00C14B2E">
        <w:rPr>
          <w:rStyle w:val="a5"/>
        </w:rPr>
        <w:footnoteReference w:id="1"/>
      </w:r>
      <w:r w:rsidRPr="008B4CDD">
        <w:t>。</w:t>
      </w:r>
    </w:p>
    <w:p w:rsidR="00C14B2E" w:rsidRDefault="00C14B2E" w:rsidP="008B4CDD"/>
    <w:p w:rsidR="008B4CDD" w:rsidRDefault="00C14B2E" w:rsidP="008B4CDD">
      <w:r w:rsidRPr="00C14B2E">
        <w:t>地理、历史、现有科学实力和经济条件之间的相互作用影响科学发展。例如，智利就是地理机遇对国家知识生产影响的典范：尽管科学投资相对较少</w:t>
      </w:r>
      <w:r>
        <w:rPr>
          <w:rStyle w:val="a5"/>
        </w:rPr>
        <w:footnoteReference w:id="2"/>
      </w:r>
      <w:r w:rsidRPr="00C14B2E">
        <w:t>，但智利独特的多山和偏远地形使其成为天文观测站的理想之地，这一比较优势使该国成为该领域的国际中心</w:t>
      </w:r>
      <w:r>
        <w:rPr>
          <w:rStyle w:val="a5"/>
        </w:rPr>
        <w:footnoteReference w:id="3"/>
      </w:r>
      <w:r w:rsidRPr="00C14B2E">
        <w:t>。相比之下，韩国凭借其在科技领域的大量投资，经历了多元化的科学扩张，发展成为一个科技创新强国</w:t>
      </w:r>
      <w:r>
        <w:rPr>
          <w:rStyle w:val="a5"/>
        </w:rPr>
        <w:footnoteReference w:id="4"/>
      </w:r>
      <w:r w:rsidRPr="00C14B2E">
        <w:t>。</w:t>
      </w:r>
    </w:p>
    <w:p w:rsidR="00C14B2E" w:rsidRDefault="00C14B2E" w:rsidP="008B4CDD"/>
    <w:p w:rsidR="00C14B2E" w:rsidRDefault="00C14B2E" w:rsidP="008B4CDD">
      <w:r w:rsidRPr="00C14B2E">
        <w:t>与国家科学发展的地方性解释不同，一些学者试图建立普遍性框架。例如，</w:t>
      </w:r>
      <w:r>
        <w:t>Comte</w:t>
      </w:r>
      <w:r w:rsidRPr="00C14B2E">
        <w:rPr>
          <w:rFonts w:hint="eastAsia"/>
        </w:rPr>
        <w:t>认</w:t>
      </w:r>
      <w:r w:rsidRPr="00C14B2E">
        <w:t>为，科学发展的自然轨迹是从共识较高的物理科学到较为复杂、共识较低的社会科学</w:t>
      </w:r>
      <w:r>
        <w:rPr>
          <w:rStyle w:val="a5"/>
        </w:rPr>
        <w:footnoteReference w:id="5"/>
      </w:r>
      <w:r w:rsidRPr="00C14B2E">
        <w:t>。</w:t>
      </w:r>
      <w:proofErr w:type="spellStart"/>
      <w:r>
        <w:rPr>
          <w:rFonts w:hint="eastAsia"/>
        </w:rPr>
        <w:t>B</w:t>
      </w:r>
      <w:r>
        <w:t>asalla</w:t>
      </w:r>
      <w:proofErr w:type="spellEnd"/>
      <w:r w:rsidRPr="00C14B2E">
        <w:t>从殖民地视角出发，认为发展阶段会影响国家的研究专业化</w:t>
      </w:r>
      <w:r>
        <w:rPr>
          <w:rStyle w:val="a5"/>
        </w:rPr>
        <w:footnoteReference w:id="6"/>
      </w:r>
      <w:r w:rsidRPr="00C14B2E">
        <w:t>。例如，在第一阶段，学科是描述性的，与自然资源和探索密切相关；第二阶段则更侧重于实验领域。尽管巴萨拉承认他的模型是一种 "启发式工具"，并认为应考虑到开展研究的环境，但他的模型仍被批评为以欧洲为中心，对文化因素不敏感</w:t>
      </w:r>
      <w:r>
        <w:rPr>
          <w:rStyle w:val="a5"/>
        </w:rPr>
        <w:footnoteReference w:id="7"/>
      </w:r>
      <w:r w:rsidRPr="00C14B2E">
        <w:t>。</w:t>
      </w:r>
    </w:p>
    <w:p w:rsidR="00C14B2E" w:rsidRDefault="00C14B2E" w:rsidP="008B4CDD">
      <w:pPr>
        <w:rPr>
          <w:rFonts w:hint="eastAsia"/>
        </w:rPr>
      </w:pPr>
    </w:p>
    <w:p w:rsidR="008B4CDD" w:rsidRDefault="008B4CDD" w:rsidP="008B4CDD">
      <w:r w:rsidRPr="008B4CDD">
        <w:t>Moya-</w:t>
      </w:r>
      <w:proofErr w:type="spellStart"/>
      <w:r w:rsidRPr="008B4CDD">
        <w:t>Anegón</w:t>
      </w:r>
      <w:proofErr w:type="spellEnd"/>
      <w:r w:rsidRPr="008B4CDD">
        <w:t xml:space="preserve"> 和 Herrero-</w:t>
      </w:r>
      <w:proofErr w:type="spellStart"/>
      <w:r w:rsidRPr="008B4CDD">
        <w:t>Solan</w:t>
      </w:r>
      <w:proofErr w:type="spellEnd"/>
      <w:r w:rsidRPr="008B4CDD">
        <w:t>根据各国的研究专业化程度将其分为三类，结果表明，国内 生产总值高的国家专门从事生物医学研究，</w:t>
      </w:r>
      <w:r w:rsidR="00C14B2E">
        <w:rPr>
          <w:rFonts w:hint="eastAsia"/>
        </w:rPr>
        <w:t>（前）</w:t>
      </w:r>
      <w:r w:rsidRPr="008B4CDD">
        <w:t>共产</w:t>
      </w:r>
      <w:r w:rsidR="00C14B2E">
        <w:rPr>
          <w:rFonts w:hint="eastAsia"/>
        </w:rPr>
        <w:t>主义</w:t>
      </w:r>
      <w:r w:rsidRPr="008B4CDD">
        <w:t>国家专门从事基础科学和工程研究，欠发达国家专门从事农业研究</w:t>
      </w:r>
      <w:r w:rsidR="00C14B2E">
        <w:rPr>
          <w:rStyle w:val="a5"/>
        </w:rPr>
        <w:footnoteReference w:id="8"/>
      </w:r>
      <w:r w:rsidRPr="008B4CDD">
        <w:t>。</w:t>
      </w:r>
      <w:proofErr w:type="spellStart"/>
      <w:r w:rsidRPr="008B4CDD">
        <w:t>Ciminiet</w:t>
      </w:r>
      <w:proofErr w:type="spellEnd"/>
      <w:r w:rsidRPr="008B4CDD">
        <w:t xml:space="preserve"> al.经济复杂性框架为从全球角度评估经济和科学变革提供了一个有用的视角</w:t>
      </w:r>
      <w:r w:rsidR="00C14B2E">
        <w:rPr>
          <w:rFonts w:hint="eastAsia"/>
        </w:rPr>
        <w:t>，这种方法</w:t>
      </w:r>
      <w:r w:rsidRPr="008B4CDD">
        <w:t>与当代经济地理学的观点密切相关，后者关注的问题包括路径依赖、锁定和邻近性</w:t>
      </w:r>
      <w:r w:rsidR="00C14B2E">
        <w:rPr>
          <w:rStyle w:val="a5"/>
        </w:rPr>
        <w:footnoteReference w:id="9"/>
      </w:r>
      <w:r w:rsidRPr="008B4CDD">
        <w:t>。</w:t>
      </w:r>
    </w:p>
    <w:p w:rsidR="008B4CDD" w:rsidRDefault="008B4CDD" w:rsidP="008B4CDD"/>
    <w:p w:rsidR="00DF4F9D" w:rsidRDefault="008B4CDD" w:rsidP="008B4CDD">
      <w:r>
        <w:t>八个例子说明了</w:t>
      </w:r>
      <w:r>
        <w:rPr>
          <w:rFonts w:hint="eastAsia"/>
        </w:rPr>
        <w:t>以</w:t>
      </w:r>
      <w:r>
        <w:t>RC</w:t>
      </w:r>
      <w:r w:rsidR="002F5186">
        <w:t>A</w:t>
      </w:r>
      <w:r w:rsidR="002F5186">
        <w:rPr>
          <w:rStyle w:val="a5"/>
        </w:rPr>
        <w:footnoteReference w:id="10"/>
      </w:r>
      <w:r>
        <w:rPr>
          <w:rFonts w:hint="eastAsia"/>
        </w:rPr>
        <w:t>衡量的</w:t>
      </w:r>
      <w:r>
        <w:t>学科专业</w:t>
      </w:r>
      <w:r>
        <w:rPr>
          <w:rFonts w:hint="eastAsia"/>
        </w:rPr>
        <w:t>化</w:t>
      </w:r>
      <w:r>
        <w:t>分布情况。植物学、人类学和考古学反映了一个国家自然和人类学资源的存在和获取情况。经济不平等是生物化学与分子生物学和癌症等资源密集型学科专业化的基础。从农业与食品科学和卫生政策与服务的分布可以看出，地方问题也是研究的驱动力。</w:t>
      </w:r>
      <w:r>
        <w:rPr>
          <w:rFonts w:hint="eastAsia"/>
        </w:rPr>
        <w:t>工</w:t>
      </w:r>
      <w:r w:rsidRPr="008B4CDD">
        <w:t>业工程和应用物理学的分布可能反映了国家经济优先事项和政策。</w:t>
      </w:r>
    </w:p>
    <w:p w:rsidR="008B4CDD" w:rsidRDefault="008B4CDD" w:rsidP="008B4CDD"/>
    <w:p w:rsidR="002F5186" w:rsidRDefault="002F5186" w:rsidP="008B4CDD">
      <w:pPr>
        <w:rPr>
          <w:rFonts w:hint="eastAsia"/>
        </w:rPr>
      </w:pPr>
      <w:r>
        <w:rPr>
          <w:rFonts w:hint="eastAsia"/>
        </w:rPr>
        <w:t>D</w:t>
      </w:r>
      <w:r>
        <w:t>ata</w:t>
      </w:r>
      <w:r>
        <w:rPr>
          <w:rFonts w:hint="eastAsia"/>
        </w:rPr>
        <w:t>：</w:t>
      </w:r>
    </w:p>
    <w:p w:rsidR="008B4CDD" w:rsidRDefault="008B4CDD" w:rsidP="008B4CDD">
      <w:r>
        <w:rPr>
          <w:rFonts w:hint="eastAsia"/>
        </w:rPr>
        <w:t>地图数据下载自</w:t>
      </w:r>
      <w:r w:rsidR="002F5186">
        <w:fldChar w:fldCharType="begin"/>
      </w:r>
      <w:r w:rsidR="002F5186">
        <w:instrText xml:space="preserve"> HYPERLINK "</w:instrText>
      </w:r>
      <w:r w:rsidR="002F5186" w:rsidRPr="008B4CDD">
        <w:instrText>https://download.csdn.net/download/weixin_67585820/84995066</w:instrText>
      </w:r>
      <w:r w:rsidR="002F5186">
        <w:instrText xml:space="preserve">" </w:instrText>
      </w:r>
      <w:r w:rsidR="002F5186">
        <w:fldChar w:fldCharType="separate"/>
      </w:r>
      <w:r w:rsidR="002F5186" w:rsidRPr="001E5B09">
        <w:rPr>
          <w:rStyle w:val="a6"/>
        </w:rPr>
        <w:t>https://download.csdn.net/download/weixin_67585820/84995066</w:t>
      </w:r>
      <w:r w:rsidR="002F5186">
        <w:fldChar w:fldCharType="end"/>
      </w:r>
    </w:p>
    <w:p w:rsidR="002F5186" w:rsidRDefault="002F5186" w:rsidP="008B4CDD">
      <w:pPr>
        <w:rPr>
          <w:rFonts w:hint="eastAsia"/>
        </w:rPr>
      </w:pPr>
      <w:r>
        <w:rPr>
          <w:rFonts w:hint="eastAsia"/>
        </w:rPr>
        <w:t>论文数据下载自</w:t>
      </w:r>
      <w:r w:rsidRPr="002F5186">
        <w:t>https://www.nature.com/articles/s41562-022-01367-x</w:t>
      </w:r>
    </w:p>
    <w:p w:rsidR="002F5186" w:rsidRDefault="002F5186" w:rsidP="008B4CDD"/>
    <w:p w:rsidR="002F5186" w:rsidRDefault="002F5186" w:rsidP="008B4CDD">
      <w:bookmarkStart w:id="0" w:name="_GoBack"/>
      <w:bookmarkEnd w:id="0"/>
      <w:r>
        <w:rPr>
          <w:rFonts w:hint="eastAsia"/>
        </w:rPr>
        <w:lastRenderedPageBreak/>
        <w:t>RCA：</w:t>
      </w:r>
    </w:p>
    <w:p w:rsidR="002F5186" w:rsidRDefault="002F5186" w:rsidP="002F5186">
      <w:r>
        <w:t xml:space="preserve">Revealed comparative advantage. The RCA of country c in discipline </w:t>
      </w:r>
      <w:proofErr w:type="spellStart"/>
      <w:r>
        <w:t>i</w:t>
      </w:r>
      <w:proofErr w:type="spellEnd"/>
      <w:r>
        <w:t xml:space="preserve"> is defined</w:t>
      </w:r>
      <w:r>
        <w:rPr>
          <w:rFonts w:hint="eastAsia"/>
        </w:rPr>
        <w:t xml:space="preserve"> </w:t>
      </w:r>
      <w:r>
        <w:t>as:</w:t>
      </w:r>
    </w:p>
    <w:p w:rsidR="002F5186" w:rsidRDefault="002F5186" w:rsidP="002F5186">
      <w:pPr>
        <w:rPr>
          <w:rFonts w:hint="eastAsia"/>
        </w:rPr>
      </w:pPr>
      <w:proofErr w:type="spellStart"/>
      <w:r>
        <w:t>RCAc,i</w:t>
      </w:r>
      <w:proofErr w:type="spellEnd"/>
      <w:r>
        <w:t xml:space="preserve"> =</w:t>
      </w:r>
      <w:r>
        <w:rPr>
          <w:rFonts w:hint="eastAsia"/>
        </w:rPr>
        <w:t>（</w:t>
      </w:r>
      <w:r>
        <w:t xml:space="preserve">P(c, </w:t>
      </w:r>
      <w:proofErr w:type="spellStart"/>
      <w:r>
        <w:t>i</w:t>
      </w:r>
      <w:proofErr w:type="spellEnd"/>
      <w:r>
        <w:t>)/</w:t>
      </w:r>
      <w:proofErr w:type="spellStart"/>
      <w:r>
        <w:t>Σi</w:t>
      </w:r>
      <w:proofErr w:type="spellEnd"/>
      <w:r>
        <w:t xml:space="preserve"> P(c, </w:t>
      </w:r>
      <w:proofErr w:type="spellStart"/>
      <w:r>
        <w:t>i</w:t>
      </w:r>
      <w:proofErr w:type="spellEnd"/>
      <w:r>
        <w:t>)</w:t>
      </w:r>
      <w:r>
        <w:rPr>
          <w:rFonts w:hint="eastAsia"/>
        </w:rPr>
        <w:t>）/（</w:t>
      </w:r>
      <w:proofErr w:type="spellStart"/>
      <w:r>
        <w:t>Σc</w:t>
      </w:r>
      <w:proofErr w:type="spellEnd"/>
      <w:r>
        <w:t xml:space="preserve"> P(c, </w:t>
      </w:r>
      <w:proofErr w:type="spellStart"/>
      <w:r>
        <w:t>i</w:t>
      </w:r>
      <w:proofErr w:type="spellEnd"/>
      <w:r>
        <w:t>)/</w:t>
      </w:r>
      <w:proofErr w:type="spellStart"/>
      <w:r>
        <w:t>Σc,i</w:t>
      </w:r>
      <w:proofErr w:type="spellEnd"/>
      <w:r>
        <w:t xml:space="preserve"> P(c, </w:t>
      </w:r>
      <w:proofErr w:type="spellStart"/>
      <w:r>
        <w:t>i</w:t>
      </w:r>
      <w:proofErr w:type="spellEnd"/>
      <w:r>
        <w:t>)</w:t>
      </w:r>
      <w:r>
        <w:rPr>
          <w:rFonts w:hint="eastAsia"/>
        </w:rPr>
        <w:t>）</w:t>
      </w:r>
    </w:p>
    <w:p w:rsidR="002F5186" w:rsidRDefault="002F5186" w:rsidP="002F5186">
      <w:r>
        <w:t xml:space="preserve">where </w:t>
      </w:r>
      <w:proofErr w:type="gramStart"/>
      <w:r>
        <w:t>P(</w:t>
      </w:r>
      <w:proofErr w:type="gramEnd"/>
      <w:r>
        <w:t xml:space="preserve">c, </w:t>
      </w:r>
      <w:proofErr w:type="spellStart"/>
      <w:r>
        <w:t>i</w:t>
      </w:r>
      <w:proofErr w:type="spellEnd"/>
      <w:r>
        <w:t>) is the number of publications produced and ‘exported’—the number</w:t>
      </w:r>
    </w:p>
    <w:p w:rsidR="002F5186" w:rsidRPr="002F5186" w:rsidRDefault="002F5186" w:rsidP="002F5186">
      <w:pPr>
        <w:rPr>
          <w:rFonts w:hint="eastAsia"/>
        </w:rPr>
      </w:pPr>
      <w:r>
        <w:t xml:space="preserve">of publications indexed in the Web of Science—by country c in discipline </w:t>
      </w:r>
      <w:proofErr w:type="spellStart"/>
      <w:r>
        <w:t>i</w:t>
      </w:r>
      <w:proofErr w:type="spellEnd"/>
      <w:r>
        <w:t>,</w:t>
      </w:r>
      <w:r>
        <w:rPr>
          <w:rFonts w:hint="eastAsia"/>
        </w:rPr>
        <w:t xml:space="preserve"> </w:t>
      </w:r>
      <w:proofErr w:type="spellStart"/>
      <w:r>
        <w:t>Σi</w:t>
      </w:r>
      <w:proofErr w:type="spellEnd"/>
      <w:r>
        <w:t xml:space="preserve"> </w:t>
      </w:r>
      <w:proofErr w:type="gramStart"/>
      <w:r>
        <w:t>P(</w:t>
      </w:r>
      <w:proofErr w:type="gramEnd"/>
      <w:r>
        <w:t xml:space="preserve">c, </w:t>
      </w:r>
      <w:proofErr w:type="spellStart"/>
      <w:r>
        <w:t>i</w:t>
      </w:r>
      <w:proofErr w:type="spellEnd"/>
      <w:r>
        <w:t xml:space="preserve">) is the total number of publications produced by country c, </w:t>
      </w:r>
      <w:proofErr w:type="spellStart"/>
      <w:r>
        <w:t>Σc</w:t>
      </w:r>
      <w:proofErr w:type="spellEnd"/>
      <w:r>
        <w:t xml:space="preserve"> P(c, </w:t>
      </w:r>
      <w:proofErr w:type="spellStart"/>
      <w:r>
        <w:t>i</w:t>
      </w:r>
      <w:proofErr w:type="spellEnd"/>
      <w:r>
        <w:t>) is</w:t>
      </w:r>
      <w:r>
        <w:rPr>
          <w:rFonts w:hint="eastAsia"/>
        </w:rPr>
        <w:t xml:space="preserve"> </w:t>
      </w:r>
      <w:r>
        <w:t xml:space="preserve">the total number of publications produced in a discipline globally and </w:t>
      </w:r>
      <w:proofErr w:type="spellStart"/>
      <w:r>
        <w:t>Σc,i</w:t>
      </w:r>
      <w:proofErr w:type="spellEnd"/>
      <w:r>
        <w:t xml:space="preserve"> P(c, </w:t>
      </w:r>
      <w:proofErr w:type="spellStart"/>
      <w:r>
        <w:t>i</w:t>
      </w:r>
      <w:proofErr w:type="spellEnd"/>
      <w:r>
        <w:t>)</w:t>
      </w:r>
      <w:r>
        <w:rPr>
          <w:rFonts w:hint="eastAsia"/>
        </w:rPr>
        <w:t xml:space="preserve"> </w:t>
      </w:r>
      <w:r>
        <w:t>is the total number of publications across all countries and disciplines.</w:t>
      </w:r>
    </w:p>
    <w:sectPr w:rsidR="002F5186" w:rsidRPr="002F5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125" w:rsidRDefault="009E6125" w:rsidP="00C14B2E">
      <w:r>
        <w:separator/>
      </w:r>
    </w:p>
  </w:endnote>
  <w:endnote w:type="continuationSeparator" w:id="0">
    <w:p w:rsidR="009E6125" w:rsidRDefault="009E6125" w:rsidP="00C1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125" w:rsidRDefault="009E6125" w:rsidP="00C14B2E">
      <w:r>
        <w:separator/>
      </w:r>
    </w:p>
  </w:footnote>
  <w:footnote w:type="continuationSeparator" w:id="0">
    <w:p w:rsidR="009E6125" w:rsidRDefault="009E6125" w:rsidP="00C14B2E">
      <w:r>
        <w:continuationSeparator/>
      </w:r>
    </w:p>
  </w:footnote>
  <w:footnote w:id="1">
    <w:p w:rsidR="00C14B2E" w:rsidRPr="00C14B2E" w:rsidRDefault="00C14B2E" w:rsidP="00C14B2E">
      <w:pPr>
        <w:autoSpaceDE w:val="0"/>
        <w:autoSpaceDN w:val="0"/>
        <w:adjustRightInd w:val="0"/>
        <w:jc w:val="left"/>
        <w:rPr>
          <w:rFonts w:hint="eastAsia"/>
          <w:sz w:val="18"/>
          <w:szCs w:val="18"/>
        </w:rPr>
      </w:pPr>
      <w:r>
        <w:rPr>
          <w:rStyle w:val="a5"/>
        </w:rPr>
        <w:footnoteRef/>
      </w:r>
      <w:r>
        <w:t xml:space="preserve"> </w:t>
      </w:r>
      <w:r w:rsidRPr="00C14B2E">
        <w:rPr>
          <w:sz w:val="18"/>
          <w:szCs w:val="18"/>
        </w:rPr>
        <w:t xml:space="preserve">Miao, Lili, et al. "The latent structure of global scientific development." Nature Human </w:t>
      </w:r>
      <w:proofErr w:type="spellStart"/>
      <w:r w:rsidRPr="00C14B2E">
        <w:rPr>
          <w:sz w:val="18"/>
          <w:szCs w:val="18"/>
        </w:rPr>
        <w:t>Behaviour</w:t>
      </w:r>
      <w:proofErr w:type="spellEnd"/>
      <w:r w:rsidRPr="00C14B2E">
        <w:rPr>
          <w:sz w:val="18"/>
          <w:szCs w:val="18"/>
        </w:rPr>
        <w:t xml:space="preserve"> 6.9 (2022): 1206-1217.</w:t>
      </w:r>
    </w:p>
  </w:footnote>
  <w:footnote w:id="2">
    <w:p w:rsidR="00C14B2E" w:rsidRDefault="00C14B2E" w:rsidP="00C14B2E">
      <w:pPr>
        <w:pStyle w:val="a3"/>
        <w:rPr>
          <w:rFonts w:hint="eastAsia"/>
        </w:rPr>
      </w:pPr>
      <w:r>
        <w:rPr>
          <w:rStyle w:val="a5"/>
        </w:rPr>
        <w:footnoteRef/>
      </w:r>
      <w:r>
        <w:t xml:space="preserve"> </w:t>
      </w:r>
      <w:proofErr w:type="spellStart"/>
      <w:r>
        <w:t>Hornyak</w:t>
      </w:r>
      <w:proofErr w:type="spellEnd"/>
      <w:r>
        <w:t>, T. Chilean research grows despite poor investment. Nat. Index</w:t>
      </w:r>
      <w:r>
        <w:rPr>
          <w:rFonts w:hint="eastAsia"/>
        </w:rPr>
        <w:t xml:space="preserve"> </w:t>
      </w:r>
      <w:r>
        <w:t>(2016).</w:t>
      </w:r>
    </w:p>
  </w:footnote>
  <w:footnote w:id="3">
    <w:p w:rsidR="00C14B2E" w:rsidRDefault="00C14B2E" w:rsidP="00C14B2E">
      <w:pPr>
        <w:pStyle w:val="a3"/>
        <w:rPr>
          <w:rFonts w:hint="eastAsia"/>
        </w:rPr>
      </w:pPr>
      <w:r>
        <w:rPr>
          <w:rStyle w:val="a5"/>
        </w:rPr>
        <w:footnoteRef/>
      </w:r>
      <w:r>
        <w:t xml:space="preserve"> </w:t>
      </w:r>
      <w:proofErr w:type="spellStart"/>
      <w:r>
        <w:t>Bajak</w:t>
      </w:r>
      <w:proofErr w:type="spellEnd"/>
      <w:r>
        <w:t>, A. Chile’s chance to embrace science for the twenty-first century.</w:t>
      </w:r>
      <w:r>
        <w:rPr>
          <w:rFonts w:hint="eastAsia"/>
        </w:rPr>
        <w:t xml:space="preserve"> </w:t>
      </w:r>
      <w:r>
        <w:t>Nature 552, S53–S55 (2017).</w:t>
      </w:r>
    </w:p>
  </w:footnote>
  <w:footnote w:id="4">
    <w:p w:rsidR="00C14B2E" w:rsidRDefault="00C14B2E" w:rsidP="00C14B2E">
      <w:pPr>
        <w:pStyle w:val="a3"/>
        <w:rPr>
          <w:rFonts w:hint="eastAsia"/>
        </w:rPr>
      </w:pPr>
      <w:r>
        <w:rPr>
          <w:rStyle w:val="a5"/>
        </w:rPr>
        <w:footnoteRef/>
      </w:r>
      <w:r>
        <w:t xml:space="preserve"> </w:t>
      </w:r>
      <w:proofErr w:type="spellStart"/>
      <w:r>
        <w:t>Yeom</w:t>
      </w:r>
      <w:proofErr w:type="spellEnd"/>
      <w:r>
        <w:t>, H. W. South Korean science needs restructuring. Nature 558,</w:t>
      </w:r>
      <w:r>
        <w:rPr>
          <w:rFonts w:hint="eastAsia"/>
        </w:rPr>
        <w:t xml:space="preserve"> </w:t>
      </w:r>
      <w:r>
        <w:t>511–513 (2018)</w:t>
      </w:r>
    </w:p>
  </w:footnote>
  <w:footnote w:id="5">
    <w:p w:rsidR="00C14B2E" w:rsidRDefault="00C14B2E">
      <w:pPr>
        <w:pStyle w:val="a3"/>
        <w:rPr>
          <w:rFonts w:hint="eastAsia"/>
        </w:rPr>
      </w:pPr>
      <w:r>
        <w:rPr>
          <w:rStyle w:val="a5"/>
        </w:rPr>
        <w:footnoteRef/>
      </w:r>
      <w:r>
        <w:t xml:space="preserve"> </w:t>
      </w:r>
      <w:r w:rsidRPr="00C14B2E">
        <w:t>Comte, A. The Positive Philosophy of Auguste Comte (C. Blanchard, 1855).</w:t>
      </w:r>
    </w:p>
  </w:footnote>
  <w:footnote w:id="6">
    <w:p w:rsidR="00C14B2E" w:rsidRDefault="00C14B2E">
      <w:pPr>
        <w:pStyle w:val="a3"/>
        <w:rPr>
          <w:rFonts w:hint="eastAsia"/>
        </w:rPr>
      </w:pPr>
      <w:r>
        <w:rPr>
          <w:rStyle w:val="a5"/>
        </w:rPr>
        <w:footnoteRef/>
      </w:r>
      <w:r>
        <w:t xml:space="preserve"> </w:t>
      </w:r>
      <w:proofErr w:type="spellStart"/>
      <w:r w:rsidRPr="00C14B2E">
        <w:t>Basalla</w:t>
      </w:r>
      <w:proofErr w:type="spellEnd"/>
      <w:r w:rsidRPr="00C14B2E">
        <w:t>, G. The spread of western science. Science 156, 611–622 (1967).</w:t>
      </w:r>
    </w:p>
  </w:footnote>
  <w:footnote w:id="7">
    <w:p w:rsidR="00C14B2E" w:rsidRDefault="00C14B2E" w:rsidP="00C14B2E">
      <w:pPr>
        <w:pStyle w:val="a3"/>
        <w:rPr>
          <w:rFonts w:hint="eastAsia"/>
        </w:rPr>
      </w:pPr>
      <w:r>
        <w:rPr>
          <w:rStyle w:val="a5"/>
        </w:rPr>
        <w:footnoteRef/>
      </w:r>
      <w:r>
        <w:t xml:space="preserve"> </w:t>
      </w:r>
      <w:r>
        <w:t xml:space="preserve">Raina, D. From west to non‐west? </w:t>
      </w:r>
      <w:proofErr w:type="spellStart"/>
      <w:r>
        <w:t>Basalla’s</w:t>
      </w:r>
      <w:proofErr w:type="spellEnd"/>
      <w:r>
        <w:t xml:space="preserve"> three‐stage model revisited. </w:t>
      </w:r>
      <w:proofErr w:type="spellStart"/>
      <w:r>
        <w:t>Sci.Cult</w:t>
      </w:r>
      <w:proofErr w:type="spellEnd"/>
      <w:r>
        <w:t>. 8, 497–516 (1999).</w:t>
      </w:r>
    </w:p>
  </w:footnote>
  <w:footnote w:id="8">
    <w:p w:rsidR="00C14B2E" w:rsidRDefault="00C14B2E" w:rsidP="00C14B2E">
      <w:pPr>
        <w:pStyle w:val="a3"/>
        <w:rPr>
          <w:rFonts w:hint="eastAsia"/>
        </w:rPr>
      </w:pPr>
      <w:r>
        <w:rPr>
          <w:rStyle w:val="a5"/>
        </w:rPr>
        <w:footnoteRef/>
      </w:r>
      <w:r>
        <w:t xml:space="preserve"> </w:t>
      </w:r>
      <w:r>
        <w:t>Moya-</w:t>
      </w:r>
      <w:proofErr w:type="spellStart"/>
      <w:r>
        <w:t>Anegón</w:t>
      </w:r>
      <w:proofErr w:type="spellEnd"/>
      <w:r>
        <w:t>, F. &amp; Herrero-Solana, V. Worldwide topology of the scientific</w:t>
      </w:r>
      <w:r>
        <w:rPr>
          <w:rFonts w:hint="eastAsia"/>
        </w:rPr>
        <w:t xml:space="preserve"> </w:t>
      </w:r>
      <w:r>
        <w:t xml:space="preserve">subject profile: a macro approach in the country level. </w:t>
      </w:r>
      <w:proofErr w:type="spellStart"/>
      <w:r>
        <w:t>PLoS</w:t>
      </w:r>
      <w:proofErr w:type="spellEnd"/>
      <w:r>
        <w:t xml:space="preserve"> ONE 8,</w:t>
      </w:r>
      <w:r>
        <w:rPr>
          <w:rFonts w:hint="eastAsia"/>
        </w:rPr>
        <w:t xml:space="preserve"> </w:t>
      </w:r>
      <w:r>
        <w:t>e83222 (2013).</w:t>
      </w:r>
    </w:p>
  </w:footnote>
  <w:footnote w:id="9">
    <w:p w:rsidR="00C14B2E" w:rsidRDefault="00C14B2E" w:rsidP="00C14B2E">
      <w:pPr>
        <w:pStyle w:val="a3"/>
      </w:pPr>
      <w:r>
        <w:rPr>
          <w:rStyle w:val="a5"/>
        </w:rPr>
        <w:footnoteRef/>
      </w:r>
      <w:r>
        <w:t xml:space="preserve"> </w:t>
      </w:r>
      <w:proofErr w:type="spellStart"/>
      <w:r>
        <w:t>Cimini</w:t>
      </w:r>
      <w:proofErr w:type="spellEnd"/>
      <w:r>
        <w:t xml:space="preserve">, G., </w:t>
      </w:r>
      <w:proofErr w:type="spellStart"/>
      <w:r>
        <w:t>Gabrielli</w:t>
      </w:r>
      <w:proofErr w:type="spellEnd"/>
      <w:r>
        <w:t xml:space="preserve">, A. &amp; </w:t>
      </w:r>
      <w:proofErr w:type="spellStart"/>
      <w:r>
        <w:t>Labini</w:t>
      </w:r>
      <w:proofErr w:type="spellEnd"/>
      <w:r>
        <w:t>, F. S. The scientific competitiveness of</w:t>
      </w:r>
      <w:r>
        <w:t xml:space="preserve"> </w:t>
      </w:r>
      <w:r>
        <w:t xml:space="preserve">nations. </w:t>
      </w:r>
      <w:proofErr w:type="spellStart"/>
      <w:r>
        <w:t>PLoS</w:t>
      </w:r>
      <w:proofErr w:type="spellEnd"/>
      <w:r>
        <w:t xml:space="preserve"> ONE 9, e113470 (2014).</w:t>
      </w:r>
    </w:p>
  </w:footnote>
  <w:footnote w:id="10">
    <w:p w:rsidR="002F5186" w:rsidRDefault="002F5186">
      <w:pPr>
        <w:pStyle w:val="a3"/>
      </w:pPr>
      <w:r>
        <w:rPr>
          <w:rStyle w:val="a5"/>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DD"/>
    <w:rsid w:val="00011EA6"/>
    <w:rsid w:val="0009427D"/>
    <w:rsid w:val="000F7F54"/>
    <w:rsid w:val="001053DC"/>
    <w:rsid w:val="00106EC2"/>
    <w:rsid w:val="00145823"/>
    <w:rsid w:val="00190F23"/>
    <w:rsid w:val="002134AE"/>
    <w:rsid w:val="0021351C"/>
    <w:rsid w:val="002156E4"/>
    <w:rsid w:val="002228FA"/>
    <w:rsid w:val="00233418"/>
    <w:rsid w:val="0026657B"/>
    <w:rsid w:val="002F5186"/>
    <w:rsid w:val="0030180A"/>
    <w:rsid w:val="0030211F"/>
    <w:rsid w:val="00350628"/>
    <w:rsid w:val="00366F92"/>
    <w:rsid w:val="00381910"/>
    <w:rsid w:val="0038478C"/>
    <w:rsid w:val="00390D46"/>
    <w:rsid w:val="003A0AA2"/>
    <w:rsid w:val="003B2741"/>
    <w:rsid w:val="003D7D72"/>
    <w:rsid w:val="003F212D"/>
    <w:rsid w:val="00400850"/>
    <w:rsid w:val="00411B0E"/>
    <w:rsid w:val="0042225F"/>
    <w:rsid w:val="00470D88"/>
    <w:rsid w:val="00483AB6"/>
    <w:rsid w:val="00491B3F"/>
    <w:rsid w:val="004F1E15"/>
    <w:rsid w:val="00513D3B"/>
    <w:rsid w:val="00541432"/>
    <w:rsid w:val="00543414"/>
    <w:rsid w:val="00551D14"/>
    <w:rsid w:val="0055309F"/>
    <w:rsid w:val="00581875"/>
    <w:rsid w:val="00583DFF"/>
    <w:rsid w:val="005A0E8E"/>
    <w:rsid w:val="005B1190"/>
    <w:rsid w:val="005B3893"/>
    <w:rsid w:val="005E48E7"/>
    <w:rsid w:val="00602625"/>
    <w:rsid w:val="00637219"/>
    <w:rsid w:val="0064660F"/>
    <w:rsid w:val="00657491"/>
    <w:rsid w:val="00672A57"/>
    <w:rsid w:val="00673FDC"/>
    <w:rsid w:val="00684B70"/>
    <w:rsid w:val="006A539A"/>
    <w:rsid w:val="006D5E4A"/>
    <w:rsid w:val="00712297"/>
    <w:rsid w:val="00761EC0"/>
    <w:rsid w:val="00777FF7"/>
    <w:rsid w:val="00825397"/>
    <w:rsid w:val="008377EA"/>
    <w:rsid w:val="00861979"/>
    <w:rsid w:val="0088773F"/>
    <w:rsid w:val="008937D4"/>
    <w:rsid w:val="008B4CDD"/>
    <w:rsid w:val="0091762C"/>
    <w:rsid w:val="0092174A"/>
    <w:rsid w:val="00932BDA"/>
    <w:rsid w:val="00935771"/>
    <w:rsid w:val="00937995"/>
    <w:rsid w:val="00957040"/>
    <w:rsid w:val="0097072C"/>
    <w:rsid w:val="009759B9"/>
    <w:rsid w:val="009A6B3C"/>
    <w:rsid w:val="009A7711"/>
    <w:rsid w:val="009E6125"/>
    <w:rsid w:val="009F29A3"/>
    <w:rsid w:val="00A02844"/>
    <w:rsid w:val="00A12D46"/>
    <w:rsid w:val="00A31889"/>
    <w:rsid w:val="00A35353"/>
    <w:rsid w:val="00A50A51"/>
    <w:rsid w:val="00A60024"/>
    <w:rsid w:val="00AE03B8"/>
    <w:rsid w:val="00B053D6"/>
    <w:rsid w:val="00B151AC"/>
    <w:rsid w:val="00B3596C"/>
    <w:rsid w:val="00B56C72"/>
    <w:rsid w:val="00B95B61"/>
    <w:rsid w:val="00BE0A2C"/>
    <w:rsid w:val="00BF3B9B"/>
    <w:rsid w:val="00C14B2E"/>
    <w:rsid w:val="00C31686"/>
    <w:rsid w:val="00C71531"/>
    <w:rsid w:val="00C7661B"/>
    <w:rsid w:val="00C81394"/>
    <w:rsid w:val="00CA483F"/>
    <w:rsid w:val="00CB76F2"/>
    <w:rsid w:val="00CF08CC"/>
    <w:rsid w:val="00D02C63"/>
    <w:rsid w:val="00D1107B"/>
    <w:rsid w:val="00D26115"/>
    <w:rsid w:val="00D41629"/>
    <w:rsid w:val="00D443BB"/>
    <w:rsid w:val="00D75D56"/>
    <w:rsid w:val="00D82546"/>
    <w:rsid w:val="00DA3571"/>
    <w:rsid w:val="00DC3ABA"/>
    <w:rsid w:val="00DF4F9D"/>
    <w:rsid w:val="00E001AC"/>
    <w:rsid w:val="00E57F5C"/>
    <w:rsid w:val="00E856DF"/>
    <w:rsid w:val="00EF28CE"/>
    <w:rsid w:val="00F0187E"/>
    <w:rsid w:val="00F024EC"/>
    <w:rsid w:val="00F055B3"/>
    <w:rsid w:val="00F3222A"/>
    <w:rsid w:val="00FA334E"/>
    <w:rsid w:val="00FD18FF"/>
    <w:rsid w:val="00FD7452"/>
    <w:rsid w:val="00FF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E8CA72"/>
  <w15:chartTrackingRefBased/>
  <w15:docId w15:val="{DD28BD8E-BAAC-3941-9C65-242B1B7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4B2E"/>
    <w:pPr>
      <w:snapToGrid w:val="0"/>
      <w:jc w:val="left"/>
    </w:pPr>
    <w:rPr>
      <w:sz w:val="18"/>
      <w:szCs w:val="18"/>
    </w:rPr>
  </w:style>
  <w:style w:type="character" w:customStyle="1" w:styleId="a4">
    <w:name w:val="脚注文本 字符"/>
    <w:basedOn w:val="a0"/>
    <w:link w:val="a3"/>
    <w:uiPriority w:val="99"/>
    <w:semiHidden/>
    <w:rsid w:val="00C14B2E"/>
    <w:rPr>
      <w:sz w:val="18"/>
      <w:szCs w:val="18"/>
    </w:rPr>
  </w:style>
  <w:style w:type="character" w:styleId="a5">
    <w:name w:val="footnote reference"/>
    <w:basedOn w:val="a0"/>
    <w:uiPriority w:val="99"/>
    <w:semiHidden/>
    <w:unhideWhenUsed/>
    <w:rsid w:val="00C14B2E"/>
    <w:rPr>
      <w:vertAlign w:val="superscript"/>
    </w:rPr>
  </w:style>
  <w:style w:type="character" w:styleId="a6">
    <w:name w:val="Hyperlink"/>
    <w:basedOn w:val="a0"/>
    <w:uiPriority w:val="99"/>
    <w:unhideWhenUsed/>
    <w:rsid w:val="002F5186"/>
    <w:rPr>
      <w:color w:val="0563C1" w:themeColor="hyperlink"/>
      <w:u w:val="single"/>
    </w:rPr>
  </w:style>
  <w:style w:type="character" w:styleId="a7">
    <w:name w:val="Unresolved Mention"/>
    <w:basedOn w:val="a0"/>
    <w:uiPriority w:val="99"/>
    <w:rsid w:val="002F5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5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FEE32-1245-8A43-A331-8BDD67CA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Ivy</cp:lastModifiedBy>
  <cp:revision>2</cp:revision>
  <dcterms:created xsi:type="dcterms:W3CDTF">2023-08-21T01:05:00Z</dcterms:created>
  <dcterms:modified xsi:type="dcterms:W3CDTF">2023-08-21T01:35:00Z</dcterms:modified>
</cp:coreProperties>
</file>