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0B2545"/>
          <w:sz w:val="44"/>
        </w:rPr>
        <w:t>SciData Agent 项目任务书</w:t>
      </w:r>
    </w:p>
    <w:p>
      <w:pPr>
        <w:jc w:val="center"/>
      </w:pPr>
      <w:r>
        <w:rPr>
          <w:rFonts w:ascii="Microsoft YaHei" w:hAnsi="Microsoft YaHei" w:eastAsia="Microsoft YaHei"/>
          <w:color w:val="555555"/>
          <w:sz w:val="22"/>
        </w:rPr>
        <w:t>基于赛道二讲解视频修订：多源科学数据查找、解析与整合 Data Agent</w:t>
      </w:r>
    </w:p>
    <w:p>
      <w:pPr>
        <w:jc w:val="center"/>
      </w:pPr>
      <w:r>
        <w:rPr>
          <w:rFonts w:ascii="Microsoft YaHei" w:hAnsi="Microsoft YaHei" w:eastAsia="Microsoft YaHei"/>
          <w:color w:val="555555"/>
          <w:sz w:val="18"/>
        </w:rPr>
        <w:t>版本：V2.0 | 修订日期：2026-07-08 | 后续开发基准文档</w:t>
      </w:r>
    </w:p>
    <w:tbl>
      <w:tblPr>
        <w:tblW w:type="auto" w:w="0"/>
        <w:jc w:val="center"/>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360"/>
            <w:shd w:fill="EEF4FF"/>
          </w:tcPr>
          <w:p>
            <w:pPr>
              <w:spacing w:after="40"/>
            </w:pPr>
            <w:r>
              <w:rPr>
                <w:rFonts w:ascii="Microsoft YaHei" w:hAnsi="Microsoft YaHei" w:eastAsia="Microsoft YaHei"/>
                <w:b/>
                <w:color w:val="1F4D78"/>
                <w:sz w:val="21"/>
              </w:rPr>
              <w:t>本文档用途</w:t>
            </w:r>
          </w:p>
          <w:p>
            <w:pPr>
              <w:spacing w:after="0" w:line="269" w:lineRule="auto"/>
            </w:pPr>
            <w:r>
              <w:rPr>
                <w:rFonts w:ascii="Microsoft YaHei" w:hAnsi="Microsoft YaHei" w:eastAsia="Microsoft YaHei"/>
                <w:sz w:val="19"/>
              </w:rPr>
              <w:t>本任务书用于替代旧版功能计划书，作为后续开发、测试、答辩材料和前端设计的统一依据。所有后续工作均围绕 Data Agent 闭环展开，而不是围绕单一 PDF 解析工具展开。</w:t>
            </w:r>
          </w:p>
        </w:tc>
      </w:tr>
    </w:tbl>
    <w:p>
      <w:pPr>
        <w:spacing w:after="40"/>
      </w:pPr>
    </w:p>
    <w:p>
      <w:pPr>
        <w:pStyle w:val="Heading1"/>
        <w:keepNext/>
      </w:pPr>
      <w:r>
        <w:rPr>
          <w:rFonts w:ascii="Microsoft YaHei" w:hAnsi="Microsoft YaHei" w:eastAsia="Microsoft YaHei"/>
          <w:color w:val="2E74B5"/>
        </w:rPr>
        <w:t>1. 视频要求提炼</w:t>
      </w:r>
    </w:p>
    <w:p>
      <w:pPr>
        <w:spacing w:after="120" w:line="276" w:lineRule="auto"/>
      </w:pPr>
      <w:r>
        <w:rPr>
          <w:rFonts w:ascii="Microsoft YaHei" w:hAnsi="Microsoft YaHei" w:eastAsia="Microsoft YaHei"/>
          <w:sz w:val="21"/>
        </w:rPr>
        <w:t>赛题归属：挑战杯中国青年科技创新“揭榜挂帅”擂台赛，阿里云榜题，赛道二“数据场景”，AI Scientist 方向中的“科学知识与数据”。</w:t>
      </w:r>
    </w:p>
    <w:p>
      <w:pPr>
        <w:spacing w:after="120" w:line="276" w:lineRule="auto"/>
      </w:pPr>
      <w:r>
        <w:rPr>
          <w:rFonts w:ascii="Microsoft YaHei" w:hAnsi="Microsoft YaHei" w:eastAsia="Microsoft YaHei"/>
          <w:sz w:val="21"/>
        </w:rPr>
        <w:t>视频中与本项目最相关的选题为“多源科学数据查找与整合”。该选题的本质不是构建普通解析器，而是构建 Data Agent：把论文、补充材料、数据库等来源中的科研信息转成可信、结构化、可追溯的数据。</w:t>
      </w:r>
    </w:p>
    <w:p>
      <w:pPr>
        <w:pStyle w:val="ListBullet"/>
        <w:spacing w:after="60" w:line="269" w:lineRule="auto"/>
      </w:pPr>
      <w:r>
        <w:rPr>
          <w:rFonts w:ascii="Microsoft YaHei" w:hAnsi="Microsoft YaHei" w:eastAsia="Microsoft YaHei"/>
          <w:sz w:val="20"/>
        </w:rPr>
        <w:t>核心流程：来源发现 -&gt; 文献/PDF 解析 -&gt; 字段抽取 -&gt; schema 对齐 -&gt; 冲突校验 -&gt; CSV/JSON/KG 输出。</w:t>
      </w:r>
    </w:p>
    <w:p>
      <w:pPr>
        <w:pStyle w:val="ListBullet"/>
        <w:spacing w:after="60" w:line="269" w:lineRule="auto"/>
      </w:pPr>
      <w:r>
        <w:rPr>
          <w:rFonts w:ascii="Microsoft YaHei" w:hAnsi="Microsoft YaHei" w:eastAsia="Microsoft YaHei"/>
          <w:sz w:val="20"/>
        </w:rPr>
        <w:t>关键提醒：OCR 和 PDF parser 只是入口能力，不能替代数据智能体。</w:t>
      </w:r>
    </w:p>
    <w:p>
      <w:pPr>
        <w:pStyle w:val="ListBullet"/>
        <w:spacing w:after="60" w:line="269" w:lineRule="auto"/>
      </w:pPr>
      <w:r>
        <w:rPr>
          <w:rFonts w:ascii="Microsoft YaHei" w:hAnsi="Microsoft YaHei" w:eastAsia="Microsoft YaHei"/>
          <w:sz w:val="20"/>
        </w:rPr>
        <w:t>关键目标：来源可信、字段准确、语义一致、可追溯、可复用、可校验。</w:t>
      </w:r>
    </w:p>
    <w:p>
      <w:pPr>
        <w:pStyle w:val="ListBullet"/>
        <w:spacing w:after="60" w:line="269" w:lineRule="auto"/>
      </w:pPr>
      <w:r>
        <w:rPr>
          <w:rFonts w:ascii="Microsoft YaHei" w:hAnsi="Microsoft YaHei" w:eastAsia="Microsoft YaHei"/>
          <w:sz w:val="20"/>
        </w:rPr>
        <w:t>评审期待：系统必须能形成闭环，能够从原始科研资料到结构化数据，再到证据、日志和质量评价。</w:t>
      </w:r>
    </w:p>
    <w:p>
      <w:pPr>
        <w:pStyle w:val="Heading1"/>
        <w:keepNext/>
      </w:pPr>
      <w:r>
        <w:rPr>
          <w:rFonts w:ascii="Microsoft YaHei" w:hAnsi="Microsoft YaHei" w:eastAsia="Microsoft YaHei"/>
          <w:color w:val="2E74B5"/>
        </w:rPr>
        <w:t>2. 项目定位</w:t>
      </w:r>
    </w:p>
    <w:p>
      <w:pPr>
        <w:spacing w:after="120" w:line="276" w:lineRule="auto"/>
      </w:pPr>
      <w:r>
        <w:rPr>
          <w:rFonts w:ascii="Microsoft YaHei" w:hAnsi="Microsoft YaHei" w:eastAsia="Microsoft YaHei"/>
          <w:sz w:val="21"/>
        </w:rPr>
        <w:t>项目名称：SciData Agent：基于通义千问的多源科学数据查找、解析与整合智能体。</w:t>
      </w:r>
    </w:p>
    <w:p>
      <w:pPr>
        <w:spacing w:after="120" w:line="276" w:lineRule="auto"/>
      </w:pPr>
      <w:r>
        <w:rPr>
          <w:rFonts w:ascii="Microsoft YaHei" w:hAnsi="Microsoft YaHei" w:eastAsia="Microsoft YaHei"/>
          <w:sz w:val="21"/>
        </w:rPr>
        <w:t>一句话定位：本项目构建一个面向科研人员的 Data Agent，基于阿里云百炼通义千问大模型，将论文、补充材料、表格和数据库中的非结构化科研信息自动转化为带证据链的结构化数据，并支持字段归一、冲突校验、质量评估和 CSV/JSON 导出。</w:t>
      </w:r>
    </w:p>
    <w:p>
      <w:pPr>
        <w:spacing w:after="120" w:line="276" w:lineRule="auto"/>
      </w:pPr>
      <w:r>
        <w:rPr>
          <w:rFonts w:ascii="Microsoft YaHei" w:hAnsi="Microsoft YaHei" w:eastAsia="Microsoft YaHei"/>
          <w:sz w:val="21"/>
        </w:rPr>
        <w:t>产品形态：后端 Agent 是核心，前端是交互入口。系统最终应包括可调用 API、交互式前端、代表性测试案例、处理日志、结构化输出、字段说明和技术报告。</w:t>
      </w:r>
    </w:p>
    <w:p>
      <w:pPr>
        <w:pStyle w:val="Heading1"/>
        <w:keepNext/>
      </w:pPr>
      <w:r>
        <w:rPr>
          <w:rFonts w:ascii="Microsoft YaHei" w:hAnsi="Microsoft YaHei" w:eastAsia="Microsoft YaHei"/>
          <w:color w:val="2E74B5"/>
        </w:rPr>
        <w:t>3. 建设原则</w:t>
      </w:r>
    </w:p>
    <w:p>
      <w:pPr>
        <w:pStyle w:val="ListBullet"/>
        <w:spacing w:after="60" w:line="269" w:lineRule="auto"/>
      </w:pPr>
      <w:r>
        <w:rPr>
          <w:rFonts w:ascii="Microsoft YaHei" w:hAnsi="Microsoft YaHei" w:eastAsia="Microsoft YaHei"/>
          <w:sz w:val="20"/>
        </w:rPr>
        <w:t>必须是真实 Agent：必须由通义千问/百炼模型参与任务规划、语义抽取、质量判断或冲突解释，不能只做规则脚本。</w:t>
      </w:r>
    </w:p>
    <w:p>
      <w:pPr>
        <w:pStyle w:val="ListBullet"/>
        <w:spacing w:after="60" w:line="269" w:lineRule="auto"/>
      </w:pPr>
      <w:r>
        <w:rPr>
          <w:rFonts w:ascii="Microsoft YaHei" w:hAnsi="Microsoft YaHei" w:eastAsia="Microsoft YaHei"/>
          <w:sz w:val="20"/>
        </w:rPr>
        <w:t>不能输出假数据：所有结构化记录必须来自输入文件、数据库或真实检索结果，并保留来源。</w:t>
      </w:r>
    </w:p>
    <w:p>
      <w:pPr>
        <w:pStyle w:val="ListBullet"/>
        <w:spacing w:after="60" w:line="269" w:lineRule="auto"/>
      </w:pPr>
      <w:r>
        <w:rPr>
          <w:rFonts w:ascii="Microsoft YaHei" w:hAnsi="Microsoft YaHei" w:eastAsia="Microsoft YaHei"/>
          <w:sz w:val="20"/>
        </w:rPr>
        <w:t>证据优先：每个关键字段必须尽量绑定 source_file、page、evidence_text、confidence 和 warnings。</w:t>
      </w:r>
    </w:p>
    <w:p>
      <w:pPr>
        <w:pStyle w:val="ListBullet"/>
        <w:spacing w:after="60" w:line="269" w:lineRule="auto"/>
      </w:pPr>
      <w:r>
        <w:rPr>
          <w:rFonts w:ascii="Microsoft YaHei" w:hAnsi="Microsoft YaHei" w:eastAsia="Microsoft YaHei"/>
          <w:sz w:val="20"/>
        </w:rPr>
        <w:t>结构化优先：输出自然语言总结可以有，但主结果必须是 CSV/JSON/KG 等可复用数据。</w:t>
      </w:r>
    </w:p>
    <w:p>
      <w:pPr>
        <w:pStyle w:val="ListBullet"/>
        <w:spacing w:after="60" w:line="269" w:lineRule="auto"/>
      </w:pPr>
      <w:r>
        <w:rPr>
          <w:rFonts w:ascii="Microsoft YaHei" w:hAnsi="Microsoft YaHei" w:eastAsia="Microsoft YaHei"/>
          <w:sz w:val="20"/>
        </w:rPr>
        <w:t>闭环优先：系统要包含规划、抽取、规范化、校验、反馈和导出，而不是单点工具。</w:t>
      </w:r>
    </w:p>
    <w:p>
      <w:pPr>
        <w:pStyle w:val="ListBullet"/>
        <w:spacing w:after="60" w:line="269" w:lineRule="auto"/>
      </w:pPr>
      <w:r>
        <w:rPr>
          <w:rFonts w:ascii="Microsoft YaHei" w:hAnsi="Microsoft YaHei" w:eastAsia="Microsoft YaHei"/>
          <w:sz w:val="20"/>
        </w:rPr>
        <w:t>最小可用优先：先实现稳定 MVP，再扩展 OCR、图表解析、外部数据库和知识图谱。</w:t>
      </w:r>
    </w:p>
    <w:p>
      <w:pPr>
        <w:pStyle w:val="Heading1"/>
        <w:keepNext/>
      </w:pPr>
      <w:r>
        <w:rPr>
          <w:rFonts w:ascii="Microsoft YaHei" w:hAnsi="Microsoft YaHei" w:eastAsia="Microsoft YaHei"/>
          <w:color w:val="2E74B5"/>
        </w:rPr>
        <w:t>4. 总体架构</w:t>
      </w:r>
    </w:p>
    <w:p>
      <w:pPr>
        <w:spacing w:after="120" w:line="276" w:lineRule="auto"/>
      </w:pPr>
      <w:r>
        <w:rPr>
          <w:rFonts w:ascii="Microsoft YaHei" w:hAnsi="Microsoft YaHei" w:eastAsia="Microsoft YaHei"/>
          <w:sz w:val="21"/>
        </w:rPr>
        <w:t>系统采用“前端交互层 + API 服务层 + Agent 编排层 + 工具层 + 数据与证据层”的结构。</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584"/>
            <w:shd w:fill="E8EEF5"/>
            <w:vAlign w:val="center"/>
          </w:tcPr>
          <w:p>
            <w:pPr>
              <w:spacing w:after="0"/>
            </w:pPr>
            <w:r/>
            <w:r>
              <w:rPr>
                <w:rFonts w:ascii="Microsoft YaHei" w:hAnsi="Microsoft YaHei" w:eastAsia="Microsoft YaHei"/>
                <w:b/>
                <w:color w:val="0B2545"/>
                <w:sz w:val="18"/>
              </w:rPr>
              <w:t>层级</w:t>
            </w:r>
          </w:p>
        </w:tc>
        <w:tc>
          <w:tcPr>
            <w:tcW w:type="dxa" w:w="2520"/>
            <w:shd w:fill="E8EEF5"/>
            <w:vAlign w:val="center"/>
          </w:tcPr>
          <w:p>
            <w:pPr>
              <w:spacing w:after="0"/>
            </w:pPr>
            <w:r/>
            <w:r>
              <w:rPr>
                <w:rFonts w:ascii="Microsoft YaHei" w:hAnsi="Microsoft YaHei" w:eastAsia="Microsoft YaHei"/>
                <w:b/>
                <w:color w:val="0B2545"/>
                <w:sz w:val="18"/>
              </w:rPr>
              <w:t>职责</w:t>
            </w:r>
          </w:p>
        </w:tc>
        <w:tc>
          <w:tcPr>
            <w:tcW w:type="dxa" w:w="2520"/>
            <w:shd w:fill="E8EEF5"/>
            <w:vAlign w:val="center"/>
          </w:tcPr>
          <w:p>
            <w:pPr>
              <w:spacing w:after="0"/>
            </w:pPr>
            <w:r/>
            <w:r>
              <w:rPr>
                <w:rFonts w:ascii="Microsoft YaHei" w:hAnsi="Microsoft YaHei" w:eastAsia="Microsoft YaHei"/>
                <w:b/>
                <w:color w:val="0B2545"/>
                <w:sz w:val="18"/>
              </w:rPr>
              <w:t>最小实现</w:t>
            </w:r>
          </w:p>
        </w:tc>
        <w:tc>
          <w:tcPr>
            <w:tcW w:type="dxa" w:w="2736"/>
            <w:shd w:fill="E8EEF5"/>
            <w:vAlign w:val="center"/>
          </w:tcPr>
          <w:p>
            <w:pPr>
              <w:spacing w:after="0"/>
            </w:pPr>
            <w:r/>
            <w:r>
              <w:rPr>
                <w:rFonts w:ascii="Microsoft YaHei" w:hAnsi="Microsoft YaHei" w:eastAsia="Microsoft YaHei"/>
                <w:b/>
                <w:color w:val="0B2545"/>
                <w:sz w:val="18"/>
              </w:rPr>
              <w:t>后续增强</w:t>
            </w:r>
          </w:p>
        </w:tc>
      </w:tr>
      <w:tr>
        <w:tc>
          <w:tcPr>
            <w:tcW w:type="dxa" w:w="1584"/>
            <w:vAlign w:val="center"/>
          </w:tcPr>
          <w:p>
            <w:pPr>
              <w:spacing w:after="0"/>
            </w:pPr>
            <w:r/>
            <w:r>
              <w:rPr>
                <w:rFonts w:ascii="Microsoft YaHei" w:hAnsi="Microsoft YaHei" w:eastAsia="Microsoft YaHei"/>
                <w:b w:val="0"/>
                <w:sz w:val="17"/>
              </w:rPr>
              <w:t>前端交互层</w:t>
            </w:r>
          </w:p>
        </w:tc>
        <w:tc>
          <w:tcPr>
            <w:tcW w:type="dxa" w:w="2520"/>
            <w:vAlign w:val="center"/>
          </w:tcPr>
          <w:p>
            <w:pPr>
              <w:spacing w:after="0"/>
            </w:pPr>
            <w:r/>
            <w:r>
              <w:rPr>
                <w:rFonts w:ascii="Microsoft YaHei" w:hAnsi="Microsoft YaHei" w:eastAsia="Microsoft YaHei"/>
                <w:b w:val="0"/>
                <w:sz w:val="17"/>
              </w:rPr>
              <w:t>输入问题、上传文件、查看结果和证据</w:t>
            </w:r>
          </w:p>
        </w:tc>
        <w:tc>
          <w:tcPr>
            <w:tcW w:type="dxa" w:w="2520"/>
            <w:vAlign w:val="center"/>
          </w:tcPr>
          <w:p>
            <w:pPr>
              <w:spacing w:after="0"/>
            </w:pPr>
            <w:r/>
            <w:r>
              <w:rPr>
                <w:rFonts w:ascii="Microsoft YaHei" w:hAnsi="Microsoft YaHei" w:eastAsia="Microsoft YaHei"/>
                <w:b w:val="0"/>
                <w:sz w:val="17"/>
              </w:rPr>
              <w:t>暂缓；先通过 CLI/API 使用</w:t>
            </w:r>
          </w:p>
        </w:tc>
        <w:tc>
          <w:tcPr>
            <w:tcW w:type="dxa" w:w="2736"/>
            <w:vAlign w:val="center"/>
          </w:tcPr>
          <w:p>
            <w:pPr>
              <w:spacing w:after="0"/>
            </w:pPr>
            <w:r/>
            <w:r>
              <w:rPr>
                <w:rFonts w:ascii="Microsoft YaHei" w:hAnsi="Microsoft YaHei" w:eastAsia="Microsoft YaHei"/>
                <w:b w:val="0"/>
                <w:sz w:val="17"/>
              </w:rPr>
              <w:t>React/Vue 页面、任务状态、证据面板、下载按钮</w:t>
            </w:r>
          </w:p>
        </w:tc>
      </w:tr>
      <w:tr>
        <w:tc>
          <w:tcPr>
            <w:tcW w:type="dxa" w:w="1584"/>
            <w:vAlign w:val="center"/>
          </w:tcPr>
          <w:p>
            <w:pPr>
              <w:spacing w:after="0"/>
            </w:pPr>
            <w:r/>
            <w:r>
              <w:rPr>
                <w:rFonts w:ascii="Microsoft YaHei" w:hAnsi="Microsoft YaHei" w:eastAsia="Microsoft YaHei"/>
                <w:b w:val="0"/>
                <w:sz w:val="17"/>
              </w:rPr>
              <w:t>API 服务层</w:t>
            </w:r>
          </w:p>
        </w:tc>
        <w:tc>
          <w:tcPr>
            <w:tcW w:type="dxa" w:w="2520"/>
            <w:vAlign w:val="center"/>
          </w:tcPr>
          <w:p>
            <w:pPr>
              <w:spacing w:after="0"/>
            </w:pPr>
            <w:r/>
            <w:r>
              <w:rPr>
                <w:rFonts w:ascii="Microsoft YaHei" w:hAnsi="Microsoft YaHei" w:eastAsia="Microsoft YaHei"/>
                <w:b w:val="0"/>
                <w:sz w:val="17"/>
              </w:rPr>
              <w:t>对外提供任务提交、查询和导出接口</w:t>
            </w:r>
          </w:p>
        </w:tc>
        <w:tc>
          <w:tcPr>
            <w:tcW w:type="dxa" w:w="2520"/>
            <w:vAlign w:val="center"/>
          </w:tcPr>
          <w:p>
            <w:pPr>
              <w:spacing w:after="0"/>
            </w:pPr>
            <w:r/>
            <w:r>
              <w:rPr>
                <w:rFonts w:ascii="Microsoft YaHei" w:hAnsi="Microsoft YaHei" w:eastAsia="Microsoft YaHei"/>
                <w:b w:val="0"/>
                <w:sz w:val="17"/>
              </w:rPr>
              <w:t>FastAPI 基础接口</w:t>
            </w:r>
          </w:p>
        </w:tc>
        <w:tc>
          <w:tcPr>
            <w:tcW w:type="dxa" w:w="2736"/>
            <w:vAlign w:val="center"/>
          </w:tcPr>
          <w:p>
            <w:pPr>
              <w:spacing w:after="0"/>
            </w:pPr>
            <w:r/>
            <w:r>
              <w:rPr>
                <w:rFonts w:ascii="Microsoft YaHei" w:hAnsi="Microsoft YaHei" w:eastAsia="Microsoft YaHei"/>
                <w:b w:val="0"/>
                <w:sz w:val="17"/>
              </w:rPr>
              <w:t>异步任务队列、用户空间、鉴权</w:t>
            </w:r>
          </w:p>
        </w:tc>
      </w:tr>
      <w:tr>
        <w:tc>
          <w:tcPr>
            <w:tcW w:type="dxa" w:w="1584"/>
            <w:vAlign w:val="center"/>
          </w:tcPr>
          <w:p>
            <w:pPr>
              <w:spacing w:after="0"/>
            </w:pPr>
            <w:r/>
            <w:r>
              <w:rPr>
                <w:rFonts w:ascii="Microsoft YaHei" w:hAnsi="Microsoft YaHei" w:eastAsia="Microsoft YaHei"/>
                <w:b w:val="0"/>
                <w:sz w:val="17"/>
              </w:rPr>
              <w:t>Agent 编排层</w:t>
            </w:r>
          </w:p>
        </w:tc>
        <w:tc>
          <w:tcPr>
            <w:tcW w:type="dxa" w:w="2520"/>
            <w:vAlign w:val="center"/>
          </w:tcPr>
          <w:p>
            <w:pPr>
              <w:spacing w:after="0"/>
            </w:pPr>
            <w:r/>
            <w:r>
              <w:rPr>
                <w:rFonts w:ascii="Microsoft YaHei" w:hAnsi="Microsoft YaHei" w:eastAsia="Microsoft YaHei"/>
                <w:b w:val="0"/>
                <w:sz w:val="17"/>
              </w:rPr>
              <w:t>规划任务、选择工具、组织抽取与校验</w:t>
            </w:r>
          </w:p>
        </w:tc>
        <w:tc>
          <w:tcPr>
            <w:tcW w:type="dxa" w:w="2520"/>
            <w:vAlign w:val="center"/>
          </w:tcPr>
          <w:p>
            <w:pPr>
              <w:spacing w:after="0"/>
            </w:pPr>
            <w:r/>
            <w:r>
              <w:rPr>
                <w:rFonts w:ascii="Microsoft YaHei" w:hAnsi="Microsoft YaHei" w:eastAsia="Microsoft YaHei"/>
                <w:b w:val="0"/>
                <w:sz w:val="17"/>
              </w:rPr>
              <w:t>Qwen planner + extractor + validator</w:t>
            </w:r>
          </w:p>
        </w:tc>
        <w:tc>
          <w:tcPr>
            <w:tcW w:type="dxa" w:w="2736"/>
            <w:vAlign w:val="center"/>
          </w:tcPr>
          <w:p>
            <w:pPr>
              <w:spacing w:after="0"/>
            </w:pPr>
            <w:r/>
            <w:r>
              <w:rPr>
                <w:rFonts w:ascii="Microsoft YaHei" w:hAnsi="Microsoft YaHei" w:eastAsia="Microsoft YaHei"/>
                <w:b w:val="0"/>
                <w:sz w:val="17"/>
              </w:rPr>
              <w:t>多轮反思、工具选择、失败重试、专家反馈闭环</w:t>
            </w:r>
          </w:p>
        </w:tc>
      </w:tr>
      <w:tr>
        <w:tc>
          <w:tcPr>
            <w:tcW w:type="dxa" w:w="1584"/>
            <w:vAlign w:val="center"/>
          </w:tcPr>
          <w:p>
            <w:pPr>
              <w:spacing w:after="0"/>
            </w:pPr>
            <w:r/>
            <w:r>
              <w:rPr>
                <w:rFonts w:ascii="Microsoft YaHei" w:hAnsi="Microsoft YaHei" w:eastAsia="Microsoft YaHei"/>
                <w:b w:val="0"/>
                <w:sz w:val="17"/>
              </w:rPr>
              <w:t>工具层</w:t>
            </w:r>
          </w:p>
        </w:tc>
        <w:tc>
          <w:tcPr>
            <w:tcW w:type="dxa" w:w="2520"/>
            <w:vAlign w:val="center"/>
          </w:tcPr>
          <w:p>
            <w:pPr>
              <w:spacing w:after="0"/>
            </w:pPr>
            <w:r/>
            <w:r>
              <w:rPr>
                <w:rFonts w:ascii="Microsoft YaHei" w:hAnsi="Microsoft YaHei" w:eastAsia="Microsoft YaHei"/>
                <w:b w:val="0"/>
                <w:sz w:val="17"/>
              </w:rPr>
              <w:t>解析 PDF/CSV/Excel，做规范化和导出</w:t>
            </w:r>
          </w:p>
        </w:tc>
        <w:tc>
          <w:tcPr>
            <w:tcW w:type="dxa" w:w="2520"/>
            <w:vAlign w:val="center"/>
          </w:tcPr>
          <w:p>
            <w:pPr>
              <w:spacing w:after="0"/>
            </w:pPr>
            <w:r/>
            <w:r>
              <w:rPr>
                <w:rFonts w:ascii="Microsoft YaHei" w:hAnsi="Microsoft YaHei" w:eastAsia="Microsoft YaHei"/>
                <w:b w:val="0"/>
                <w:sz w:val="17"/>
              </w:rPr>
              <w:t>pypdf、pandas、规则校验</w:t>
            </w:r>
          </w:p>
        </w:tc>
        <w:tc>
          <w:tcPr>
            <w:tcW w:type="dxa" w:w="2736"/>
            <w:vAlign w:val="center"/>
          </w:tcPr>
          <w:p>
            <w:pPr>
              <w:spacing w:after="0"/>
            </w:pPr>
            <w:r/>
            <w:r>
              <w:rPr>
                <w:rFonts w:ascii="Microsoft YaHei" w:hAnsi="Microsoft YaHei" w:eastAsia="Microsoft YaHei"/>
                <w:b w:val="0"/>
                <w:sz w:val="17"/>
              </w:rPr>
              <w:t>OCR、版面解析、表格识别、网页检索、数据库连接</w:t>
            </w:r>
          </w:p>
        </w:tc>
      </w:tr>
      <w:tr>
        <w:tc>
          <w:tcPr>
            <w:tcW w:type="dxa" w:w="1584"/>
            <w:vAlign w:val="center"/>
          </w:tcPr>
          <w:p>
            <w:pPr>
              <w:spacing w:after="0"/>
            </w:pPr>
            <w:r/>
            <w:r>
              <w:rPr>
                <w:rFonts w:ascii="Microsoft YaHei" w:hAnsi="Microsoft YaHei" w:eastAsia="Microsoft YaHei"/>
                <w:b w:val="0"/>
                <w:sz w:val="17"/>
              </w:rPr>
              <w:t>数据与证据层</w:t>
            </w:r>
          </w:p>
        </w:tc>
        <w:tc>
          <w:tcPr>
            <w:tcW w:type="dxa" w:w="2520"/>
            <w:vAlign w:val="center"/>
          </w:tcPr>
          <w:p>
            <w:pPr>
              <w:spacing w:after="0"/>
            </w:pPr>
            <w:r/>
            <w:r>
              <w:rPr>
                <w:rFonts w:ascii="Microsoft YaHei" w:hAnsi="Microsoft YaHei" w:eastAsia="Microsoft YaHei"/>
                <w:b w:val="0"/>
                <w:sz w:val="17"/>
              </w:rPr>
              <w:t>保存结构化结果、证据、日志和质量报告</w:t>
            </w:r>
          </w:p>
        </w:tc>
        <w:tc>
          <w:tcPr>
            <w:tcW w:type="dxa" w:w="2520"/>
            <w:vAlign w:val="center"/>
          </w:tcPr>
          <w:p>
            <w:pPr>
              <w:spacing w:after="0"/>
            </w:pPr>
            <w:r/>
            <w:r>
              <w:rPr>
                <w:rFonts w:ascii="Microsoft YaHei" w:hAnsi="Microsoft YaHei" w:eastAsia="Microsoft YaHei"/>
                <w:b w:val="0"/>
                <w:sz w:val="17"/>
              </w:rPr>
              <w:t>JSON/CSV/log 文件</w:t>
            </w:r>
          </w:p>
        </w:tc>
        <w:tc>
          <w:tcPr>
            <w:tcW w:type="dxa" w:w="2736"/>
            <w:vAlign w:val="center"/>
          </w:tcPr>
          <w:p>
            <w:pPr>
              <w:spacing w:after="0"/>
            </w:pPr>
            <w:r/>
            <w:r>
              <w:rPr>
                <w:rFonts w:ascii="Microsoft YaHei" w:hAnsi="Microsoft YaHei" w:eastAsia="Microsoft YaHei"/>
                <w:b w:val="0"/>
                <w:sz w:val="17"/>
              </w:rPr>
              <w:t>SQLite/PostgreSQL、向量库、知识图谱</w:t>
            </w:r>
          </w:p>
        </w:tc>
      </w:tr>
    </w:tbl>
    <w:p>
      <w:pPr>
        <w:spacing w:after="40"/>
      </w:pPr>
    </w:p>
    <w:p>
      <w:pPr>
        <w:pStyle w:val="Heading1"/>
        <w:keepNext/>
      </w:pPr>
      <w:r>
        <w:rPr>
          <w:rFonts w:ascii="Microsoft YaHei" w:hAnsi="Microsoft YaHei" w:eastAsia="Microsoft YaHei"/>
          <w:color w:val="2E74B5"/>
        </w:rPr>
        <w:t>5. Agent 工作流</w:t>
      </w:r>
    </w:p>
    <w:p>
      <w:pPr>
        <w:pStyle w:val="ListNumber"/>
        <w:spacing w:after="60" w:line="269" w:lineRule="auto"/>
      </w:pPr>
      <w:r>
        <w:rPr>
          <w:rFonts w:ascii="Microsoft YaHei" w:hAnsi="Microsoft YaHei" w:eastAsia="Microsoft YaHei"/>
          <w:sz w:val="20"/>
        </w:rPr>
        <w:t>任务理解：接收研究问题和文件列表，识别科研领域、目标实体、指标字段和输出 schema。</w:t>
      </w:r>
    </w:p>
    <w:p>
      <w:pPr>
        <w:pStyle w:val="ListNumber"/>
        <w:spacing w:after="60" w:line="269" w:lineRule="auto"/>
      </w:pPr>
      <w:r>
        <w:rPr>
          <w:rFonts w:ascii="Microsoft YaHei" w:hAnsi="Microsoft YaHei" w:eastAsia="Microsoft YaHei"/>
          <w:sz w:val="20"/>
        </w:rPr>
        <w:t>来源解析：解析 PDF、CSV、Excel 等输入，生成带来源定位的 text blocks 和 table blocks。</w:t>
      </w:r>
    </w:p>
    <w:p>
      <w:pPr>
        <w:pStyle w:val="ListNumber"/>
        <w:spacing w:after="60" w:line="269" w:lineRule="auto"/>
      </w:pPr>
      <w:r>
        <w:rPr>
          <w:rFonts w:ascii="Microsoft YaHei" w:hAnsi="Microsoft YaHei" w:eastAsia="Microsoft YaHei"/>
          <w:sz w:val="20"/>
        </w:rPr>
        <w:t>抽取规划：由 Qwen 生成字段抽取计划，明确字段名称、别名、单位、必填/可选要求和质量规则。</w:t>
      </w:r>
    </w:p>
    <w:p>
      <w:pPr>
        <w:pStyle w:val="ListNumber"/>
        <w:spacing w:after="60" w:line="269" w:lineRule="auto"/>
      </w:pPr>
      <w:r>
        <w:rPr>
          <w:rFonts w:ascii="Microsoft YaHei" w:hAnsi="Microsoft YaHei" w:eastAsia="Microsoft YaHei"/>
          <w:sz w:val="20"/>
        </w:rPr>
        <w:t>结构化抽取：由 Qwen 从文本块和表格块中抽取 records，不允许凭空补值。</w:t>
      </w:r>
    </w:p>
    <w:p>
      <w:pPr>
        <w:pStyle w:val="ListNumber"/>
        <w:spacing w:after="60" w:line="269" w:lineRule="auto"/>
      </w:pPr>
      <w:r>
        <w:rPr>
          <w:rFonts w:ascii="Microsoft YaHei" w:hAnsi="Microsoft YaHei" w:eastAsia="Microsoft YaHei"/>
          <w:sz w:val="20"/>
        </w:rPr>
        <w:t>Schema 对齐：把不同来源的字段名称、同义词、单位和实体名称映射到统一 schema。</w:t>
      </w:r>
    </w:p>
    <w:p>
      <w:pPr>
        <w:pStyle w:val="ListNumber"/>
        <w:spacing w:after="60" w:line="269" w:lineRule="auto"/>
      </w:pPr>
      <w:r>
        <w:rPr>
          <w:rFonts w:ascii="Microsoft YaHei" w:hAnsi="Microsoft YaHei" w:eastAsia="Microsoft YaHei"/>
          <w:sz w:val="20"/>
        </w:rPr>
        <w:t>质量校验：检查证据是否包含抽取值、字段是否缺失、单位是否合理、置信度是否足够。</w:t>
      </w:r>
    </w:p>
    <w:p>
      <w:pPr>
        <w:pStyle w:val="ListNumber"/>
        <w:spacing w:after="60" w:line="269" w:lineRule="auto"/>
      </w:pPr>
      <w:r>
        <w:rPr>
          <w:rFonts w:ascii="Microsoft YaHei" w:hAnsi="Microsoft YaHei" w:eastAsia="Microsoft YaHei"/>
          <w:sz w:val="20"/>
        </w:rPr>
        <w:t>冲突检测：识别同一实体同一指标在不同来源中的不一致，并输出冲突说明和证据。</w:t>
      </w:r>
    </w:p>
    <w:p>
      <w:pPr>
        <w:pStyle w:val="ListNumber"/>
        <w:spacing w:after="60" w:line="269" w:lineRule="auto"/>
      </w:pPr>
      <w:r>
        <w:rPr>
          <w:rFonts w:ascii="Microsoft YaHei" w:hAnsi="Microsoft YaHei" w:eastAsia="Microsoft YaHei"/>
          <w:sz w:val="20"/>
        </w:rPr>
        <w:t>结果导出：生成 result.json、result.csv、processing_log.json 和 quality_report.json。</w:t>
      </w:r>
    </w:p>
    <w:p>
      <w:pPr>
        <w:pStyle w:val="ListNumber"/>
        <w:spacing w:after="60" w:line="269" w:lineRule="auto"/>
      </w:pPr>
      <w:r>
        <w:rPr>
          <w:rFonts w:ascii="Microsoft YaHei" w:hAnsi="Microsoft YaHei" w:eastAsia="Microsoft YaHei"/>
          <w:sz w:val="20"/>
        </w:rPr>
        <w:t>反馈迭代：根据 warnings、人工反馈或专家规则，修正 schema、抽取提示词和验证规则。</w:t>
      </w:r>
    </w:p>
    <w:p>
      <w:pPr>
        <w:pStyle w:val="Heading1"/>
        <w:keepNext/>
      </w:pPr>
      <w:r>
        <w:rPr>
          <w:rFonts w:ascii="Microsoft YaHei" w:hAnsi="Microsoft YaHei" w:eastAsia="Microsoft YaHei"/>
          <w:color w:val="2E74B5"/>
        </w:rPr>
        <w:t>6. 功能范围</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512"/>
            <w:shd w:fill="E8EEF5"/>
            <w:vAlign w:val="center"/>
          </w:tcPr>
          <w:p>
            <w:pPr>
              <w:spacing w:after="0"/>
            </w:pPr>
            <w:r/>
            <w:r>
              <w:rPr>
                <w:rFonts w:ascii="Microsoft YaHei" w:hAnsi="Microsoft YaHei" w:eastAsia="Microsoft YaHei"/>
                <w:b/>
                <w:color w:val="0B2545"/>
                <w:sz w:val="18"/>
              </w:rPr>
              <w:t>模块</w:t>
            </w:r>
          </w:p>
        </w:tc>
        <w:tc>
          <w:tcPr>
            <w:tcW w:type="dxa" w:w="2808"/>
            <w:shd w:fill="E8EEF5"/>
            <w:vAlign w:val="center"/>
          </w:tcPr>
          <w:p>
            <w:pPr>
              <w:spacing w:after="0"/>
            </w:pPr>
            <w:r/>
            <w:r>
              <w:rPr>
                <w:rFonts w:ascii="Microsoft YaHei" w:hAnsi="Microsoft YaHei" w:eastAsia="Microsoft YaHei"/>
                <w:b/>
                <w:color w:val="0B2545"/>
                <w:sz w:val="18"/>
              </w:rPr>
              <w:t>必须实现</w:t>
            </w:r>
          </w:p>
        </w:tc>
        <w:tc>
          <w:tcPr>
            <w:tcW w:type="dxa" w:w="2376"/>
            <w:shd w:fill="E8EEF5"/>
            <w:vAlign w:val="center"/>
          </w:tcPr>
          <w:p>
            <w:pPr>
              <w:spacing w:after="0"/>
            </w:pPr>
            <w:r/>
            <w:r>
              <w:rPr>
                <w:rFonts w:ascii="Microsoft YaHei" w:hAnsi="Microsoft YaHei" w:eastAsia="Microsoft YaHei"/>
                <w:b/>
                <w:color w:val="0B2545"/>
                <w:sz w:val="18"/>
              </w:rPr>
              <w:t>MVP 标准</w:t>
            </w:r>
          </w:p>
        </w:tc>
        <w:tc>
          <w:tcPr>
            <w:tcW w:type="dxa" w:w="2664"/>
            <w:shd w:fill="E8EEF5"/>
            <w:vAlign w:val="center"/>
          </w:tcPr>
          <w:p>
            <w:pPr>
              <w:spacing w:after="0"/>
            </w:pPr>
            <w:r/>
            <w:r>
              <w:rPr>
                <w:rFonts w:ascii="Microsoft YaHei" w:hAnsi="Microsoft YaHei" w:eastAsia="Microsoft YaHei"/>
                <w:b/>
                <w:color w:val="0B2545"/>
                <w:sz w:val="18"/>
              </w:rPr>
              <w:t>验收标准</w:t>
            </w:r>
          </w:p>
        </w:tc>
      </w:tr>
      <w:tr>
        <w:tc>
          <w:tcPr>
            <w:tcW w:type="dxa" w:w="1512"/>
            <w:vAlign w:val="center"/>
          </w:tcPr>
          <w:p>
            <w:pPr>
              <w:spacing w:after="0"/>
            </w:pPr>
            <w:r/>
            <w:r>
              <w:rPr>
                <w:rFonts w:ascii="Microsoft YaHei" w:hAnsi="Microsoft YaHei" w:eastAsia="Microsoft YaHei"/>
                <w:b w:val="0"/>
                <w:sz w:val="17"/>
              </w:rPr>
              <w:t>文件输入</w:t>
            </w:r>
          </w:p>
        </w:tc>
        <w:tc>
          <w:tcPr>
            <w:tcW w:type="dxa" w:w="2808"/>
            <w:vAlign w:val="center"/>
          </w:tcPr>
          <w:p>
            <w:pPr>
              <w:spacing w:after="0"/>
            </w:pPr>
            <w:r/>
            <w:r>
              <w:rPr>
                <w:rFonts w:ascii="Microsoft YaHei" w:hAnsi="Microsoft YaHei" w:eastAsia="Microsoft YaHei"/>
                <w:b w:val="0"/>
                <w:sz w:val="17"/>
              </w:rPr>
              <w:t>PDF、CSV、Excel 上传/路径输入</w:t>
            </w:r>
          </w:p>
        </w:tc>
        <w:tc>
          <w:tcPr>
            <w:tcW w:type="dxa" w:w="2376"/>
            <w:vAlign w:val="center"/>
          </w:tcPr>
          <w:p>
            <w:pPr>
              <w:spacing w:after="0"/>
            </w:pPr>
            <w:r/>
            <w:r>
              <w:rPr>
                <w:rFonts w:ascii="Microsoft YaHei" w:hAnsi="Microsoft YaHei" w:eastAsia="Microsoft YaHei"/>
                <w:b w:val="0"/>
                <w:sz w:val="17"/>
              </w:rPr>
              <w:t>CLI/API 支持本地文件路径</w:t>
            </w:r>
          </w:p>
        </w:tc>
        <w:tc>
          <w:tcPr>
            <w:tcW w:type="dxa" w:w="2664"/>
            <w:vAlign w:val="center"/>
          </w:tcPr>
          <w:p>
            <w:pPr>
              <w:spacing w:after="0"/>
            </w:pPr>
            <w:r/>
            <w:r>
              <w:rPr>
                <w:rFonts w:ascii="Microsoft YaHei" w:hAnsi="Microsoft YaHei" w:eastAsia="Microsoft YaHei"/>
                <w:b w:val="0"/>
                <w:sz w:val="17"/>
              </w:rPr>
              <w:t>能读取至少 1 个 PDF 和 1 个 CSV/Excel</w:t>
            </w:r>
          </w:p>
        </w:tc>
      </w:tr>
      <w:tr>
        <w:tc>
          <w:tcPr>
            <w:tcW w:type="dxa" w:w="1512"/>
            <w:vAlign w:val="center"/>
          </w:tcPr>
          <w:p>
            <w:pPr>
              <w:spacing w:after="0"/>
            </w:pPr>
            <w:r/>
            <w:r>
              <w:rPr>
                <w:rFonts w:ascii="Microsoft YaHei" w:hAnsi="Microsoft YaHei" w:eastAsia="Microsoft YaHei"/>
                <w:b w:val="0"/>
                <w:sz w:val="17"/>
              </w:rPr>
              <w:t>任务规划</w:t>
            </w:r>
          </w:p>
        </w:tc>
        <w:tc>
          <w:tcPr>
            <w:tcW w:type="dxa" w:w="2808"/>
            <w:vAlign w:val="center"/>
          </w:tcPr>
          <w:p>
            <w:pPr>
              <w:spacing w:after="0"/>
            </w:pPr>
            <w:r/>
            <w:r>
              <w:rPr>
                <w:rFonts w:ascii="Microsoft YaHei" w:hAnsi="Microsoft YaHei" w:eastAsia="Microsoft YaHei"/>
                <w:b w:val="0"/>
                <w:sz w:val="17"/>
              </w:rPr>
              <w:t>Qwen 生成抽取计划和字段 schema</w:t>
            </w:r>
          </w:p>
        </w:tc>
        <w:tc>
          <w:tcPr>
            <w:tcW w:type="dxa" w:w="2376"/>
            <w:vAlign w:val="center"/>
          </w:tcPr>
          <w:p>
            <w:pPr>
              <w:spacing w:after="0"/>
            </w:pPr>
            <w:r/>
            <w:r>
              <w:rPr>
                <w:rFonts w:ascii="Microsoft YaHei" w:hAnsi="Microsoft YaHei" w:eastAsia="Microsoft YaHei"/>
                <w:b w:val="0"/>
                <w:sz w:val="17"/>
              </w:rPr>
              <w:t>记录 planner 输出</w:t>
            </w:r>
          </w:p>
        </w:tc>
        <w:tc>
          <w:tcPr>
            <w:tcW w:type="dxa" w:w="2664"/>
            <w:vAlign w:val="center"/>
          </w:tcPr>
          <w:p>
            <w:pPr>
              <w:spacing w:after="0"/>
            </w:pPr>
            <w:r/>
            <w:r>
              <w:rPr>
                <w:rFonts w:ascii="Microsoft YaHei" w:hAnsi="Microsoft YaHei" w:eastAsia="Microsoft YaHei"/>
                <w:b w:val="0"/>
                <w:sz w:val="17"/>
              </w:rPr>
              <w:t>日志中可见模型调用和字段计划</w:t>
            </w:r>
          </w:p>
        </w:tc>
      </w:tr>
      <w:tr>
        <w:tc>
          <w:tcPr>
            <w:tcW w:type="dxa" w:w="1512"/>
            <w:vAlign w:val="center"/>
          </w:tcPr>
          <w:p>
            <w:pPr>
              <w:spacing w:after="0"/>
            </w:pPr>
            <w:r/>
            <w:r>
              <w:rPr>
                <w:rFonts w:ascii="Microsoft YaHei" w:hAnsi="Microsoft YaHei" w:eastAsia="Microsoft YaHei"/>
                <w:b w:val="0"/>
                <w:sz w:val="17"/>
              </w:rPr>
              <w:t>文本解析</w:t>
            </w:r>
          </w:p>
        </w:tc>
        <w:tc>
          <w:tcPr>
            <w:tcW w:type="dxa" w:w="2808"/>
            <w:vAlign w:val="center"/>
          </w:tcPr>
          <w:p>
            <w:pPr>
              <w:spacing w:after="0"/>
            </w:pPr>
            <w:r/>
            <w:r>
              <w:rPr>
                <w:rFonts w:ascii="Microsoft YaHei" w:hAnsi="Microsoft YaHei" w:eastAsia="Microsoft YaHei"/>
                <w:b w:val="0"/>
                <w:sz w:val="17"/>
              </w:rPr>
              <w:t>按页解析 PDF 文本并保留页码</w:t>
            </w:r>
          </w:p>
        </w:tc>
        <w:tc>
          <w:tcPr>
            <w:tcW w:type="dxa" w:w="2376"/>
            <w:vAlign w:val="center"/>
          </w:tcPr>
          <w:p>
            <w:pPr>
              <w:spacing w:after="0"/>
            </w:pPr>
            <w:r/>
            <w:r>
              <w:rPr>
                <w:rFonts w:ascii="Microsoft YaHei" w:hAnsi="Microsoft YaHei" w:eastAsia="Microsoft YaHei"/>
                <w:b w:val="0"/>
                <w:sz w:val="17"/>
              </w:rPr>
              <w:t>支持 max_pdf_pages</w:t>
            </w:r>
          </w:p>
        </w:tc>
        <w:tc>
          <w:tcPr>
            <w:tcW w:type="dxa" w:w="2664"/>
            <w:vAlign w:val="center"/>
          </w:tcPr>
          <w:p>
            <w:pPr>
              <w:spacing w:after="0"/>
            </w:pPr>
            <w:r/>
            <w:r>
              <w:rPr>
                <w:rFonts w:ascii="Microsoft YaHei" w:hAnsi="Microsoft YaHei" w:eastAsia="Microsoft YaHei"/>
                <w:b w:val="0"/>
                <w:sz w:val="17"/>
              </w:rPr>
              <w:t>每个 text block 有 file/page/text</w:t>
            </w:r>
          </w:p>
        </w:tc>
      </w:tr>
      <w:tr>
        <w:tc>
          <w:tcPr>
            <w:tcW w:type="dxa" w:w="1512"/>
            <w:vAlign w:val="center"/>
          </w:tcPr>
          <w:p>
            <w:pPr>
              <w:spacing w:after="0"/>
            </w:pPr>
            <w:r/>
            <w:r>
              <w:rPr>
                <w:rFonts w:ascii="Microsoft YaHei" w:hAnsi="Microsoft YaHei" w:eastAsia="Microsoft YaHei"/>
                <w:b w:val="0"/>
                <w:sz w:val="17"/>
              </w:rPr>
              <w:t>表格解析</w:t>
            </w:r>
          </w:p>
        </w:tc>
        <w:tc>
          <w:tcPr>
            <w:tcW w:type="dxa" w:w="2808"/>
            <w:vAlign w:val="center"/>
          </w:tcPr>
          <w:p>
            <w:pPr>
              <w:spacing w:after="0"/>
            </w:pPr>
            <w:r/>
            <w:r>
              <w:rPr>
                <w:rFonts w:ascii="Microsoft YaHei" w:hAnsi="Microsoft YaHei" w:eastAsia="Microsoft YaHei"/>
                <w:b w:val="0"/>
                <w:sz w:val="17"/>
              </w:rPr>
              <w:t>解析 CSV/Excel 行列结构</w:t>
            </w:r>
          </w:p>
        </w:tc>
        <w:tc>
          <w:tcPr>
            <w:tcW w:type="dxa" w:w="2376"/>
            <w:vAlign w:val="center"/>
          </w:tcPr>
          <w:p>
            <w:pPr>
              <w:spacing w:after="0"/>
            </w:pPr>
            <w:r/>
            <w:r>
              <w:rPr>
                <w:rFonts w:ascii="Microsoft YaHei" w:hAnsi="Microsoft YaHei" w:eastAsia="Microsoft YaHei"/>
                <w:b w:val="0"/>
                <w:sz w:val="17"/>
              </w:rPr>
              <w:t>支持 pandas 读取</w:t>
            </w:r>
          </w:p>
        </w:tc>
        <w:tc>
          <w:tcPr>
            <w:tcW w:type="dxa" w:w="2664"/>
            <w:vAlign w:val="center"/>
          </w:tcPr>
          <w:p>
            <w:pPr>
              <w:spacing w:after="0"/>
            </w:pPr>
            <w:r/>
            <w:r>
              <w:rPr>
                <w:rFonts w:ascii="Microsoft YaHei" w:hAnsi="Microsoft YaHei" w:eastAsia="Microsoft YaHei"/>
                <w:b w:val="0"/>
                <w:sz w:val="17"/>
              </w:rPr>
              <w:t>表格字段可进入抽取流程</w:t>
            </w:r>
          </w:p>
        </w:tc>
      </w:tr>
      <w:tr>
        <w:tc>
          <w:tcPr>
            <w:tcW w:type="dxa" w:w="1512"/>
            <w:vAlign w:val="center"/>
          </w:tcPr>
          <w:p>
            <w:pPr>
              <w:spacing w:after="0"/>
            </w:pPr>
            <w:r/>
            <w:r>
              <w:rPr>
                <w:rFonts w:ascii="Microsoft YaHei" w:hAnsi="Microsoft YaHei" w:eastAsia="Microsoft YaHei"/>
                <w:b w:val="0"/>
                <w:sz w:val="17"/>
              </w:rPr>
              <w:t>字段抽取</w:t>
            </w:r>
          </w:p>
        </w:tc>
        <w:tc>
          <w:tcPr>
            <w:tcW w:type="dxa" w:w="2808"/>
            <w:vAlign w:val="center"/>
          </w:tcPr>
          <w:p>
            <w:pPr>
              <w:spacing w:after="0"/>
            </w:pPr>
            <w:r/>
            <w:r>
              <w:rPr>
                <w:rFonts w:ascii="Microsoft YaHei" w:hAnsi="Microsoft YaHei" w:eastAsia="Microsoft YaHei"/>
                <w:b w:val="0"/>
                <w:sz w:val="17"/>
              </w:rPr>
              <w:t>Qwen 输出结构化 records</w:t>
            </w:r>
          </w:p>
        </w:tc>
        <w:tc>
          <w:tcPr>
            <w:tcW w:type="dxa" w:w="2376"/>
            <w:vAlign w:val="center"/>
          </w:tcPr>
          <w:p>
            <w:pPr>
              <w:spacing w:after="0"/>
            </w:pPr>
            <w:r/>
            <w:r>
              <w:rPr>
                <w:rFonts w:ascii="Microsoft YaHei" w:hAnsi="Microsoft YaHei" w:eastAsia="Microsoft YaHei"/>
                <w:b w:val="0"/>
                <w:sz w:val="17"/>
              </w:rPr>
              <w:t>JSON schema 约束</w:t>
            </w:r>
          </w:p>
        </w:tc>
        <w:tc>
          <w:tcPr>
            <w:tcW w:type="dxa" w:w="2664"/>
            <w:vAlign w:val="center"/>
          </w:tcPr>
          <w:p>
            <w:pPr>
              <w:spacing w:after="0"/>
            </w:pPr>
            <w:r/>
            <w:r>
              <w:rPr>
                <w:rFonts w:ascii="Microsoft YaHei" w:hAnsi="Microsoft YaHei" w:eastAsia="Microsoft YaHei"/>
                <w:b w:val="0"/>
                <w:sz w:val="17"/>
              </w:rPr>
              <w:t>每条记录有 entity/field/value/source/evidence</w:t>
            </w:r>
          </w:p>
        </w:tc>
      </w:tr>
      <w:tr>
        <w:tc>
          <w:tcPr>
            <w:tcW w:type="dxa" w:w="1512"/>
            <w:vAlign w:val="center"/>
          </w:tcPr>
          <w:p>
            <w:pPr>
              <w:spacing w:after="0"/>
            </w:pPr>
            <w:r/>
            <w:r>
              <w:rPr>
                <w:rFonts w:ascii="Microsoft YaHei" w:hAnsi="Microsoft YaHei" w:eastAsia="Microsoft YaHei"/>
                <w:b w:val="0"/>
                <w:sz w:val="17"/>
              </w:rPr>
              <w:t>规范化</w:t>
            </w:r>
          </w:p>
        </w:tc>
        <w:tc>
          <w:tcPr>
            <w:tcW w:type="dxa" w:w="2808"/>
            <w:vAlign w:val="center"/>
          </w:tcPr>
          <w:p>
            <w:pPr>
              <w:spacing w:after="0"/>
            </w:pPr>
            <w:r/>
            <w:r>
              <w:rPr>
                <w:rFonts w:ascii="Microsoft YaHei" w:hAnsi="Microsoft YaHei" w:eastAsia="Microsoft YaHei"/>
                <w:b w:val="0"/>
                <w:sz w:val="17"/>
              </w:rPr>
              <w:t>字段名、单位、实体名归一</w:t>
            </w:r>
          </w:p>
        </w:tc>
        <w:tc>
          <w:tcPr>
            <w:tcW w:type="dxa" w:w="2376"/>
            <w:vAlign w:val="center"/>
          </w:tcPr>
          <w:p>
            <w:pPr>
              <w:spacing w:after="0"/>
            </w:pPr>
            <w:r/>
            <w:r>
              <w:rPr>
                <w:rFonts w:ascii="Microsoft YaHei" w:hAnsi="Microsoft YaHei" w:eastAsia="Microsoft YaHei"/>
                <w:b w:val="0"/>
                <w:sz w:val="17"/>
              </w:rPr>
              <w:t>内置常见指标规则</w:t>
            </w:r>
          </w:p>
        </w:tc>
        <w:tc>
          <w:tcPr>
            <w:tcW w:type="dxa" w:w="2664"/>
            <w:vAlign w:val="center"/>
          </w:tcPr>
          <w:p>
            <w:pPr>
              <w:spacing w:after="0"/>
            </w:pPr>
            <w:r/>
            <w:r>
              <w:rPr>
                <w:rFonts w:ascii="Microsoft YaHei" w:hAnsi="Microsoft YaHei" w:eastAsia="Microsoft YaHei"/>
                <w:b w:val="0"/>
                <w:sz w:val="17"/>
              </w:rPr>
              <w:t>同义字段合并到统一 field_name</w:t>
            </w:r>
          </w:p>
        </w:tc>
      </w:tr>
      <w:tr>
        <w:tc>
          <w:tcPr>
            <w:tcW w:type="dxa" w:w="1512"/>
            <w:vAlign w:val="center"/>
          </w:tcPr>
          <w:p>
            <w:pPr>
              <w:spacing w:after="0"/>
            </w:pPr>
            <w:r/>
            <w:r>
              <w:rPr>
                <w:rFonts w:ascii="Microsoft YaHei" w:hAnsi="Microsoft YaHei" w:eastAsia="Microsoft YaHei"/>
                <w:b w:val="0"/>
                <w:sz w:val="17"/>
              </w:rPr>
              <w:t>证据链</w:t>
            </w:r>
          </w:p>
        </w:tc>
        <w:tc>
          <w:tcPr>
            <w:tcW w:type="dxa" w:w="2808"/>
            <w:vAlign w:val="center"/>
          </w:tcPr>
          <w:p>
            <w:pPr>
              <w:spacing w:after="0"/>
            </w:pPr>
            <w:r/>
            <w:r>
              <w:rPr>
                <w:rFonts w:ascii="Microsoft YaHei" w:hAnsi="Microsoft YaHei" w:eastAsia="Microsoft YaHei"/>
                <w:b w:val="0"/>
                <w:sz w:val="17"/>
              </w:rPr>
              <w:t>绑定文件、页码、证据文本</w:t>
            </w:r>
          </w:p>
        </w:tc>
        <w:tc>
          <w:tcPr>
            <w:tcW w:type="dxa" w:w="2376"/>
            <w:vAlign w:val="center"/>
          </w:tcPr>
          <w:p>
            <w:pPr>
              <w:spacing w:after="0"/>
            </w:pPr>
            <w:r/>
            <w:r>
              <w:rPr>
                <w:rFonts w:ascii="Microsoft YaHei" w:hAnsi="Microsoft YaHei" w:eastAsia="Microsoft YaHei"/>
                <w:b w:val="0"/>
                <w:sz w:val="17"/>
              </w:rPr>
              <w:t>证据缺失时 warning</w:t>
            </w:r>
          </w:p>
        </w:tc>
        <w:tc>
          <w:tcPr>
            <w:tcW w:type="dxa" w:w="2664"/>
            <w:vAlign w:val="center"/>
          </w:tcPr>
          <w:p>
            <w:pPr>
              <w:spacing w:after="0"/>
            </w:pPr>
            <w:r/>
            <w:r>
              <w:rPr>
                <w:rFonts w:ascii="Microsoft YaHei" w:hAnsi="Microsoft YaHei" w:eastAsia="Microsoft YaHei"/>
                <w:b w:val="0"/>
                <w:sz w:val="17"/>
              </w:rPr>
              <w:t>关键数值必须能在 evidence_text 中找到或被标警告</w:t>
            </w:r>
          </w:p>
        </w:tc>
      </w:tr>
      <w:tr>
        <w:tc>
          <w:tcPr>
            <w:tcW w:type="dxa" w:w="1512"/>
            <w:vAlign w:val="center"/>
          </w:tcPr>
          <w:p>
            <w:pPr>
              <w:spacing w:after="0"/>
            </w:pPr>
            <w:r/>
            <w:r>
              <w:rPr>
                <w:rFonts w:ascii="Microsoft YaHei" w:hAnsi="Microsoft YaHei" w:eastAsia="Microsoft YaHei"/>
                <w:b w:val="0"/>
                <w:sz w:val="17"/>
              </w:rPr>
              <w:t>质量校验</w:t>
            </w:r>
          </w:p>
        </w:tc>
        <w:tc>
          <w:tcPr>
            <w:tcW w:type="dxa" w:w="2808"/>
            <w:vAlign w:val="center"/>
          </w:tcPr>
          <w:p>
            <w:pPr>
              <w:spacing w:after="0"/>
            </w:pPr>
            <w:r/>
            <w:r>
              <w:rPr>
                <w:rFonts w:ascii="Microsoft YaHei" w:hAnsi="Microsoft YaHei" w:eastAsia="Microsoft YaHei"/>
                <w:b w:val="0"/>
                <w:sz w:val="17"/>
              </w:rPr>
              <w:t>缺失、冲突、低置信度、单位异常检测</w:t>
            </w:r>
          </w:p>
        </w:tc>
        <w:tc>
          <w:tcPr>
            <w:tcW w:type="dxa" w:w="2376"/>
            <w:vAlign w:val="center"/>
          </w:tcPr>
          <w:p>
            <w:pPr>
              <w:spacing w:after="0"/>
            </w:pPr>
            <w:r/>
            <w:r>
              <w:rPr>
                <w:rFonts w:ascii="Microsoft YaHei" w:hAnsi="Microsoft YaHei" w:eastAsia="Microsoft YaHei"/>
                <w:b w:val="0"/>
                <w:sz w:val="17"/>
              </w:rPr>
              <w:t>Qwen validator + 规则校验</w:t>
            </w:r>
          </w:p>
        </w:tc>
        <w:tc>
          <w:tcPr>
            <w:tcW w:type="dxa" w:w="2664"/>
            <w:vAlign w:val="center"/>
          </w:tcPr>
          <w:p>
            <w:pPr>
              <w:spacing w:after="0"/>
            </w:pPr>
            <w:r/>
            <w:r>
              <w:rPr>
                <w:rFonts w:ascii="Microsoft YaHei" w:hAnsi="Microsoft YaHei" w:eastAsia="Microsoft YaHei"/>
                <w:b w:val="0"/>
                <w:sz w:val="17"/>
              </w:rPr>
              <w:t>输出 quality_report 或 warnings</w:t>
            </w:r>
          </w:p>
        </w:tc>
      </w:tr>
      <w:tr>
        <w:tc>
          <w:tcPr>
            <w:tcW w:type="dxa" w:w="1512"/>
            <w:vAlign w:val="center"/>
          </w:tcPr>
          <w:p>
            <w:pPr>
              <w:spacing w:after="0"/>
            </w:pPr>
            <w:r/>
            <w:r>
              <w:rPr>
                <w:rFonts w:ascii="Microsoft YaHei" w:hAnsi="Microsoft YaHei" w:eastAsia="Microsoft YaHei"/>
                <w:b w:val="0"/>
                <w:sz w:val="17"/>
              </w:rPr>
              <w:t>导出</w:t>
            </w:r>
          </w:p>
        </w:tc>
        <w:tc>
          <w:tcPr>
            <w:tcW w:type="dxa" w:w="2808"/>
            <w:vAlign w:val="center"/>
          </w:tcPr>
          <w:p>
            <w:pPr>
              <w:spacing w:after="0"/>
            </w:pPr>
            <w:r/>
            <w:r>
              <w:rPr>
                <w:rFonts w:ascii="Microsoft YaHei" w:hAnsi="Microsoft YaHei" w:eastAsia="Microsoft YaHei"/>
                <w:b w:val="0"/>
                <w:sz w:val="17"/>
              </w:rPr>
              <w:t>CSV/JSON/日志</w:t>
            </w:r>
          </w:p>
        </w:tc>
        <w:tc>
          <w:tcPr>
            <w:tcW w:type="dxa" w:w="2376"/>
            <w:vAlign w:val="center"/>
          </w:tcPr>
          <w:p>
            <w:pPr>
              <w:spacing w:after="0"/>
            </w:pPr>
            <w:r/>
            <w:r>
              <w:rPr>
                <w:rFonts w:ascii="Microsoft YaHei" w:hAnsi="Microsoft YaHei" w:eastAsia="Microsoft YaHei"/>
                <w:b w:val="0"/>
                <w:sz w:val="17"/>
              </w:rPr>
              <w:t>本地输出目录</w:t>
            </w:r>
          </w:p>
        </w:tc>
        <w:tc>
          <w:tcPr>
            <w:tcW w:type="dxa" w:w="2664"/>
            <w:vAlign w:val="center"/>
          </w:tcPr>
          <w:p>
            <w:pPr>
              <w:spacing w:after="0"/>
            </w:pPr>
            <w:r/>
            <w:r>
              <w:rPr>
                <w:rFonts w:ascii="Microsoft YaHei" w:hAnsi="Microsoft YaHei" w:eastAsia="Microsoft YaHei"/>
                <w:b w:val="0"/>
                <w:sz w:val="17"/>
              </w:rPr>
              <w:t>文件可被 Excel/程序直接读取</w:t>
            </w:r>
          </w:p>
        </w:tc>
      </w:tr>
      <w:tr>
        <w:tc>
          <w:tcPr>
            <w:tcW w:type="dxa" w:w="1512"/>
            <w:vAlign w:val="center"/>
          </w:tcPr>
          <w:p>
            <w:pPr>
              <w:spacing w:after="0"/>
            </w:pPr>
            <w:r/>
            <w:r>
              <w:rPr>
                <w:rFonts w:ascii="Microsoft YaHei" w:hAnsi="Microsoft YaHei" w:eastAsia="Microsoft YaHei"/>
                <w:b w:val="0"/>
                <w:sz w:val="17"/>
              </w:rPr>
              <w:t>API</w:t>
            </w:r>
          </w:p>
        </w:tc>
        <w:tc>
          <w:tcPr>
            <w:tcW w:type="dxa" w:w="2808"/>
            <w:vAlign w:val="center"/>
          </w:tcPr>
          <w:p>
            <w:pPr>
              <w:spacing w:after="0"/>
            </w:pPr>
            <w:r/>
            <w:r>
              <w:rPr>
                <w:rFonts w:ascii="Microsoft YaHei" w:hAnsi="Microsoft YaHei" w:eastAsia="Microsoft YaHei"/>
                <w:b w:val="0"/>
                <w:sz w:val="17"/>
              </w:rPr>
              <w:t>任务提交、查询、下载</w:t>
            </w:r>
          </w:p>
        </w:tc>
        <w:tc>
          <w:tcPr>
            <w:tcW w:type="dxa" w:w="2376"/>
            <w:vAlign w:val="center"/>
          </w:tcPr>
          <w:p>
            <w:pPr>
              <w:spacing w:after="0"/>
            </w:pPr>
            <w:r/>
            <w:r>
              <w:rPr>
                <w:rFonts w:ascii="Microsoft YaHei" w:hAnsi="Microsoft YaHei" w:eastAsia="Microsoft YaHei"/>
                <w:b w:val="0"/>
                <w:sz w:val="17"/>
              </w:rPr>
              <w:t>FastAPI 最小实现</w:t>
            </w:r>
          </w:p>
        </w:tc>
        <w:tc>
          <w:tcPr>
            <w:tcW w:type="dxa" w:w="2664"/>
            <w:vAlign w:val="center"/>
          </w:tcPr>
          <w:p>
            <w:pPr>
              <w:spacing w:after="0"/>
            </w:pPr>
            <w:r/>
            <w:r>
              <w:rPr>
                <w:rFonts w:ascii="Microsoft YaHei" w:hAnsi="Microsoft YaHei" w:eastAsia="Microsoft YaHei"/>
                <w:b w:val="0"/>
                <w:sz w:val="17"/>
              </w:rPr>
              <w:t>可用 curl/Postman 调用</w:t>
            </w:r>
          </w:p>
        </w:tc>
      </w:tr>
      <w:tr>
        <w:tc>
          <w:tcPr>
            <w:tcW w:type="dxa" w:w="1512"/>
            <w:vAlign w:val="center"/>
          </w:tcPr>
          <w:p>
            <w:pPr>
              <w:spacing w:after="0"/>
            </w:pPr>
            <w:r/>
            <w:r>
              <w:rPr>
                <w:rFonts w:ascii="Microsoft YaHei" w:hAnsi="Microsoft YaHei" w:eastAsia="Microsoft YaHei"/>
                <w:b w:val="0"/>
                <w:sz w:val="17"/>
              </w:rPr>
              <w:t>前端</w:t>
            </w:r>
          </w:p>
        </w:tc>
        <w:tc>
          <w:tcPr>
            <w:tcW w:type="dxa" w:w="2808"/>
            <w:vAlign w:val="center"/>
          </w:tcPr>
          <w:p>
            <w:pPr>
              <w:spacing w:after="0"/>
            </w:pPr>
            <w:r/>
            <w:r>
              <w:rPr>
                <w:rFonts w:ascii="Microsoft YaHei" w:hAnsi="Microsoft YaHei" w:eastAsia="Microsoft YaHei"/>
                <w:b w:val="0"/>
                <w:sz w:val="17"/>
              </w:rPr>
              <w:t>上传、任务状态、结果表、证据面板</w:t>
            </w:r>
          </w:p>
        </w:tc>
        <w:tc>
          <w:tcPr>
            <w:tcW w:type="dxa" w:w="2376"/>
            <w:vAlign w:val="center"/>
          </w:tcPr>
          <w:p>
            <w:pPr>
              <w:spacing w:after="0"/>
            </w:pPr>
            <w:r/>
            <w:r>
              <w:rPr>
                <w:rFonts w:ascii="Microsoft YaHei" w:hAnsi="Microsoft YaHei" w:eastAsia="Microsoft YaHei"/>
                <w:b w:val="0"/>
                <w:sz w:val="17"/>
              </w:rPr>
              <w:t>后置开发</w:t>
            </w:r>
          </w:p>
        </w:tc>
        <w:tc>
          <w:tcPr>
            <w:tcW w:type="dxa" w:w="2664"/>
            <w:vAlign w:val="center"/>
          </w:tcPr>
          <w:p>
            <w:pPr>
              <w:spacing w:after="0"/>
            </w:pPr>
            <w:r/>
            <w:r>
              <w:rPr>
                <w:rFonts w:ascii="Microsoft YaHei" w:hAnsi="Microsoft YaHei" w:eastAsia="Microsoft YaHei"/>
                <w:b w:val="0"/>
                <w:sz w:val="17"/>
              </w:rPr>
              <w:t>答辩前完成可交互页面</w:t>
            </w:r>
          </w:p>
        </w:tc>
      </w:tr>
    </w:tbl>
    <w:p>
      <w:pPr>
        <w:spacing w:after="40"/>
      </w:pPr>
    </w:p>
    <w:p>
      <w:pPr>
        <w:pStyle w:val="Heading1"/>
        <w:keepNext/>
      </w:pPr>
      <w:r>
        <w:rPr>
          <w:rFonts w:ascii="Microsoft YaHei" w:hAnsi="Microsoft YaHei" w:eastAsia="Microsoft YaHei"/>
          <w:color w:val="2E74B5"/>
        </w:rPr>
        <w:t>7. 数据结构与输出字段</w:t>
      </w:r>
    </w:p>
    <w:p>
      <w:pPr>
        <w:spacing w:after="120" w:line="276" w:lineRule="auto"/>
      </w:pPr>
      <w:r>
        <w:rPr>
          <w:rFonts w:ascii="Microsoft YaHei" w:hAnsi="Microsoft YaHei" w:eastAsia="Microsoft YaHei"/>
          <w:sz w:val="21"/>
        </w:rPr>
        <w:t>MVP 采用通用科研记录结构，既能覆盖材料科学，也能覆盖机器学习论文。具体字段可由 Agent 根据研究问题动态扩展。</w:t>
      </w:r>
    </w:p>
    <w:tbl>
      <w:tblPr>
        <w:tblW w:type="auto" w:w="0"/>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shd w:fill="F7F7F7"/>
          </w:tcPr>
          <w:p>
            <w:pPr>
              <w:spacing w:after="0"/>
            </w:pPr>
            <w:r>
              <w:rPr>
                <w:rFonts w:ascii="Consolas" w:hAnsi="Consolas"/>
                <w:sz w:val="17"/>
              </w:rPr>
              <w:t>{</w:t>
            </w:r>
            <w:r>
              <w:br/>
            </w:r>
            <w:r>
              <w:rPr>
                <w:rFonts w:ascii="Consolas" w:hAnsi="Consolas"/>
                <w:sz w:val="17"/>
              </w:rPr>
              <w:t xml:space="preserve">  "task_id": "task_xxx",</w:t>
            </w:r>
            <w:r>
              <w:br/>
            </w:r>
            <w:r>
              <w:rPr>
                <w:rFonts w:ascii="Consolas" w:hAnsi="Consolas"/>
                <w:sz w:val="17"/>
              </w:rPr>
              <w:t xml:space="preserve">  "question": "用户研究问题",</w:t>
            </w:r>
            <w:r>
              <w:br/>
            </w:r>
            <w:r>
              <w:rPr>
                <w:rFonts w:ascii="Consolas" w:hAnsi="Consolas"/>
                <w:sz w:val="17"/>
              </w:rPr>
              <w:t xml:space="preserve">  "domain": "material science / machine learning / biology / other",</w:t>
            </w:r>
            <w:r>
              <w:br/>
            </w:r>
            <w:r>
              <w:rPr>
                <w:rFonts w:ascii="Consolas" w:hAnsi="Consolas"/>
                <w:sz w:val="17"/>
              </w:rPr>
              <w:t xml:space="preserve">  "records": [</w:t>
            </w:r>
            <w:r>
              <w:br/>
            </w:r>
            <w:r>
              <w:rPr>
                <w:rFonts w:ascii="Consolas" w:hAnsi="Consolas"/>
                <w:sz w:val="17"/>
              </w:rPr>
              <w:t xml:space="preserve">    {</w:t>
            </w:r>
            <w:r>
              <w:br/>
            </w:r>
            <w:r>
              <w:rPr>
                <w:rFonts w:ascii="Consolas" w:hAnsi="Consolas"/>
                <w:sz w:val="17"/>
              </w:rPr>
              <w:t xml:space="preserve">      "entity": "材料、模型、实验对象或数据集",</w:t>
            </w:r>
            <w:r>
              <w:br/>
            </w:r>
            <w:r>
              <w:rPr>
                <w:rFonts w:ascii="Consolas" w:hAnsi="Consolas"/>
                <w:sz w:val="17"/>
              </w:rPr>
              <w:t xml:space="preserve">      "field_name": "统一后的字段名",</w:t>
            </w:r>
            <w:r>
              <w:br/>
            </w:r>
            <w:r>
              <w:rPr>
                <w:rFonts w:ascii="Consolas" w:hAnsi="Consolas"/>
                <w:sz w:val="17"/>
              </w:rPr>
              <w:t xml:space="preserve">      "field_value": "字段值",</w:t>
            </w:r>
            <w:r>
              <w:br/>
            </w:r>
            <w:r>
              <w:rPr>
                <w:rFonts w:ascii="Consolas" w:hAnsi="Consolas"/>
                <w:sz w:val="17"/>
              </w:rPr>
              <w:t xml:space="preserve">      "unit": "单位；无量纲指标标记为 dimensionless",</w:t>
            </w:r>
            <w:r>
              <w:br/>
            </w:r>
            <w:r>
              <w:rPr>
                <w:rFonts w:ascii="Consolas" w:hAnsi="Consolas"/>
                <w:sz w:val="17"/>
              </w:rPr>
              <w:t xml:space="preserve">      "condition": "实验条件或上下文",</w:t>
            </w:r>
            <w:r>
              <w:br/>
            </w:r>
            <w:r>
              <w:rPr>
                <w:rFonts w:ascii="Consolas" w:hAnsi="Consolas"/>
                <w:sz w:val="17"/>
              </w:rPr>
              <w:t xml:space="preserve">      "source_file": "来源文件名",</w:t>
            </w:r>
            <w:r>
              <w:br/>
            </w:r>
            <w:r>
              <w:rPr>
                <w:rFonts w:ascii="Consolas" w:hAnsi="Consolas"/>
                <w:sz w:val="17"/>
              </w:rPr>
              <w:t xml:space="preserve">      "page": "页码或表格行号",</w:t>
            </w:r>
            <w:r>
              <w:br/>
            </w:r>
            <w:r>
              <w:rPr>
                <w:rFonts w:ascii="Consolas" w:hAnsi="Consolas"/>
                <w:sz w:val="17"/>
              </w:rPr>
              <w:t xml:space="preserve">      "evidence_text": "原文证据",</w:t>
            </w:r>
            <w:r>
              <w:br/>
            </w:r>
            <w:r>
              <w:rPr>
                <w:rFonts w:ascii="Consolas" w:hAnsi="Consolas"/>
                <w:sz w:val="17"/>
              </w:rPr>
              <w:t xml:space="preserve">      "confidence": 0.0,</w:t>
            </w:r>
            <w:r>
              <w:br/>
            </w:r>
            <w:r>
              <w:rPr>
                <w:rFonts w:ascii="Consolas" w:hAnsi="Consolas"/>
                <w:sz w:val="17"/>
              </w:rPr>
              <w:t xml:space="preserve">      "warnings": ["证据缺失、单位缺失、冲突等"]</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"quality_report": {</w:t>
            </w:r>
            <w:r>
              <w:br/>
            </w:r>
            <w:r>
              <w:rPr>
                <w:rFonts w:ascii="Consolas" w:hAnsi="Consolas"/>
                <w:sz w:val="17"/>
              </w:rPr>
              <w:t xml:space="preserve">    "record_count": 0,</w:t>
            </w:r>
            <w:r>
              <w:br/>
            </w:r>
            <w:r>
              <w:rPr>
                <w:rFonts w:ascii="Consolas" w:hAnsi="Consolas"/>
                <w:sz w:val="17"/>
              </w:rPr>
              <w:t xml:space="preserve">    "warning_count": 0,</w:t>
            </w:r>
            <w:r>
              <w:br/>
            </w:r>
            <w:r>
              <w:rPr>
                <w:rFonts w:ascii="Consolas" w:hAnsi="Consolas"/>
                <w:sz w:val="17"/>
              </w:rPr>
              <w:t xml:space="preserve">    "conflicts": []</w:t>
            </w:r>
            <w:r>
              <w:br/>
            </w:r>
            <w:r>
              <w:rPr>
                <w:rFonts w:ascii="Consolas" w:hAnsi="Consolas"/>
                <w:sz w:val="17"/>
              </w:rPr>
              <w:t xml:space="preserve">  }</w:t>
            </w:r>
            <w:r>
              <w:br/>
            </w:r>
            <w:r>
              <w:rPr>
                <w:rFonts w:ascii="Consolas" w:hAnsi="Consolas"/>
                <w:sz w:val="17"/>
              </w:rPr>
              <w:t>}</w:t>
            </w:r>
          </w:p>
        </w:tc>
      </w:tr>
    </w:tbl>
    <w:p>
      <w:pPr>
        <w:spacing w:after="40"/>
      </w:pPr>
    </w:p>
    <w:p>
      <w:pPr>
        <w:pStyle w:val="Heading1"/>
        <w:keepNext/>
      </w:pPr>
      <w:r>
        <w:rPr>
          <w:rFonts w:ascii="Microsoft YaHei" w:hAnsi="Microsoft YaHei" w:eastAsia="Microsoft YaHei"/>
          <w:color w:val="2E74B5"/>
        </w:rPr>
        <w:t>8. MVP 开发计划</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800"/>
            <w:shd w:fill="E8EEF5"/>
            <w:vAlign w:val="center"/>
          </w:tcPr>
          <w:p>
            <w:pPr>
              <w:spacing w:after="0"/>
            </w:pPr>
            <w:r/>
            <w:r>
              <w:rPr>
                <w:rFonts w:ascii="Microsoft YaHei" w:hAnsi="Microsoft YaHei" w:eastAsia="Microsoft YaHei"/>
                <w:b/>
                <w:color w:val="0B2545"/>
                <w:sz w:val="18"/>
              </w:rPr>
              <w:t>阶段</w:t>
            </w:r>
          </w:p>
        </w:tc>
        <w:tc>
          <w:tcPr>
            <w:tcW w:type="dxa" w:w="1944"/>
            <w:shd w:fill="E8EEF5"/>
            <w:vAlign w:val="center"/>
          </w:tcPr>
          <w:p>
            <w:pPr>
              <w:spacing w:after="0"/>
            </w:pPr>
            <w:r/>
            <w:r>
              <w:rPr>
                <w:rFonts w:ascii="Microsoft YaHei" w:hAnsi="Microsoft YaHei" w:eastAsia="Microsoft YaHei"/>
                <w:b/>
                <w:color w:val="0B2545"/>
                <w:sz w:val="18"/>
              </w:rPr>
              <w:t>目标</w:t>
            </w:r>
          </w:p>
        </w:tc>
        <w:tc>
          <w:tcPr>
            <w:tcW w:type="dxa" w:w="3671"/>
            <w:shd w:fill="E8EEF5"/>
            <w:vAlign w:val="center"/>
          </w:tcPr>
          <w:p>
            <w:pPr>
              <w:spacing w:after="0"/>
            </w:pPr>
            <w:r/>
            <w:r>
              <w:rPr>
                <w:rFonts w:ascii="Microsoft YaHei" w:hAnsi="Microsoft YaHei" w:eastAsia="Microsoft YaHei"/>
                <w:b/>
                <w:color w:val="0B2545"/>
                <w:sz w:val="18"/>
              </w:rPr>
              <w:t>具体任务</w:t>
            </w:r>
          </w:p>
        </w:tc>
        <w:tc>
          <w:tcPr>
            <w:tcW w:type="dxa" w:w="1944"/>
            <w:shd w:fill="E8EEF5"/>
            <w:vAlign w:val="center"/>
          </w:tcPr>
          <w:p>
            <w:pPr>
              <w:spacing w:after="0"/>
            </w:pPr>
            <w:r/>
            <w:r>
              <w:rPr>
                <w:rFonts w:ascii="Microsoft YaHei" w:hAnsi="Microsoft YaHei" w:eastAsia="Microsoft YaHei"/>
                <w:b/>
                <w:color w:val="0B2545"/>
                <w:sz w:val="18"/>
              </w:rPr>
              <w:t>完成标志</w:t>
            </w:r>
          </w:p>
        </w:tc>
      </w:tr>
      <w:tr>
        <w:tc>
          <w:tcPr>
            <w:tcW w:type="dxa" w:w="1800"/>
            <w:vAlign w:val="center"/>
          </w:tcPr>
          <w:p>
            <w:pPr>
              <w:spacing w:after="0"/>
            </w:pPr>
            <w:r/>
            <w:r>
              <w:rPr>
                <w:rFonts w:ascii="Microsoft YaHei" w:hAnsi="Microsoft YaHei" w:eastAsia="Microsoft YaHei"/>
                <w:b w:val="0"/>
                <w:sz w:val="17"/>
              </w:rPr>
              <w:t>阶段 1：后端闭环</w:t>
            </w:r>
          </w:p>
        </w:tc>
        <w:tc>
          <w:tcPr>
            <w:tcW w:type="dxa" w:w="1944"/>
            <w:vAlign w:val="center"/>
          </w:tcPr>
          <w:p>
            <w:pPr>
              <w:spacing w:after="0"/>
            </w:pPr>
            <w:r/>
            <w:r>
              <w:rPr>
                <w:rFonts w:ascii="Microsoft YaHei" w:hAnsi="Microsoft YaHei" w:eastAsia="Microsoft YaHei"/>
                <w:b w:val="0"/>
                <w:sz w:val="17"/>
              </w:rPr>
              <w:t>把现有 Agent 改成符合视频要求的 Data Agent MVP</w:t>
            </w:r>
          </w:p>
        </w:tc>
        <w:tc>
          <w:tcPr>
            <w:tcW w:type="dxa" w:w="3671"/>
            <w:vAlign w:val="center"/>
          </w:tcPr>
          <w:p>
            <w:pPr>
              <w:spacing w:after="0"/>
            </w:pPr>
            <w:r/>
            <w:r>
              <w:rPr>
                <w:rFonts w:ascii="Microsoft YaHei" w:hAnsi="Microsoft YaHei" w:eastAsia="Microsoft YaHei"/>
                <w:b w:val="0"/>
                <w:sz w:val="17"/>
              </w:rPr>
              <w:t>完善 planner/extractor/validator；补 quality_report；强化证据检查；优化字段归一</w:t>
            </w:r>
          </w:p>
        </w:tc>
        <w:tc>
          <w:tcPr>
            <w:tcW w:type="dxa" w:w="1944"/>
            <w:vAlign w:val="center"/>
          </w:tcPr>
          <w:p>
            <w:pPr>
              <w:spacing w:after="0"/>
            </w:pPr>
            <w:r/>
            <w:r>
              <w:rPr>
                <w:rFonts w:ascii="Microsoft YaHei" w:hAnsi="Microsoft YaHei" w:eastAsia="Microsoft YaHei"/>
                <w:b w:val="0"/>
                <w:sz w:val="17"/>
              </w:rPr>
              <w:t>CLI 跑通 PDF + CSV 案例，输出四类文件</w:t>
            </w:r>
          </w:p>
        </w:tc>
      </w:tr>
      <w:tr>
        <w:tc>
          <w:tcPr>
            <w:tcW w:type="dxa" w:w="1800"/>
            <w:vAlign w:val="center"/>
          </w:tcPr>
          <w:p>
            <w:pPr>
              <w:spacing w:after="0"/>
            </w:pPr>
            <w:r/>
            <w:r>
              <w:rPr>
                <w:rFonts w:ascii="Microsoft YaHei" w:hAnsi="Microsoft YaHei" w:eastAsia="Microsoft YaHei"/>
                <w:b w:val="0"/>
                <w:sz w:val="17"/>
              </w:rPr>
              <w:t>阶段 2：质量提升</w:t>
            </w:r>
          </w:p>
        </w:tc>
        <w:tc>
          <w:tcPr>
            <w:tcW w:type="dxa" w:w="1944"/>
            <w:vAlign w:val="center"/>
          </w:tcPr>
          <w:p>
            <w:pPr>
              <w:spacing w:after="0"/>
            </w:pPr>
            <w:r/>
            <w:r>
              <w:rPr>
                <w:rFonts w:ascii="Microsoft YaHei" w:hAnsi="Microsoft YaHei" w:eastAsia="Microsoft YaHei"/>
                <w:b w:val="0"/>
                <w:sz w:val="17"/>
              </w:rPr>
              <w:t>减少幻觉和错误抽取</w:t>
            </w:r>
          </w:p>
        </w:tc>
        <w:tc>
          <w:tcPr>
            <w:tcW w:type="dxa" w:w="3671"/>
            <w:vAlign w:val="center"/>
          </w:tcPr>
          <w:p>
            <w:pPr>
              <w:spacing w:after="0"/>
            </w:pPr>
            <w:r/>
            <w:r>
              <w:rPr>
                <w:rFonts w:ascii="Microsoft YaHei" w:hAnsi="Microsoft YaHei" w:eastAsia="Microsoft YaHei"/>
                <w:b w:val="0"/>
                <w:sz w:val="17"/>
              </w:rPr>
              <w:t>数值必须出现在证据中；无量纲单位规则；去重；冲突检测；测试集</w:t>
            </w:r>
          </w:p>
        </w:tc>
        <w:tc>
          <w:tcPr>
            <w:tcW w:type="dxa" w:w="1944"/>
            <w:vAlign w:val="center"/>
          </w:tcPr>
          <w:p>
            <w:pPr>
              <w:spacing w:after="0"/>
            </w:pPr>
            <w:r/>
            <w:r>
              <w:rPr>
                <w:rFonts w:ascii="Microsoft YaHei" w:hAnsi="Microsoft YaHei" w:eastAsia="Microsoft YaHei"/>
                <w:b w:val="0"/>
                <w:sz w:val="17"/>
              </w:rPr>
              <w:t>错误值被过滤或标记，冲突能被报告</w:t>
            </w:r>
          </w:p>
        </w:tc>
      </w:tr>
      <w:tr>
        <w:tc>
          <w:tcPr>
            <w:tcW w:type="dxa" w:w="1800"/>
            <w:vAlign w:val="center"/>
          </w:tcPr>
          <w:p>
            <w:pPr>
              <w:spacing w:after="0"/>
            </w:pPr>
            <w:r/>
            <w:r>
              <w:rPr>
                <w:rFonts w:ascii="Microsoft YaHei" w:hAnsi="Microsoft YaHei" w:eastAsia="Microsoft YaHei"/>
                <w:b w:val="0"/>
                <w:sz w:val="17"/>
              </w:rPr>
              <w:t>阶段 3：API 完整化</w:t>
            </w:r>
          </w:p>
        </w:tc>
        <w:tc>
          <w:tcPr>
            <w:tcW w:type="dxa" w:w="1944"/>
            <w:vAlign w:val="center"/>
          </w:tcPr>
          <w:p>
            <w:pPr>
              <w:spacing w:after="0"/>
            </w:pPr>
            <w:r/>
            <w:r>
              <w:rPr>
                <w:rFonts w:ascii="Microsoft YaHei" w:hAnsi="Microsoft YaHei" w:eastAsia="Microsoft YaHei"/>
                <w:b w:val="0"/>
                <w:sz w:val="17"/>
              </w:rPr>
              <w:t>形成可调用接口</w:t>
            </w:r>
          </w:p>
        </w:tc>
        <w:tc>
          <w:tcPr>
            <w:tcW w:type="dxa" w:w="3671"/>
            <w:vAlign w:val="center"/>
          </w:tcPr>
          <w:p>
            <w:pPr>
              <w:spacing w:after="0"/>
            </w:pPr>
            <w:r/>
            <w:r>
              <w:rPr>
                <w:rFonts w:ascii="Microsoft YaHei" w:hAnsi="Microsoft YaHei" w:eastAsia="Microsoft YaHei"/>
                <w:b w:val="0"/>
                <w:sz w:val="17"/>
              </w:rPr>
              <w:t>POST /api/analyze；GET /api/tasks/{id}；GET /api/tasks/{id}/export</w:t>
            </w:r>
          </w:p>
        </w:tc>
        <w:tc>
          <w:tcPr>
            <w:tcW w:type="dxa" w:w="1944"/>
            <w:vAlign w:val="center"/>
          </w:tcPr>
          <w:p>
            <w:pPr>
              <w:spacing w:after="0"/>
            </w:pPr>
            <w:r/>
            <w:r>
              <w:rPr>
                <w:rFonts w:ascii="Microsoft YaHei" w:hAnsi="Microsoft YaHei" w:eastAsia="Microsoft YaHei"/>
                <w:b w:val="0"/>
                <w:sz w:val="17"/>
              </w:rPr>
              <w:t>Postman/curl 可提交任务并下载结果</w:t>
            </w:r>
          </w:p>
        </w:tc>
      </w:tr>
      <w:tr>
        <w:tc>
          <w:tcPr>
            <w:tcW w:type="dxa" w:w="1800"/>
            <w:vAlign w:val="center"/>
          </w:tcPr>
          <w:p>
            <w:pPr>
              <w:spacing w:after="0"/>
            </w:pPr>
            <w:r/>
            <w:r>
              <w:rPr>
                <w:rFonts w:ascii="Microsoft YaHei" w:hAnsi="Microsoft YaHei" w:eastAsia="Microsoft YaHei"/>
                <w:b w:val="0"/>
                <w:sz w:val="17"/>
              </w:rPr>
              <w:t>阶段 4：前端最小版</w:t>
            </w:r>
          </w:p>
        </w:tc>
        <w:tc>
          <w:tcPr>
            <w:tcW w:type="dxa" w:w="1944"/>
            <w:vAlign w:val="center"/>
          </w:tcPr>
          <w:p>
            <w:pPr>
              <w:spacing w:after="0"/>
            </w:pPr>
            <w:r/>
            <w:r>
              <w:rPr>
                <w:rFonts w:ascii="Microsoft YaHei" w:hAnsi="Microsoft YaHei" w:eastAsia="Microsoft YaHei"/>
                <w:b w:val="0"/>
                <w:sz w:val="17"/>
              </w:rPr>
              <w:t>满足交互式前端要求</w:t>
            </w:r>
          </w:p>
        </w:tc>
        <w:tc>
          <w:tcPr>
            <w:tcW w:type="dxa" w:w="3671"/>
            <w:vAlign w:val="center"/>
          </w:tcPr>
          <w:p>
            <w:pPr>
              <w:spacing w:after="0"/>
            </w:pPr>
            <w:r/>
            <w:r>
              <w:rPr>
                <w:rFonts w:ascii="Microsoft YaHei" w:hAnsi="Microsoft YaHei" w:eastAsia="Microsoft YaHei"/>
                <w:b w:val="0"/>
                <w:sz w:val="17"/>
              </w:rPr>
              <w:t>问题输入、文件上传、状态、结果表、证据侧栏、下载</w:t>
            </w:r>
          </w:p>
        </w:tc>
        <w:tc>
          <w:tcPr>
            <w:tcW w:type="dxa" w:w="1944"/>
            <w:vAlign w:val="center"/>
          </w:tcPr>
          <w:p>
            <w:pPr>
              <w:spacing w:after="0"/>
            </w:pPr>
            <w:r/>
            <w:r>
              <w:rPr>
                <w:rFonts w:ascii="Microsoft YaHei" w:hAnsi="Microsoft YaHei" w:eastAsia="Microsoft YaHei"/>
                <w:b w:val="0"/>
                <w:sz w:val="17"/>
              </w:rPr>
              <w:t>浏览器可完成一次端到端演示</w:t>
            </w:r>
          </w:p>
        </w:tc>
      </w:tr>
      <w:tr>
        <w:tc>
          <w:tcPr>
            <w:tcW w:type="dxa" w:w="1800"/>
            <w:vAlign w:val="center"/>
          </w:tcPr>
          <w:p>
            <w:pPr>
              <w:spacing w:after="0"/>
            </w:pPr>
            <w:r/>
            <w:r>
              <w:rPr>
                <w:rFonts w:ascii="Microsoft YaHei" w:hAnsi="Microsoft YaHei" w:eastAsia="Microsoft YaHei"/>
                <w:b w:val="0"/>
                <w:sz w:val="17"/>
              </w:rPr>
              <w:t>阶段 5：参赛材料</w:t>
            </w:r>
          </w:p>
        </w:tc>
        <w:tc>
          <w:tcPr>
            <w:tcW w:type="dxa" w:w="1944"/>
            <w:vAlign w:val="center"/>
          </w:tcPr>
          <w:p>
            <w:pPr>
              <w:spacing w:after="0"/>
            </w:pPr>
            <w:r/>
            <w:r>
              <w:rPr>
                <w:rFonts w:ascii="Microsoft YaHei" w:hAnsi="Microsoft YaHei" w:eastAsia="Microsoft YaHei"/>
                <w:b w:val="0"/>
                <w:sz w:val="17"/>
              </w:rPr>
              <w:t>准备答辩和提交材料</w:t>
            </w:r>
          </w:p>
        </w:tc>
        <w:tc>
          <w:tcPr>
            <w:tcW w:type="dxa" w:w="3671"/>
            <w:vAlign w:val="center"/>
          </w:tcPr>
          <w:p>
            <w:pPr>
              <w:spacing w:after="0"/>
            </w:pPr>
            <w:r/>
            <w:r>
              <w:rPr>
                <w:rFonts w:ascii="Microsoft YaHei" w:hAnsi="Microsoft YaHei" w:eastAsia="Microsoft YaHei"/>
                <w:b w:val="0"/>
                <w:sz w:val="17"/>
              </w:rPr>
              <w:t>PPT/PDF 20 页内；测试案例；技术报告；源码说明；演示视频</w:t>
            </w:r>
          </w:p>
        </w:tc>
        <w:tc>
          <w:tcPr>
            <w:tcW w:type="dxa" w:w="1944"/>
            <w:vAlign w:val="center"/>
          </w:tcPr>
          <w:p>
            <w:pPr>
              <w:spacing w:after="0"/>
            </w:pPr>
            <w:r/>
            <w:r>
              <w:rPr>
                <w:rFonts w:ascii="Microsoft YaHei" w:hAnsi="Microsoft YaHei" w:eastAsia="Microsoft YaHei"/>
                <w:b w:val="0"/>
                <w:sz w:val="17"/>
              </w:rPr>
              <w:t>材料齐全且与官方要求一致</w:t>
            </w:r>
          </w:p>
        </w:tc>
      </w:tr>
    </w:tbl>
    <w:p>
      <w:pPr>
        <w:spacing w:after="40"/>
      </w:pPr>
    </w:p>
    <w:p>
      <w:pPr>
        <w:pStyle w:val="Heading1"/>
        <w:keepNext/>
      </w:pPr>
      <w:r>
        <w:rPr>
          <w:rFonts w:ascii="Microsoft YaHei" w:hAnsi="Microsoft YaHei" w:eastAsia="Microsoft YaHei"/>
          <w:color w:val="2E74B5"/>
        </w:rPr>
        <w:t>9. 具体待办清单</w:t>
      </w:r>
    </w:p>
    <w:p>
      <w:pPr>
        <w:spacing w:after="120" w:line="276" w:lineRule="auto"/>
      </w:pPr>
      <w:r>
        <w:rPr>
          <w:rFonts w:ascii="Microsoft YaHei" w:hAnsi="Microsoft YaHei" w:eastAsia="Microsoft YaHei"/>
          <w:sz w:val="21"/>
        </w:rPr>
        <w:t>以下待办是后续开发的主线，建议按优先级推进。</w:t>
      </w:r>
    </w:p>
    <w:p>
      <w:pPr>
        <w:pStyle w:val="Heading2"/>
        <w:keepNext/>
      </w:pPr>
      <w:r>
        <w:rPr>
          <w:rFonts w:ascii="Microsoft YaHei" w:hAnsi="Microsoft YaHei" w:eastAsia="Microsoft YaHei"/>
          <w:color w:val="1F4D78"/>
        </w:rPr>
        <w:t>9.1 P0：必须完成</w:t>
      </w:r>
    </w:p>
    <w:p>
      <w:pPr>
        <w:pStyle w:val="ListBullet"/>
        <w:spacing w:after="60" w:line="269" w:lineRule="auto"/>
      </w:pPr>
      <w:r>
        <w:rPr>
          <w:rFonts w:ascii="Microsoft YaHei" w:hAnsi="Microsoft YaHei" w:eastAsia="Microsoft YaHei"/>
          <w:sz w:val="20"/>
        </w:rPr>
        <w:t>重写/强化 Planner Prompt：明确“来源发现、字段抽取、schema 对齐、冲突校验、CSV/JSON/KG 输出”这条链路。</w:t>
      </w:r>
    </w:p>
    <w:p>
      <w:pPr>
        <w:pStyle w:val="ListBullet"/>
        <w:spacing w:after="60" w:line="269" w:lineRule="auto"/>
      </w:pPr>
      <w:r>
        <w:rPr>
          <w:rFonts w:ascii="Microsoft YaHei" w:hAnsi="Microsoft YaHei" w:eastAsia="Microsoft YaHei"/>
          <w:sz w:val="20"/>
        </w:rPr>
        <w:t>增加 quality_report.json：记录总记录数、警告数、冲突数、字段覆盖率、证据覆盖率、模型调用情况。</w:t>
      </w:r>
    </w:p>
    <w:p>
      <w:pPr>
        <w:pStyle w:val="ListBullet"/>
        <w:spacing w:after="60" w:line="269" w:lineRule="auto"/>
      </w:pPr>
      <w:r>
        <w:rPr>
          <w:rFonts w:ascii="Microsoft YaHei" w:hAnsi="Microsoft YaHei" w:eastAsia="Microsoft YaHei"/>
          <w:sz w:val="20"/>
        </w:rPr>
        <w:t>实现证据强校验：如果 metric/value 不在 evidence_text 中，必须 warning、降置信度，必要时从最终结果过滤。</w:t>
      </w:r>
    </w:p>
    <w:p>
      <w:pPr>
        <w:pStyle w:val="ListBullet"/>
        <w:spacing w:after="60" w:line="269" w:lineRule="auto"/>
      </w:pPr>
      <w:r>
        <w:rPr>
          <w:rFonts w:ascii="Microsoft YaHei" w:hAnsi="Microsoft YaHei" w:eastAsia="Microsoft YaHei"/>
          <w:sz w:val="20"/>
        </w:rPr>
        <w:t>实现 dimensionless 单位规则：FID、KID、SSIM、LPIPS、accuracy、RMSE 等按指标类型规范 unit。</w:t>
      </w:r>
    </w:p>
    <w:p>
      <w:pPr>
        <w:pStyle w:val="ListBullet"/>
        <w:spacing w:after="60" w:line="269" w:lineRule="auto"/>
      </w:pPr>
      <w:r>
        <w:rPr>
          <w:rFonts w:ascii="Microsoft YaHei" w:hAnsi="Microsoft YaHei" w:eastAsia="Microsoft YaHei"/>
          <w:sz w:val="20"/>
        </w:rPr>
        <w:t>实现基础冲突检测：同一 entity + field_name 出现多个不同 field_value 时生成 conflict 记录。</w:t>
      </w:r>
    </w:p>
    <w:p>
      <w:pPr>
        <w:pStyle w:val="ListBullet"/>
        <w:spacing w:after="60" w:line="269" w:lineRule="auto"/>
      </w:pPr>
      <w:r>
        <w:rPr>
          <w:rFonts w:ascii="Microsoft YaHei" w:hAnsi="Microsoft YaHei" w:eastAsia="Microsoft YaHei"/>
          <w:sz w:val="20"/>
        </w:rPr>
        <w:t>完善 README 使用说明：环境、API key、CLI、API、输出文件解释、常见问题。</w:t>
      </w:r>
    </w:p>
    <w:p>
      <w:pPr>
        <w:pStyle w:val="ListBullet"/>
        <w:spacing w:after="60" w:line="269" w:lineRule="auto"/>
      </w:pPr>
      <w:r>
        <w:rPr>
          <w:rFonts w:ascii="Microsoft YaHei" w:hAnsi="Microsoft YaHei" w:eastAsia="Microsoft YaHei"/>
          <w:sz w:val="20"/>
        </w:rPr>
        <w:t>准备 3 个代表性测试案例：PDF 单源、CSV/Excel 表格、PDF + 表格多源整合。</w:t>
      </w:r>
    </w:p>
    <w:p>
      <w:pPr>
        <w:pStyle w:val="Heading2"/>
        <w:keepNext/>
      </w:pPr>
      <w:r>
        <w:rPr>
          <w:rFonts w:ascii="Microsoft YaHei" w:hAnsi="Microsoft YaHei" w:eastAsia="Microsoft YaHei"/>
          <w:color w:val="1F4D78"/>
        </w:rPr>
        <w:t>9.2 P1：重要增强</w:t>
      </w:r>
    </w:p>
    <w:p>
      <w:pPr>
        <w:pStyle w:val="ListBullet"/>
        <w:spacing w:after="60" w:line="269" w:lineRule="auto"/>
      </w:pPr>
      <w:r>
        <w:rPr>
          <w:rFonts w:ascii="Microsoft YaHei" w:hAnsi="Microsoft YaHei" w:eastAsia="Microsoft YaHei"/>
          <w:sz w:val="20"/>
        </w:rPr>
        <w:t>增加 PDF 表格解析能力，优先尝试 pdfplumber；识别失败时保留日志。</w:t>
      </w:r>
    </w:p>
    <w:p>
      <w:pPr>
        <w:pStyle w:val="ListBullet"/>
        <w:spacing w:after="60" w:line="269" w:lineRule="auto"/>
      </w:pPr>
      <w:r>
        <w:rPr>
          <w:rFonts w:ascii="Microsoft YaHei" w:hAnsi="Microsoft YaHei" w:eastAsia="Microsoft YaHei"/>
          <w:sz w:val="20"/>
        </w:rPr>
        <w:t>增加字段别名词典，例如 PCE/efficiency/光电转换效率、stability/稳定性、dataset/数据集。</w:t>
      </w:r>
    </w:p>
    <w:p>
      <w:pPr>
        <w:pStyle w:val="ListBullet"/>
        <w:spacing w:after="60" w:line="269" w:lineRule="auto"/>
      </w:pPr>
      <w:r>
        <w:rPr>
          <w:rFonts w:ascii="Microsoft YaHei" w:hAnsi="Microsoft YaHei" w:eastAsia="Microsoft YaHei"/>
          <w:sz w:val="20"/>
        </w:rPr>
        <w:t>增加去重逻辑：同一来源同一证据重复抽取时合并。</w:t>
      </w:r>
    </w:p>
    <w:p>
      <w:pPr>
        <w:pStyle w:val="ListBullet"/>
        <w:spacing w:after="60" w:line="269" w:lineRule="auto"/>
      </w:pPr>
      <w:r>
        <w:rPr>
          <w:rFonts w:ascii="Microsoft YaHei" w:hAnsi="Microsoft YaHei" w:eastAsia="Microsoft YaHei"/>
          <w:sz w:val="20"/>
        </w:rPr>
        <w:t>增加领域 schema 模板：材料科学、机器学习、生物医学三个模板。</w:t>
      </w:r>
    </w:p>
    <w:p>
      <w:pPr>
        <w:pStyle w:val="ListBullet"/>
        <w:spacing w:after="60" w:line="269" w:lineRule="auto"/>
      </w:pPr>
      <w:r>
        <w:rPr>
          <w:rFonts w:ascii="Microsoft YaHei" w:hAnsi="Microsoft YaHei" w:eastAsia="Microsoft YaHei"/>
          <w:sz w:val="20"/>
        </w:rPr>
        <w:t>增加处理日志可视化字段：每个工具调用、输入块数量、模型返回记录数、校验结果。</w:t>
      </w:r>
    </w:p>
    <w:p>
      <w:pPr>
        <w:pStyle w:val="ListBullet"/>
        <w:spacing w:after="60" w:line="269" w:lineRule="auto"/>
      </w:pPr>
      <w:r>
        <w:rPr>
          <w:rFonts w:ascii="Microsoft YaHei" w:hAnsi="Microsoft YaHei" w:eastAsia="Microsoft YaHei"/>
          <w:sz w:val="20"/>
        </w:rPr>
        <w:t>补 API 单元测试和端到端测试。</w:t>
      </w:r>
    </w:p>
    <w:p>
      <w:pPr>
        <w:pStyle w:val="Heading2"/>
        <w:keepNext/>
      </w:pPr>
      <w:r>
        <w:rPr>
          <w:rFonts w:ascii="Microsoft YaHei" w:hAnsi="Microsoft YaHei" w:eastAsia="Microsoft YaHei"/>
          <w:color w:val="1F4D78"/>
        </w:rPr>
        <w:t>9.3 P2：展示与竞争力增强</w:t>
      </w:r>
    </w:p>
    <w:p>
      <w:pPr>
        <w:pStyle w:val="ListBullet"/>
        <w:spacing w:after="60" w:line="269" w:lineRule="auto"/>
      </w:pPr>
      <w:r>
        <w:rPr>
          <w:rFonts w:ascii="Microsoft YaHei" w:hAnsi="Microsoft YaHei" w:eastAsia="Microsoft YaHei"/>
          <w:sz w:val="20"/>
        </w:rPr>
        <w:t>实现网页检索/来源发现模块，可接入学术搜索或用户提供 URL。</w:t>
      </w:r>
    </w:p>
    <w:p>
      <w:pPr>
        <w:pStyle w:val="ListBullet"/>
        <w:spacing w:after="60" w:line="269" w:lineRule="auto"/>
      </w:pPr>
      <w:r>
        <w:rPr>
          <w:rFonts w:ascii="Microsoft YaHei" w:hAnsi="Microsoft YaHei" w:eastAsia="Microsoft YaHei"/>
          <w:sz w:val="20"/>
        </w:rPr>
        <w:t>实现 OCR 或图片图表解析，覆盖扫描 PDF 和论文图表。</w:t>
      </w:r>
    </w:p>
    <w:p>
      <w:pPr>
        <w:pStyle w:val="ListBullet"/>
        <w:spacing w:after="60" w:line="269" w:lineRule="auto"/>
      </w:pPr>
      <w:r>
        <w:rPr>
          <w:rFonts w:ascii="Microsoft YaHei" w:hAnsi="Microsoft YaHei" w:eastAsia="Microsoft YaHei"/>
          <w:sz w:val="20"/>
        </w:rPr>
        <w:t>实现知识图谱导出 KG：至少输出 nodes.json 和 edges.json。</w:t>
      </w:r>
    </w:p>
    <w:p>
      <w:pPr>
        <w:pStyle w:val="ListBullet"/>
        <w:spacing w:after="60" w:line="269" w:lineRule="auto"/>
      </w:pPr>
      <w:r>
        <w:rPr>
          <w:rFonts w:ascii="Microsoft YaHei" w:hAnsi="Microsoft YaHei" w:eastAsia="Microsoft YaHei"/>
          <w:sz w:val="20"/>
        </w:rPr>
        <w:t>实现人工反馈闭环：用户可确认/修改记录，系统记录反馈并重新校验。</w:t>
      </w:r>
    </w:p>
    <w:p>
      <w:pPr>
        <w:pStyle w:val="ListBullet"/>
        <w:spacing w:after="60" w:line="269" w:lineRule="auto"/>
      </w:pPr>
      <w:r>
        <w:rPr>
          <w:rFonts w:ascii="Microsoft YaHei" w:hAnsi="Microsoft YaHei" w:eastAsia="Microsoft YaHei"/>
          <w:sz w:val="20"/>
        </w:rPr>
        <w:t>做前端证据面板：点击表格行时展示原文证据、页码和 warning。</w:t>
      </w:r>
    </w:p>
    <w:p>
      <w:pPr>
        <w:pStyle w:val="ListBullet"/>
        <w:spacing w:after="60" w:line="269" w:lineRule="auto"/>
      </w:pPr>
      <w:r>
        <w:rPr>
          <w:rFonts w:ascii="Microsoft YaHei" w:hAnsi="Microsoft YaHei" w:eastAsia="Microsoft YaHei"/>
          <w:sz w:val="20"/>
        </w:rPr>
        <w:t>准备 10 分钟以内演示视频，展示端到端流程和结果可信性。</w:t>
      </w:r>
    </w:p>
    <w:p>
      <w:pPr>
        <w:pStyle w:val="Heading1"/>
        <w:keepNext/>
      </w:pPr>
      <w:r>
        <w:rPr>
          <w:rFonts w:ascii="Microsoft YaHei" w:hAnsi="Microsoft YaHei" w:eastAsia="Microsoft YaHei"/>
          <w:color w:val="2E74B5"/>
        </w:rPr>
        <w:t>10. 测试计划</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c>
          <w:tcPr>
            <w:tcW w:type="dxa" w:w="1800"/>
            <w:shd w:fill="E8EEF5"/>
            <w:vAlign w:val="center"/>
          </w:tcPr>
          <w:p>
            <w:pPr>
              <w:spacing w:after="0"/>
            </w:pPr>
            <w:r/>
            <w:r>
              <w:rPr>
                <w:rFonts w:ascii="Microsoft YaHei" w:hAnsi="Microsoft YaHei" w:eastAsia="Microsoft YaHei"/>
                <w:b/>
                <w:color w:val="0B2545"/>
                <w:sz w:val="18"/>
              </w:rPr>
              <w:t>测试类型</w:t>
            </w:r>
          </w:p>
        </w:tc>
        <w:tc>
          <w:tcPr>
            <w:tcW w:type="dxa" w:w="2376"/>
            <w:shd w:fill="E8EEF5"/>
            <w:vAlign w:val="center"/>
          </w:tcPr>
          <w:p>
            <w:pPr>
              <w:spacing w:after="0"/>
            </w:pPr>
            <w:r/>
            <w:r>
              <w:rPr>
                <w:rFonts w:ascii="Microsoft YaHei" w:hAnsi="Microsoft YaHei" w:eastAsia="Microsoft YaHei"/>
                <w:b/>
                <w:color w:val="0B2545"/>
                <w:sz w:val="18"/>
              </w:rPr>
              <w:t>输入</w:t>
            </w:r>
          </w:p>
        </w:tc>
        <w:tc>
          <w:tcPr>
            <w:tcW w:type="dxa" w:w="2736"/>
            <w:shd w:fill="E8EEF5"/>
            <w:vAlign w:val="center"/>
          </w:tcPr>
          <w:p>
            <w:pPr>
              <w:spacing w:after="0"/>
            </w:pPr>
            <w:r/>
            <w:r>
              <w:rPr>
                <w:rFonts w:ascii="Microsoft YaHei" w:hAnsi="Microsoft YaHei" w:eastAsia="Microsoft YaHei"/>
                <w:b/>
                <w:color w:val="0B2545"/>
                <w:sz w:val="18"/>
              </w:rPr>
              <w:t>检查点</w:t>
            </w:r>
          </w:p>
        </w:tc>
        <w:tc>
          <w:tcPr>
            <w:tcW w:type="dxa" w:w="2448"/>
            <w:shd w:fill="E8EEF5"/>
            <w:vAlign w:val="center"/>
          </w:tcPr>
          <w:p>
            <w:pPr>
              <w:spacing w:after="0"/>
            </w:pPr>
            <w:r/>
            <w:r>
              <w:rPr>
                <w:rFonts w:ascii="Microsoft YaHei" w:hAnsi="Microsoft YaHei" w:eastAsia="Microsoft YaHei"/>
                <w:b/>
                <w:color w:val="0B2545"/>
                <w:sz w:val="18"/>
              </w:rPr>
              <w:t>通过标准</w:t>
            </w:r>
          </w:p>
        </w:tc>
      </w:tr>
      <w:tr>
        <w:tc>
          <w:tcPr>
            <w:tcW w:type="dxa" w:w="1800"/>
            <w:vAlign w:val="center"/>
          </w:tcPr>
          <w:p>
            <w:pPr>
              <w:spacing w:after="0"/>
            </w:pPr>
            <w:r/>
            <w:r>
              <w:rPr>
                <w:rFonts w:ascii="Microsoft YaHei" w:hAnsi="Microsoft YaHei" w:eastAsia="Microsoft YaHei"/>
                <w:b w:val="0"/>
                <w:sz w:val="17"/>
              </w:rPr>
              <w:t>PDF 单源抽取</w:t>
            </w:r>
          </w:p>
        </w:tc>
        <w:tc>
          <w:tcPr>
            <w:tcW w:type="dxa" w:w="2376"/>
            <w:vAlign w:val="center"/>
          </w:tcPr>
          <w:p>
            <w:pPr>
              <w:spacing w:after="0"/>
            </w:pPr>
            <w:r/>
            <w:r>
              <w:rPr>
                <w:rFonts w:ascii="Microsoft YaHei" w:hAnsi="Microsoft YaHei" w:eastAsia="Microsoft YaHei"/>
                <w:b w:val="0"/>
                <w:sz w:val="17"/>
              </w:rPr>
              <w:t>一篇可复制文本 PDF</w:t>
            </w:r>
          </w:p>
        </w:tc>
        <w:tc>
          <w:tcPr>
            <w:tcW w:type="dxa" w:w="2736"/>
            <w:vAlign w:val="center"/>
          </w:tcPr>
          <w:p>
            <w:pPr>
              <w:spacing w:after="0"/>
            </w:pPr>
            <w:r/>
            <w:r>
              <w:rPr>
                <w:rFonts w:ascii="Microsoft YaHei" w:hAnsi="Microsoft YaHei" w:eastAsia="Microsoft YaHei"/>
                <w:b w:val="0"/>
                <w:sz w:val="17"/>
              </w:rPr>
              <w:t>页码、证据、字段值、日志</w:t>
            </w:r>
          </w:p>
        </w:tc>
        <w:tc>
          <w:tcPr>
            <w:tcW w:type="dxa" w:w="2448"/>
            <w:vAlign w:val="center"/>
          </w:tcPr>
          <w:p>
            <w:pPr>
              <w:spacing w:after="0"/>
            </w:pPr>
            <w:r/>
            <w:r>
              <w:rPr>
                <w:rFonts w:ascii="Microsoft YaHei" w:hAnsi="Microsoft YaHei" w:eastAsia="Microsoft YaHei"/>
                <w:b w:val="0"/>
                <w:sz w:val="17"/>
              </w:rPr>
              <w:t>抽取记录非空，关键值有证据</w:t>
            </w:r>
          </w:p>
        </w:tc>
      </w:tr>
      <w:tr>
        <w:tc>
          <w:tcPr>
            <w:tcW w:type="dxa" w:w="1800"/>
            <w:vAlign w:val="center"/>
          </w:tcPr>
          <w:p>
            <w:pPr>
              <w:spacing w:after="0"/>
            </w:pPr>
            <w:r/>
            <w:r>
              <w:rPr>
                <w:rFonts w:ascii="Microsoft YaHei" w:hAnsi="Microsoft YaHei" w:eastAsia="Microsoft YaHei"/>
                <w:b w:val="0"/>
                <w:sz w:val="17"/>
              </w:rPr>
              <w:t>CSV/Excel 表格抽取</w:t>
            </w:r>
          </w:p>
        </w:tc>
        <w:tc>
          <w:tcPr>
            <w:tcW w:type="dxa" w:w="2376"/>
            <w:vAlign w:val="center"/>
          </w:tcPr>
          <w:p>
            <w:pPr>
              <w:spacing w:after="0"/>
            </w:pPr>
            <w:r/>
            <w:r>
              <w:rPr>
                <w:rFonts w:ascii="Microsoft YaHei" w:hAnsi="Microsoft YaHei" w:eastAsia="Microsoft YaHei"/>
                <w:b w:val="0"/>
                <w:sz w:val="17"/>
              </w:rPr>
              <w:t>结构化数据表</w:t>
            </w:r>
          </w:p>
        </w:tc>
        <w:tc>
          <w:tcPr>
            <w:tcW w:type="dxa" w:w="2736"/>
            <w:vAlign w:val="center"/>
          </w:tcPr>
          <w:p>
            <w:pPr>
              <w:spacing w:after="0"/>
            </w:pPr>
            <w:r/>
            <w:r>
              <w:rPr>
                <w:rFonts w:ascii="Microsoft YaHei" w:hAnsi="Microsoft YaHei" w:eastAsia="Microsoft YaHei"/>
                <w:b w:val="0"/>
                <w:sz w:val="17"/>
              </w:rPr>
              <w:t>字段映射、单位、导出</w:t>
            </w:r>
          </w:p>
        </w:tc>
        <w:tc>
          <w:tcPr>
            <w:tcW w:type="dxa" w:w="2448"/>
            <w:vAlign w:val="center"/>
          </w:tcPr>
          <w:p>
            <w:pPr>
              <w:spacing w:after="0"/>
            </w:pPr>
            <w:r/>
            <w:r>
              <w:rPr>
                <w:rFonts w:ascii="Microsoft YaHei" w:hAnsi="Microsoft YaHei" w:eastAsia="Microsoft YaHei"/>
                <w:b w:val="0"/>
                <w:sz w:val="17"/>
              </w:rPr>
              <w:t>输出 CSV/JSON 与原表一致或合理归一</w:t>
            </w:r>
          </w:p>
        </w:tc>
      </w:tr>
      <w:tr>
        <w:tc>
          <w:tcPr>
            <w:tcW w:type="dxa" w:w="1800"/>
            <w:vAlign w:val="center"/>
          </w:tcPr>
          <w:p>
            <w:pPr>
              <w:spacing w:after="0"/>
            </w:pPr>
            <w:r/>
            <w:r>
              <w:rPr>
                <w:rFonts w:ascii="Microsoft YaHei" w:hAnsi="Microsoft YaHei" w:eastAsia="Microsoft YaHei"/>
                <w:b w:val="0"/>
                <w:sz w:val="17"/>
              </w:rPr>
              <w:t>PDF + 表格整合</w:t>
            </w:r>
          </w:p>
        </w:tc>
        <w:tc>
          <w:tcPr>
            <w:tcW w:type="dxa" w:w="2376"/>
            <w:vAlign w:val="center"/>
          </w:tcPr>
          <w:p>
            <w:pPr>
              <w:spacing w:after="0"/>
            </w:pPr>
            <w:r/>
            <w:r>
              <w:rPr>
                <w:rFonts w:ascii="Microsoft YaHei" w:hAnsi="Microsoft YaHei" w:eastAsia="Microsoft YaHei"/>
                <w:b w:val="0"/>
                <w:sz w:val="17"/>
              </w:rPr>
              <w:t>同一主题论文和表格</w:t>
            </w:r>
          </w:p>
        </w:tc>
        <w:tc>
          <w:tcPr>
            <w:tcW w:type="dxa" w:w="2736"/>
            <w:vAlign w:val="center"/>
          </w:tcPr>
          <w:p>
            <w:pPr>
              <w:spacing w:after="0"/>
            </w:pPr>
            <w:r/>
            <w:r>
              <w:rPr>
                <w:rFonts w:ascii="Microsoft YaHei" w:hAnsi="Microsoft YaHei" w:eastAsia="Microsoft YaHei"/>
                <w:b w:val="0"/>
                <w:sz w:val="17"/>
              </w:rPr>
              <w:t>去重、schema 对齐、多源证据</w:t>
            </w:r>
          </w:p>
        </w:tc>
        <w:tc>
          <w:tcPr>
            <w:tcW w:type="dxa" w:w="2448"/>
            <w:vAlign w:val="center"/>
          </w:tcPr>
          <w:p>
            <w:pPr>
              <w:spacing w:after="0"/>
            </w:pPr>
            <w:r/>
            <w:r>
              <w:rPr>
                <w:rFonts w:ascii="Microsoft YaHei" w:hAnsi="Microsoft YaHei" w:eastAsia="Microsoft YaHei"/>
                <w:b w:val="0"/>
                <w:sz w:val="17"/>
              </w:rPr>
              <w:t>同类字段合并为统一 schema</w:t>
            </w:r>
          </w:p>
        </w:tc>
      </w:tr>
      <w:tr>
        <w:tc>
          <w:tcPr>
            <w:tcW w:type="dxa" w:w="1800"/>
            <w:vAlign w:val="center"/>
          </w:tcPr>
          <w:p>
            <w:pPr>
              <w:spacing w:after="0"/>
            </w:pPr>
            <w:r/>
            <w:r>
              <w:rPr>
                <w:rFonts w:ascii="Microsoft YaHei" w:hAnsi="Microsoft YaHei" w:eastAsia="Microsoft YaHei"/>
                <w:b w:val="0"/>
                <w:sz w:val="17"/>
              </w:rPr>
              <w:t>冲突检测</w:t>
            </w:r>
          </w:p>
        </w:tc>
        <w:tc>
          <w:tcPr>
            <w:tcW w:type="dxa" w:w="2376"/>
            <w:vAlign w:val="center"/>
          </w:tcPr>
          <w:p>
            <w:pPr>
              <w:spacing w:after="0"/>
            </w:pPr>
            <w:r/>
            <w:r>
              <w:rPr>
                <w:rFonts w:ascii="Microsoft YaHei" w:hAnsi="Microsoft YaHei" w:eastAsia="Microsoft YaHei"/>
                <w:b w:val="0"/>
                <w:sz w:val="17"/>
              </w:rPr>
              <w:t>人为构造或真实矛盾数据</w:t>
            </w:r>
          </w:p>
        </w:tc>
        <w:tc>
          <w:tcPr>
            <w:tcW w:type="dxa" w:w="2736"/>
            <w:vAlign w:val="center"/>
          </w:tcPr>
          <w:p>
            <w:pPr>
              <w:spacing w:after="0"/>
            </w:pPr>
            <w:r/>
            <w:r>
              <w:rPr>
                <w:rFonts w:ascii="Microsoft YaHei" w:hAnsi="Microsoft YaHei" w:eastAsia="Microsoft YaHei"/>
                <w:b w:val="0"/>
                <w:sz w:val="17"/>
              </w:rPr>
              <w:t>conflicts 输出</w:t>
            </w:r>
          </w:p>
        </w:tc>
        <w:tc>
          <w:tcPr>
            <w:tcW w:type="dxa" w:w="2448"/>
            <w:vAlign w:val="center"/>
          </w:tcPr>
          <w:p>
            <w:pPr>
              <w:spacing w:after="0"/>
            </w:pPr>
            <w:r/>
            <w:r>
              <w:rPr>
                <w:rFonts w:ascii="Microsoft YaHei" w:hAnsi="Microsoft YaHei" w:eastAsia="Microsoft YaHei"/>
                <w:b w:val="0"/>
                <w:sz w:val="17"/>
              </w:rPr>
              <w:t>能列出冲突值和来源证据</w:t>
            </w:r>
          </w:p>
        </w:tc>
      </w:tr>
      <w:tr>
        <w:tc>
          <w:tcPr>
            <w:tcW w:type="dxa" w:w="1800"/>
            <w:vAlign w:val="center"/>
          </w:tcPr>
          <w:p>
            <w:pPr>
              <w:spacing w:after="0"/>
            </w:pPr>
            <w:r/>
            <w:r>
              <w:rPr>
                <w:rFonts w:ascii="Microsoft YaHei" w:hAnsi="Microsoft YaHei" w:eastAsia="Microsoft YaHei"/>
                <w:b w:val="0"/>
                <w:sz w:val="17"/>
              </w:rPr>
              <w:t>错误提示</w:t>
            </w:r>
          </w:p>
        </w:tc>
        <w:tc>
          <w:tcPr>
            <w:tcW w:type="dxa" w:w="2376"/>
            <w:vAlign w:val="center"/>
          </w:tcPr>
          <w:p>
            <w:pPr>
              <w:spacing w:after="0"/>
            </w:pPr>
            <w:r/>
            <w:r>
              <w:rPr>
                <w:rFonts w:ascii="Microsoft YaHei" w:hAnsi="Microsoft YaHei" w:eastAsia="Microsoft YaHei"/>
                <w:b w:val="0"/>
                <w:sz w:val="17"/>
              </w:rPr>
              <w:t>不相关文件或字段缺失</w:t>
            </w:r>
          </w:p>
        </w:tc>
        <w:tc>
          <w:tcPr>
            <w:tcW w:type="dxa" w:w="2736"/>
            <w:vAlign w:val="center"/>
          </w:tcPr>
          <w:p>
            <w:pPr>
              <w:spacing w:after="0"/>
            </w:pPr>
            <w:r/>
            <w:r>
              <w:rPr>
                <w:rFonts w:ascii="Microsoft YaHei" w:hAnsi="Microsoft YaHei" w:eastAsia="Microsoft YaHei"/>
                <w:b w:val="0"/>
                <w:sz w:val="17"/>
              </w:rPr>
              <w:t>warnings 和质量报告</w:t>
            </w:r>
          </w:p>
        </w:tc>
        <w:tc>
          <w:tcPr>
            <w:tcW w:type="dxa" w:w="2448"/>
            <w:vAlign w:val="center"/>
          </w:tcPr>
          <w:p>
            <w:pPr>
              <w:spacing w:after="0"/>
            </w:pPr>
            <w:r/>
            <w:r>
              <w:rPr>
                <w:rFonts w:ascii="Microsoft YaHei" w:hAnsi="Microsoft YaHei" w:eastAsia="Microsoft YaHei"/>
                <w:b w:val="0"/>
                <w:sz w:val="17"/>
              </w:rPr>
              <w:t>不会编造数据，能说明未找到</w:t>
            </w:r>
          </w:p>
        </w:tc>
      </w:tr>
      <w:tr>
        <w:tc>
          <w:tcPr>
            <w:tcW w:type="dxa" w:w="1800"/>
            <w:vAlign w:val="center"/>
          </w:tcPr>
          <w:p>
            <w:pPr>
              <w:spacing w:after="0"/>
            </w:pPr>
            <w:r/>
            <w:r>
              <w:rPr>
                <w:rFonts w:ascii="Microsoft YaHei" w:hAnsi="Microsoft YaHei" w:eastAsia="Microsoft YaHei"/>
                <w:b w:val="0"/>
                <w:sz w:val="17"/>
              </w:rPr>
              <w:t>API 测试</w:t>
            </w:r>
          </w:p>
        </w:tc>
        <w:tc>
          <w:tcPr>
            <w:tcW w:type="dxa" w:w="2376"/>
            <w:vAlign w:val="center"/>
          </w:tcPr>
          <w:p>
            <w:pPr>
              <w:spacing w:after="0"/>
            </w:pPr>
            <w:r/>
            <w:r>
              <w:rPr>
                <w:rFonts w:ascii="Microsoft YaHei" w:hAnsi="Microsoft YaHei" w:eastAsia="Microsoft YaHei"/>
                <w:b w:val="0"/>
                <w:sz w:val="17"/>
              </w:rPr>
              <w:t>curl/Postman 上传文件</w:t>
            </w:r>
          </w:p>
        </w:tc>
        <w:tc>
          <w:tcPr>
            <w:tcW w:type="dxa" w:w="2736"/>
            <w:vAlign w:val="center"/>
          </w:tcPr>
          <w:p>
            <w:pPr>
              <w:spacing w:after="0"/>
            </w:pPr>
            <w:r/>
            <w:r>
              <w:rPr>
                <w:rFonts w:ascii="Microsoft YaHei" w:hAnsi="Microsoft YaHei" w:eastAsia="Microsoft YaHei"/>
                <w:b w:val="0"/>
                <w:sz w:val="17"/>
              </w:rPr>
              <w:t>任务状态和导出</w:t>
            </w:r>
          </w:p>
        </w:tc>
        <w:tc>
          <w:tcPr>
            <w:tcW w:type="dxa" w:w="2448"/>
            <w:vAlign w:val="center"/>
          </w:tcPr>
          <w:p>
            <w:pPr>
              <w:spacing w:after="0"/>
            </w:pPr>
            <w:r/>
            <w:r>
              <w:rPr>
                <w:rFonts w:ascii="Microsoft YaHei" w:hAnsi="Microsoft YaHei" w:eastAsia="Microsoft YaHei"/>
                <w:b w:val="0"/>
                <w:sz w:val="17"/>
              </w:rPr>
              <w:t>接口可稳定返回结果文件</w:t>
            </w:r>
          </w:p>
        </w:tc>
      </w:tr>
    </w:tbl>
    <w:p>
      <w:pPr>
        <w:spacing w:after="40"/>
      </w:pPr>
    </w:p>
    <w:p>
      <w:pPr>
        <w:pStyle w:val="Heading1"/>
        <w:keepNext/>
      </w:pPr>
      <w:r>
        <w:rPr>
          <w:rFonts w:ascii="Microsoft YaHei" w:hAnsi="Microsoft YaHei" w:eastAsia="Microsoft YaHei"/>
          <w:color w:val="2E74B5"/>
        </w:rPr>
        <w:t>11. API 与前端规划</w:t>
      </w:r>
    </w:p>
    <w:p>
      <w:pPr>
        <w:pStyle w:val="Heading2"/>
        <w:keepNext/>
      </w:pPr>
      <w:r>
        <w:rPr>
          <w:rFonts w:ascii="Microsoft YaHei" w:hAnsi="Microsoft YaHei" w:eastAsia="Microsoft YaHei"/>
          <w:color w:val="1F4D78"/>
        </w:rPr>
        <w:t>11.1 API</w:t>
      </w:r>
    </w:p>
    <w:tbl>
      <w:tblPr>
        <w:tblW w:type="auto" w:w="0"/>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9360"/>
      </w:tblGrid>
      <w:tr>
        <w:tc>
          <w:tcPr>
            <w:tcW w:type="dxa" w:w="9360"/>
            <w:shd w:fill="F7F7F7"/>
          </w:tcPr>
          <w:p>
            <w:pPr>
              <w:spacing w:after="0"/>
            </w:pPr>
            <w:r>
              <w:rPr>
                <w:rFonts w:ascii="Consolas" w:hAnsi="Consolas"/>
                <w:sz w:val="17"/>
              </w:rPr>
              <w:t>POST /api/analyze</w:t>
            </w:r>
            <w:r>
              <w:br/>
            </w:r>
            <w:r>
              <w:rPr>
                <w:rFonts w:ascii="Consolas" w:hAnsi="Consolas"/>
                <w:sz w:val="17"/>
              </w:rPr>
              <w:t xml:space="preserve">  multipart/form-data: question, files[], max_pdf_pages</w:t>
            </w:r>
            <w:r>
              <w:br/>
            </w:r>
            <w:r>
              <w:rPr>
                <w:rFonts w:ascii="Consolas" w:hAnsi="Consolas"/>
                <w:sz w:val="17"/>
              </w:rPr>
              <w:t xml:space="preserve">  return: task_id, status</w:t>
            </w:r>
            <w:r>
              <w:br/>
            </w:r>
            <w:r>
              <w:rPr>
                <w:rFonts w:ascii="Consolas" w:hAnsi="Consolas"/>
                <w:sz w:val="17"/>
              </w:rPr>
            </w:r>
            <w:r>
              <w:br/>
            </w:r>
            <w:r>
              <w:rPr>
                <w:rFonts w:ascii="Consolas" w:hAnsi="Consolas"/>
                <w:sz w:val="17"/>
              </w:rPr>
              <w:t>GET /api/tasks/{task_id}</w:t>
            </w:r>
            <w:r>
              <w:br/>
            </w:r>
            <w:r>
              <w:rPr>
                <w:rFonts w:ascii="Consolas" w:hAnsi="Consolas"/>
                <w:sz w:val="17"/>
              </w:rPr>
              <w:t xml:space="preserve">  return: status, summary, records, quality_report, processing_log</w:t>
            </w:r>
            <w:r>
              <w:br/>
            </w:r>
            <w:r>
              <w:rPr>
                <w:rFonts w:ascii="Consolas" w:hAnsi="Consolas"/>
                <w:sz w:val="17"/>
              </w:rPr>
            </w:r>
            <w:r>
              <w:br/>
            </w:r>
            <w:r>
              <w:rPr>
                <w:rFonts w:ascii="Consolas" w:hAnsi="Consolas"/>
                <w:sz w:val="17"/>
              </w:rPr>
              <w:t>GET /api/tasks/{task_id}/export?format=json|csv</w:t>
            </w:r>
            <w:r>
              <w:br/>
            </w:r>
            <w:r>
              <w:rPr>
                <w:rFonts w:ascii="Consolas" w:hAnsi="Consolas"/>
                <w:sz w:val="17"/>
              </w:rPr>
              <w:t xml:space="preserve">  return: result file</w:t>
            </w:r>
            <w:r>
              <w:br/>
            </w:r>
            <w:r>
              <w:rPr>
                <w:rFonts w:ascii="Consolas" w:hAnsi="Consolas"/>
                <w:sz w:val="17"/>
              </w:rPr>
            </w:r>
            <w:r>
              <w:br/>
            </w:r>
            <w:r>
              <w:rPr>
                <w:rFonts w:ascii="Consolas" w:hAnsi="Consolas"/>
                <w:sz w:val="17"/>
              </w:rPr>
              <w:t>GET /api/health</w:t>
            </w:r>
            <w:r>
              <w:br/>
            </w:r>
            <w:r>
              <w:rPr>
                <w:rFonts w:ascii="Consolas" w:hAnsi="Consolas"/>
                <w:sz w:val="17"/>
              </w:rPr>
              <w:t xml:space="preserve">  return: qwen_configured, parser_status, version</w:t>
            </w:r>
          </w:p>
        </w:tc>
      </w:tr>
    </w:tbl>
    <w:p>
      <w:pPr>
        <w:spacing w:after="40"/>
      </w:pPr>
    </w:p>
    <w:p>
      <w:pPr>
        <w:pStyle w:val="Heading2"/>
        <w:keepNext/>
      </w:pPr>
      <w:r>
        <w:rPr>
          <w:rFonts w:ascii="Microsoft YaHei" w:hAnsi="Microsoft YaHei" w:eastAsia="Microsoft YaHei"/>
          <w:color w:val="1F4D78"/>
        </w:rPr>
        <w:t>11.2 前端</w:t>
      </w:r>
    </w:p>
    <w:p>
      <w:pPr>
        <w:pStyle w:val="ListBullet"/>
        <w:spacing w:after="60" w:line="269" w:lineRule="auto"/>
      </w:pPr>
      <w:r>
        <w:rPr>
          <w:rFonts w:ascii="Microsoft YaHei" w:hAnsi="Microsoft YaHei" w:eastAsia="Microsoft YaHei"/>
          <w:sz w:val="20"/>
        </w:rPr>
        <w:t>首页即工作台，不做营销落地页。</w:t>
      </w:r>
    </w:p>
    <w:p>
      <w:pPr>
        <w:pStyle w:val="ListBullet"/>
        <w:spacing w:after="60" w:line="269" w:lineRule="auto"/>
      </w:pPr>
      <w:r>
        <w:rPr>
          <w:rFonts w:ascii="Microsoft YaHei" w:hAnsi="Microsoft YaHei" w:eastAsia="Microsoft YaHei"/>
          <w:sz w:val="20"/>
        </w:rPr>
        <w:t>左侧：研究问题输入、文件上传、参数设置、开始分析按钮。</w:t>
      </w:r>
    </w:p>
    <w:p>
      <w:pPr>
        <w:pStyle w:val="ListBullet"/>
        <w:spacing w:after="60" w:line="269" w:lineRule="auto"/>
      </w:pPr>
      <w:r>
        <w:rPr>
          <w:rFonts w:ascii="Microsoft YaHei" w:hAnsi="Microsoft YaHei" w:eastAsia="Microsoft YaHei"/>
          <w:sz w:val="20"/>
        </w:rPr>
        <w:t>中间：任务状态、结果表格、字段筛选、冲突/警告标记。</w:t>
      </w:r>
    </w:p>
    <w:p>
      <w:pPr>
        <w:pStyle w:val="ListBullet"/>
        <w:spacing w:after="60" w:line="269" w:lineRule="auto"/>
      </w:pPr>
      <w:r>
        <w:rPr>
          <w:rFonts w:ascii="Microsoft YaHei" w:hAnsi="Microsoft YaHei" w:eastAsia="Microsoft YaHei"/>
          <w:sz w:val="20"/>
        </w:rPr>
        <w:t>右侧：证据面板，展示来源文件、页码、原文证据和模型解释。</w:t>
      </w:r>
    </w:p>
    <w:p>
      <w:pPr>
        <w:pStyle w:val="ListBullet"/>
        <w:spacing w:after="60" w:line="269" w:lineRule="auto"/>
      </w:pPr>
      <w:r>
        <w:rPr>
          <w:rFonts w:ascii="Microsoft YaHei" w:hAnsi="Microsoft YaHei" w:eastAsia="Microsoft YaHei"/>
          <w:sz w:val="20"/>
        </w:rPr>
        <w:t>顶部或底部：导出 CSV/JSON、查看日志、查看质量报告。</w:t>
      </w:r>
    </w:p>
    <w:p>
      <w:pPr>
        <w:pStyle w:val="Heading1"/>
        <w:keepNext/>
      </w:pPr>
      <w:r>
        <w:rPr>
          <w:rFonts w:ascii="Microsoft YaHei" w:hAnsi="Microsoft YaHei" w:eastAsia="Microsoft YaHei"/>
          <w:color w:val="2E74B5"/>
        </w:rPr>
        <w:t>12. 参赛提交材料映射</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520"/>
            <w:shd w:fill="E8EEF5"/>
            <w:vAlign w:val="center"/>
          </w:tcPr>
          <w:p>
            <w:pPr>
              <w:spacing w:after="0"/>
            </w:pPr>
            <w:r/>
            <w:r>
              <w:rPr>
                <w:rFonts w:ascii="Microsoft YaHei" w:hAnsi="Microsoft YaHei" w:eastAsia="Microsoft YaHei"/>
                <w:b/>
                <w:color w:val="0B2545"/>
                <w:sz w:val="18"/>
              </w:rPr>
              <w:t>官方/视频期待</w:t>
            </w:r>
          </w:p>
        </w:tc>
        <w:tc>
          <w:tcPr>
            <w:tcW w:type="dxa" w:w="4248"/>
            <w:shd w:fill="E8EEF5"/>
            <w:vAlign w:val="center"/>
          </w:tcPr>
          <w:p>
            <w:pPr>
              <w:spacing w:after="0"/>
            </w:pPr>
            <w:r/>
            <w:r>
              <w:rPr>
                <w:rFonts w:ascii="Microsoft YaHei" w:hAnsi="Microsoft YaHei" w:eastAsia="Microsoft YaHei"/>
                <w:b/>
                <w:color w:val="0B2545"/>
                <w:sz w:val="18"/>
              </w:rPr>
              <w:t>项目对应产物</w:t>
            </w:r>
          </w:p>
        </w:tc>
        <w:tc>
          <w:tcPr>
            <w:tcW w:type="dxa" w:w="2088"/>
            <w:shd w:fill="E8EEF5"/>
            <w:vAlign w:val="center"/>
          </w:tcPr>
          <w:p>
            <w:pPr>
              <w:spacing w:after="0"/>
            </w:pPr>
            <w:r/>
            <w:r>
              <w:rPr>
                <w:rFonts w:ascii="Microsoft YaHei" w:hAnsi="Microsoft YaHei" w:eastAsia="Microsoft YaHei"/>
                <w:b/>
                <w:color w:val="0B2545"/>
                <w:sz w:val="18"/>
              </w:rPr>
              <w:t>准备状态</w:t>
            </w:r>
          </w:p>
        </w:tc>
      </w:tr>
      <w:tr>
        <w:tc>
          <w:tcPr>
            <w:tcW w:type="dxa" w:w="2520"/>
            <w:vAlign w:val="center"/>
          </w:tcPr>
          <w:p>
            <w:pPr>
              <w:spacing w:after="0"/>
            </w:pPr>
            <w:r/>
            <w:r>
              <w:rPr>
                <w:rFonts w:ascii="Microsoft YaHei" w:hAnsi="Microsoft YaHei" w:eastAsia="Microsoft YaHei"/>
                <w:b w:val="0"/>
                <w:sz w:val="17"/>
              </w:rPr>
              <w:t>使用阿里云模型能力</w:t>
            </w:r>
          </w:p>
        </w:tc>
        <w:tc>
          <w:tcPr>
            <w:tcW w:type="dxa" w:w="4248"/>
            <w:vAlign w:val="center"/>
          </w:tcPr>
          <w:p>
            <w:pPr>
              <w:spacing w:after="0"/>
            </w:pPr>
            <w:r/>
            <w:r>
              <w:rPr>
                <w:rFonts w:ascii="Microsoft YaHei" w:hAnsi="Microsoft YaHei" w:eastAsia="Microsoft YaHei"/>
                <w:b w:val="0"/>
                <w:sz w:val="17"/>
              </w:rPr>
              <w:t>百炼/通义千问 API 配置、模型调用日志</w:t>
            </w:r>
          </w:p>
        </w:tc>
        <w:tc>
          <w:tcPr>
            <w:tcW w:type="dxa" w:w="2088"/>
            <w:vAlign w:val="center"/>
          </w:tcPr>
          <w:p>
            <w:pPr>
              <w:spacing w:after="0"/>
            </w:pPr>
            <w:r/>
            <w:r>
              <w:rPr>
                <w:rFonts w:ascii="Microsoft YaHei" w:hAnsi="Microsoft YaHei" w:eastAsia="Microsoft YaHei"/>
                <w:b w:val="0"/>
                <w:sz w:val="17"/>
              </w:rPr>
              <w:t>已具备基础能力，需在报告中明确</w:t>
            </w:r>
          </w:p>
        </w:tc>
      </w:tr>
      <w:tr>
        <w:tc>
          <w:tcPr>
            <w:tcW w:type="dxa" w:w="2520"/>
            <w:vAlign w:val="center"/>
          </w:tcPr>
          <w:p>
            <w:pPr>
              <w:spacing w:after="0"/>
            </w:pPr>
            <w:r/>
            <w:r>
              <w:rPr>
                <w:rFonts w:ascii="Microsoft YaHei" w:hAnsi="Microsoft YaHei" w:eastAsia="Microsoft YaHei"/>
                <w:b w:val="0"/>
                <w:sz w:val="17"/>
              </w:rPr>
              <w:t>可调用 API</w:t>
            </w:r>
          </w:p>
        </w:tc>
        <w:tc>
          <w:tcPr>
            <w:tcW w:type="dxa" w:w="4248"/>
            <w:vAlign w:val="center"/>
          </w:tcPr>
          <w:p>
            <w:pPr>
              <w:spacing w:after="0"/>
            </w:pPr>
            <w:r/>
            <w:r>
              <w:rPr>
                <w:rFonts w:ascii="Microsoft YaHei" w:hAnsi="Microsoft YaHei" w:eastAsia="Microsoft YaHei"/>
                <w:b w:val="0"/>
                <w:sz w:val="17"/>
              </w:rPr>
              <w:t>FastAPI analyze/tasks/export 接口</w:t>
            </w:r>
          </w:p>
        </w:tc>
        <w:tc>
          <w:tcPr>
            <w:tcW w:type="dxa" w:w="2088"/>
            <w:vAlign w:val="center"/>
          </w:tcPr>
          <w:p>
            <w:pPr>
              <w:spacing w:after="0"/>
            </w:pPr>
            <w:r/>
            <w:r>
              <w:rPr>
                <w:rFonts w:ascii="Microsoft YaHei" w:hAnsi="Microsoft YaHei" w:eastAsia="Microsoft YaHei"/>
                <w:b w:val="0"/>
                <w:sz w:val="17"/>
              </w:rPr>
              <w:t>需完善和测试</w:t>
            </w:r>
          </w:p>
        </w:tc>
      </w:tr>
      <w:tr>
        <w:tc>
          <w:tcPr>
            <w:tcW w:type="dxa" w:w="2520"/>
            <w:vAlign w:val="center"/>
          </w:tcPr>
          <w:p>
            <w:pPr>
              <w:spacing w:after="0"/>
            </w:pPr>
            <w:r/>
            <w:r>
              <w:rPr>
                <w:rFonts w:ascii="Microsoft YaHei" w:hAnsi="Microsoft YaHei" w:eastAsia="Microsoft YaHei"/>
                <w:b w:val="0"/>
                <w:sz w:val="17"/>
              </w:rPr>
              <w:t>交互式前端</w:t>
            </w:r>
          </w:p>
        </w:tc>
        <w:tc>
          <w:tcPr>
            <w:tcW w:type="dxa" w:w="4248"/>
            <w:vAlign w:val="center"/>
          </w:tcPr>
          <w:p>
            <w:pPr>
              <w:spacing w:after="0"/>
            </w:pPr>
            <w:r/>
            <w:r>
              <w:rPr>
                <w:rFonts w:ascii="Microsoft YaHei" w:hAnsi="Microsoft YaHei" w:eastAsia="Microsoft YaHei"/>
                <w:b w:val="0"/>
                <w:sz w:val="17"/>
              </w:rPr>
              <w:t>上传、结果表、证据面板</w:t>
            </w:r>
          </w:p>
        </w:tc>
        <w:tc>
          <w:tcPr>
            <w:tcW w:type="dxa" w:w="2088"/>
            <w:vAlign w:val="center"/>
          </w:tcPr>
          <w:p>
            <w:pPr>
              <w:spacing w:after="0"/>
            </w:pPr>
            <w:r/>
            <w:r>
              <w:rPr>
                <w:rFonts w:ascii="Microsoft YaHei" w:hAnsi="Microsoft YaHei" w:eastAsia="Microsoft YaHei"/>
                <w:b w:val="0"/>
                <w:sz w:val="17"/>
              </w:rPr>
              <w:t>后续开发</w:t>
            </w:r>
          </w:p>
        </w:tc>
      </w:tr>
      <w:tr>
        <w:tc>
          <w:tcPr>
            <w:tcW w:type="dxa" w:w="2520"/>
            <w:vAlign w:val="center"/>
          </w:tcPr>
          <w:p>
            <w:pPr>
              <w:spacing w:after="0"/>
            </w:pPr>
            <w:r/>
            <w:r>
              <w:rPr>
                <w:rFonts w:ascii="Microsoft YaHei" w:hAnsi="Microsoft YaHei" w:eastAsia="Microsoft YaHei"/>
                <w:b w:val="0"/>
                <w:sz w:val="17"/>
              </w:rPr>
              <w:t>代表性测试案例</w:t>
            </w:r>
          </w:p>
        </w:tc>
        <w:tc>
          <w:tcPr>
            <w:tcW w:type="dxa" w:w="4248"/>
            <w:vAlign w:val="center"/>
          </w:tcPr>
          <w:p>
            <w:pPr>
              <w:spacing w:after="0"/>
            </w:pPr>
            <w:r/>
            <w:r>
              <w:rPr>
                <w:rFonts w:ascii="Microsoft YaHei" w:hAnsi="Microsoft YaHei" w:eastAsia="Microsoft YaHei"/>
                <w:b w:val="0"/>
                <w:sz w:val="17"/>
              </w:rPr>
              <w:t>PDF、CSV/Excel、多源整合、冲突检测</w:t>
            </w:r>
          </w:p>
        </w:tc>
        <w:tc>
          <w:tcPr>
            <w:tcW w:type="dxa" w:w="2088"/>
            <w:vAlign w:val="center"/>
          </w:tcPr>
          <w:p>
            <w:pPr>
              <w:spacing w:after="0"/>
            </w:pPr>
            <w:r/>
            <w:r>
              <w:rPr>
                <w:rFonts w:ascii="Microsoft YaHei" w:hAnsi="Microsoft YaHei" w:eastAsia="Microsoft YaHei"/>
                <w:b w:val="0"/>
                <w:sz w:val="17"/>
              </w:rPr>
              <w:t>需整理固定案例</w:t>
            </w:r>
          </w:p>
        </w:tc>
      </w:tr>
      <w:tr>
        <w:tc>
          <w:tcPr>
            <w:tcW w:type="dxa" w:w="2520"/>
            <w:vAlign w:val="center"/>
          </w:tcPr>
          <w:p>
            <w:pPr>
              <w:spacing w:after="0"/>
            </w:pPr>
            <w:r/>
            <w:r>
              <w:rPr>
                <w:rFonts w:ascii="Microsoft YaHei" w:hAnsi="Microsoft YaHei" w:eastAsia="Microsoft YaHei"/>
                <w:b w:val="0"/>
                <w:sz w:val="17"/>
              </w:rPr>
              <w:t>结构化输出示例</w:t>
            </w:r>
          </w:p>
        </w:tc>
        <w:tc>
          <w:tcPr>
            <w:tcW w:type="dxa" w:w="4248"/>
            <w:vAlign w:val="center"/>
          </w:tcPr>
          <w:p>
            <w:pPr>
              <w:spacing w:after="0"/>
            </w:pPr>
            <w:r/>
            <w:r>
              <w:rPr>
                <w:rFonts w:ascii="Microsoft YaHei" w:hAnsi="Microsoft YaHei" w:eastAsia="Microsoft YaHei"/>
                <w:b w:val="0"/>
                <w:sz w:val="17"/>
              </w:rPr>
              <w:t>result.json、result.csv、字段说明</w:t>
            </w:r>
          </w:p>
        </w:tc>
        <w:tc>
          <w:tcPr>
            <w:tcW w:type="dxa" w:w="2088"/>
            <w:vAlign w:val="center"/>
          </w:tcPr>
          <w:p>
            <w:pPr>
              <w:spacing w:after="0"/>
            </w:pPr>
            <w:r/>
            <w:r>
              <w:rPr>
                <w:rFonts w:ascii="Microsoft YaHei" w:hAnsi="Microsoft YaHei" w:eastAsia="Microsoft YaHei"/>
                <w:b w:val="0"/>
                <w:sz w:val="17"/>
              </w:rPr>
              <w:t>已具备雏形，需规范</w:t>
            </w:r>
          </w:p>
        </w:tc>
      </w:tr>
      <w:tr>
        <w:tc>
          <w:tcPr>
            <w:tcW w:type="dxa" w:w="2520"/>
            <w:vAlign w:val="center"/>
          </w:tcPr>
          <w:p>
            <w:pPr>
              <w:spacing w:after="0"/>
            </w:pPr>
            <w:r/>
            <w:r>
              <w:rPr>
                <w:rFonts w:ascii="Microsoft YaHei" w:hAnsi="Microsoft YaHei" w:eastAsia="Microsoft YaHei"/>
                <w:b w:val="0"/>
                <w:sz w:val="17"/>
              </w:rPr>
              <w:t>来源列表/处理日志</w:t>
            </w:r>
          </w:p>
        </w:tc>
        <w:tc>
          <w:tcPr>
            <w:tcW w:type="dxa" w:w="4248"/>
            <w:vAlign w:val="center"/>
          </w:tcPr>
          <w:p>
            <w:pPr>
              <w:spacing w:after="0"/>
            </w:pPr>
            <w:r/>
            <w:r>
              <w:rPr>
                <w:rFonts w:ascii="Microsoft YaHei" w:hAnsi="Microsoft YaHei" w:eastAsia="Microsoft YaHei"/>
                <w:b w:val="0"/>
                <w:sz w:val="17"/>
              </w:rPr>
              <w:t>processing_log.json、quality_report.json</w:t>
            </w:r>
          </w:p>
        </w:tc>
        <w:tc>
          <w:tcPr>
            <w:tcW w:type="dxa" w:w="2088"/>
            <w:vAlign w:val="center"/>
          </w:tcPr>
          <w:p>
            <w:pPr>
              <w:spacing w:after="0"/>
            </w:pPr>
            <w:r/>
            <w:r>
              <w:rPr>
                <w:rFonts w:ascii="Microsoft YaHei" w:hAnsi="Microsoft YaHei" w:eastAsia="Microsoft YaHei"/>
                <w:b w:val="0"/>
                <w:sz w:val="17"/>
              </w:rPr>
              <w:t>需强化 quality_report</w:t>
            </w:r>
          </w:p>
        </w:tc>
      </w:tr>
      <w:tr>
        <w:tc>
          <w:tcPr>
            <w:tcW w:type="dxa" w:w="2520"/>
            <w:vAlign w:val="center"/>
          </w:tcPr>
          <w:p>
            <w:pPr>
              <w:spacing w:after="0"/>
            </w:pPr>
            <w:r/>
            <w:r>
              <w:rPr>
                <w:rFonts w:ascii="Microsoft YaHei" w:hAnsi="Microsoft YaHei" w:eastAsia="Microsoft YaHei"/>
                <w:b w:val="0"/>
                <w:sz w:val="17"/>
              </w:rPr>
              <w:t>技术报告和源码</w:t>
            </w:r>
          </w:p>
        </w:tc>
        <w:tc>
          <w:tcPr>
            <w:tcW w:type="dxa" w:w="4248"/>
            <w:vAlign w:val="center"/>
          </w:tcPr>
          <w:p>
            <w:pPr>
              <w:spacing w:after="0"/>
            </w:pPr>
            <w:r/>
            <w:r>
              <w:rPr>
                <w:rFonts w:ascii="Microsoft YaHei" w:hAnsi="Microsoft YaHei" w:eastAsia="Microsoft YaHei"/>
                <w:b w:val="0"/>
                <w:sz w:val="17"/>
              </w:rPr>
              <w:t>README、架构图、核心模块说明</w:t>
            </w:r>
          </w:p>
        </w:tc>
        <w:tc>
          <w:tcPr>
            <w:tcW w:type="dxa" w:w="2088"/>
            <w:vAlign w:val="center"/>
          </w:tcPr>
          <w:p>
            <w:pPr>
              <w:spacing w:after="0"/>
            </w:pPr>
            <w:r/>
            <w:r>
              <w:rPr>
                <w:rFonts w:ascii="Microsoft YaHei" w:hAnsi="Microsoft YaHei" w:eastAsia="Microsoft YaHei"/>
                <w:b w:val="0"/>
                <w:sz w:val="17"/>
              </w:rPr>
              <w:t>需整理</w:t>
            </w:r>
          </w:p>
        </w:tc>
      </w:tr>
      <w:tr>
        <w:tc>
          <w:tcPr>
            <w:tcW w:type="dxa" w:w="2520"/>
            <w:vAlign w:val="center"/>
          </w:tcPr>
          <w:p>
            <w:pPr>
              <w:spacing w:after="0"/>
            </w:pPr>
            <w:r/>
            <w:r>
              <w:rPr>
                <w:rFonts w:ascii="Microsoft YaHei" w:hAnsi="Microsoft YaHei" w:eastAsia="Microsoft YaHei"/>
                <w:b w:val="0"/>
                <w:sz w:val="17"/>
              </w:rPr>
              <w:t>演示视频</w:t>
            </w:r>
          </w:p>
        </w:tc>
        <w:tc>
          <w:tcPr>
            <w:tcW w:type="dxa" w:w="4248"/>
            <w:vAlign w:val="center"/>
          </w:tcPr>
          <w:p>
            <w:pPr>
              <w:spacing w:after="0"/>
            </w:pPr>
            <w:r/>
            <w:r>
              <w:rPr>
                <w:rFonts w:ascii="Microsoft YaHei" w:hAnsi="Microsoft YaHei" w:eastAsia="Microsoft YaHei"/>
                <w:b w:val="0"/>
                <w:sz w:val="17"/>
              </w:rPr>
              <w:t>10 分钟以内端到端演示</w:t>
            </w:r>
          </w:p>
        </w:tc>
        <w:tc>
          <w:tcPr>
            <w:tcW w:type="dxa" w:w="2088"/>
            <w:vAlign w:val="center"/>
          </w:tcPr>
          <w:p>
            <w:pPr>
              <w:spacing w:after="0"/>
            </w:pPr>
            <w:r/>
            <w:r>
              <w:rPr>
                <w:rFonts w:ascii="Microsoft YaHei" w:hAnsi="Microsoft YaHei" w:eastAsia="Microsoft YaHei"/>
                <w:b w:val="0"/>
                <w:sz w:val="17"/>
              </w:rPr>
              <w:t>可选但建议准备</w:t>
            </w:r>
          </w:p>
        </w:tc>
      </w:tr>
    </w:tbl>
    <w:p>
      <w:pPr>
        <w:spacing w:after="40"/>
      </w:pPr>
    </w:p>
    <w:p>
      <w:pPr>
        <w:pStyle w:val="Heading1"/>
        <w:keepNext/>
      </w:pPr>
      <w:r>
        <w:rPr>
          <w:rFonts w:ascii="Microsoft YaHei" w:hAnsi="Microsoft YaHei" w:eastAsia="Microsoft YaHei"/>
          <w:color w:val="2E74B5"/>
        </w:rPr>
        <w:t>13. 风险与边界</w:t>
      </w:r>
    </w:p>
    <w:p>
      <w:pPr>
        <w:pStyle w:val="ListBullet"/>
        <w:spacing w:after="60" w:line="269" w:lineRule="auto"/>
      </w:pPr>
      <w:r>
        <w:rPr>
          <w:rFonts w:ascii="Microsoft YaHei" w:hAnsi="Microsoft YaHei" w:eastAsia="Microsoft YaHei"/>
          <w:sz w:val="20"/>
        </w:rPr>
        <w:t>PDF 解析质量风险：扫描件、复杂表格、双栏论文和图表会降低抽取质量，需要 OCR/版面解析增强。</w:t>
      </w:r>
    </w:p>
    <w:p>
      <w:pPr>
        <w:pStyle w:val="ListBullet"/>
        <w:spacing w:after="60" w:line="269" w:lineRule="auto"/>
      </w:pPr>
      <w:r>
        <w:rPr>
          <w:rFonts w:ascii="Microsoft YaHei" w:hAnsi="Microsoft YaHei" w:eastAsia="Microsoft YaHei"/>
          <w:sz w:val="20"/>
        </w:rPr>
        <w:t>LLM 幻觉风险：必须通过证据强校验、置信度和 warnings 降低风险。</w:t>
      </w:r>
    </w:p>
    <w:p>
      <w:pPr>
        <w:pStyle w:val="ListBullet"/>
        <w:spacing w:after="60" w:line="269" w:lineRule="auto"/>
      </w:pPr>
      <w:r>
        <w:rPr>
          <w:rFonts w:ascii="Microsoft YaHei" w:hAnsi="Microsoft YaHei" w:eastAsia="Microsoft YaHei"/>
          <w:sz w:val="20"/>
        </w:rPr>
        <w:t>领域泛化风险：MVP 先支持通用字段和少量领域模板，不承诺覆盖所有学科。</w:t>
      </w:r>
    </w:p>
    <w:p>
      <w:pPr>
        <w:pStyle w:val="ListBullet"/>
        <w:spacing w:after="60" w:line="269" w:lineRule="auto"/>
      </w:pPr>
      <w:r>
        <w:rPr>
          <w:rFonts w:ascii="Microsoft YaHei" w:hAnsi="Microsoft YaHei" w:eastAsia="Microsoft YaHei"/>
          <w:sz w:val="20"/>
        </w:rPr>
        <w:t>外部检索风险：网页和数据库接口稳定性不可控，MVP 可先支持用户上传来源。</w:t>
      </w:r>
    </w:p>
    <w:p>
      <w:pPr>
        <w:pStyle w:val="ListBullet"/>
        <w:spacing w:after="60" w:line="269" w:lineRule="auto"/>
      </w:pPr>
      <w:r>
        <w:rPr>
          <w:rFonts w:ascii="Microsoft YaHei" w:hAnsi="Microsoft YaHei" w:eastAsia="Microsoft YaHei"/>
          <w:sz w:val="20"/>
        </w:rPr>
        <w:t>评审表达风险：答辩时必须强调 Data Agent 闭环，避免被认为只是 PDF parser。</w:t>
      </w:r>
    </w:p>
    <w:p>
      <w:pPr>
        <w:pStyle w:val="Heading1"/>
        <w:keepNext/>
      </w:pPr>
      <w:r>
        <w:rPr>
          <w:rFonts w:ascii="Microsoft YaHei" w:hAnsi="Microsoft YaHei" w:eastAsia="Microsoft YaHei"/>
          <w:color w:val="2E74B5"/>
        </w:rPr>
        <w:t>14. 下一步执行顺序</w:t>
      </w:r>
    </w:p>
    <w:p>
      <w:pPr>
        <w:pStyle w:val="ListNumber"/>
        <w:spacing w:after="60" w:line="269" w:lineRule="auto"/>
      </w:pPr>
      <w:r>
        <w:rPr>
          <w:rFonts w:ascii="Microsoft YaHei" w:hAnsi="Microsoft YaHei" w:eastAsia="Microsoft YaHei"/>
          <w:sz w:val="20"/>
        </w:rPr>
        <w:t>先改后端 Agent：补 quality_report、证据强校验、冲突检测和 schema 对齐。</w:t>
      </w:r>
    </w:p>
    <w:p>
      <w:pPr>
        <w:pStyle w:val="ListNumber"/>
        <w:spacing w:after="60" w:line="269" w:lineRule="auto"/>
      </w:pPr>
      <w:r>
        <w:rPr>
          <w:rFonts w:ascii="Microsoft YaHei" w:hAnsi="Microsoft YaHei" w:eastAsia="Microsoft YaHei"/>
          <w:sz w:val="20"/>
        </w:rPr>
        <w:t>用真实 PDF 和构造 CSV 跑端到端测试，保存稳定输出作为展示案例。</w:t>
      </w:r>
    </w:p>
    <w:p>
      <w:pPr>
        <w:pStyle w:val="ListNumber"/>
        <w:spacing w:after="60" w:line="269" w:lineRule="auto"/>
      </w:pPr>
      <w:r>
        <w:rPr>
          <w:rFonts w:ascii="Microsoft YaHei" w:hAnsi="Microsoft YaHei" w:eastAsia="Microsoft YaHei"/>
          <w:sz w:val="20"/>
        </w:rPr>
        <w:t>整理 API 文档和 curl 示例，保证前端开发前接口稳定。</w:t>
      </w:r>
    </w:p>
    <w:p>
      <w:pPr>
        <w:pStyle w:val="ListNumber"/>
        <w:spacing w:after="60" w:line="269" w:lineRule="auto"/>
      </w:pPr>
      <w:r>
        <w:rPr>
          <w:rFonts w:ascii="Microsoft YaHei" w:hAnsi="Microsoft YaHei" w:eastAsia="Microsoft YaHei"/>
          <w:sz w:val="20"/>
        </w:rPr>
        <w:t>开发前端最小工作台，围绕结果表和证据链展示。</w:t>
      </w:r>
    </w:p>
    <w:p>
      <w:pPr>
        <w:pStyle w:val="ListNumber"/>
        <w:spacing w:after="60" w:line="269" w:lineRule="auto"/>
      </w:pPr>
      <w:r>
        <w:rPr>
          <w:rFonts w:ascii="Microsoft YaHei" w:hAnsi="Microsoft YaHei" w:eastAsia="Microsoft YaHei"/>
          <w:sz w:val="20"/>
        </w:rPr>
        <w:t>把架构、流程、测试结果整理成 20 页以内 PPT/PDF。</w:t>
      </w:r>
    </w:p>
    <w:tbl>
      <w:tblPr>
        <w:tblW w:type="auto" w:w="0"/>
        <w:jc w:val="center"/>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360"/>
            <w:shd w:fill="FFF7E6"/>
          </w:tcPr>
          <w:p>
            <w:pPr>
              <w:spacing w:after="40"/>
            </w:pPr>
            <w:r>
              <w:rPr>
                <w:rFonts w:ascii="Microsoft YaHei" w:hAnsi="Microsoft YaHei" w:eastAsia="Microsoft YaHei"/>
                <w:b/>
                <w:color w:val="7A5A00"/>
                <w:sz w:val="21"/>
              </w:rPr>
              <w:t>最终判断</w:t>
            </w:r>
          </w:p>
          <w:p>
            <w:pPr>
              <w:spacing w:after="0" w:line="269" w:lineRule="auto"/>
            </w:pPr>
            <w:r>
              <w:rPr>
                <w:rFonts w:ascii="Microsoft YaHei" w:hAnsi="Microsoft YaHei" w:eastAsia="Microsoft YaHei"/>
                <w:sz w:val="19"/>
              </w:rPr>
              <w:t>本项目应该被定义为“科研数据整合 Data Agent”，而不是“论文解析器”。后续所有功能、测试和答辩材料都要围绕“多源输入 -&gt; Agent 规划 -&gt; 结构化抽取 -&gt; schema 对齐 -&gt; 冲突校验 -&gt; 证据链 -&gt; CSV/JSON/KG 输出”的闭环展开。</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6"/>
      </w:rPr>
      <w:t>SciData Agent 项目任务书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