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72"/>
          <w:szCs w:val="72"/>
        </w:rPr>
      </w:pPr>
      <w:r>
        <w:rPr>
          <w:sz w:val="72"/>
          <w:szCs w:val="72"/>
        </w:rPr>
        <w:t xml:space="preserve">Analiza pliku: „insurance.xlsx”</w:t>
      </w:r>
      <w:r>
        <w:rPr>
          <w:sz w:val="72"/>
          <w:szCs w:val="72"/>
        </w:rPr>
      </w:r>
    </w:p>
    <w:p>
      <w:pPr>
        <w:pBdr/>
        <w:spacing/>
        <w:ind/>
        <w:rPr/>
      </w:pPr>
      <w:r>
        <w:t xml:space="preserve">Jest to przykładowy zbiór danych na temat klientów firmy ubezpieczeniowej.</w:t>
      </w:r>
      <w:r/>
    </w:p>
    <w:p>
      <w:pPr>
        <w:pBdr/>
        <w:spacing/>
        <w:ind/>
        <w:rPr/>
      </w:pPr>
      <w:r>
        <w:t xml:space="preserve">Charakteryza zbioru danych:</w:t>
      </w:r>
      <w:r/>
    </w:p>
    <w:p>
      <w:pPr>
        <w:pBdr/>
        <w:spacing/>
        <w:ind/>
        <w:rPr/>
      </w:pPr>
      <w:r>
        <w:t xml:space="preserve">- Mamy 7 zmiennych: Wiek, Płeć, BMI, Liczba Dzieci, Status Palacza, Region Zamieszkania i Wysokość opłaty za ubezpieczenie.</w:t>
      </w:r>
      <w:r/>
    </w:p>
    <w:p>
      <w:pPr>
        <w:pBdr/>
        <w:spacing/>
        <w:ind/>
        <w:rPr/>
      </w:pPr>
      <w:r>
        <w:t xml:space="preserve">- Zmienne ilościowe: Wiek ,BMI, Liczba Dzieci, </w:t>
      </w:r>
      <w:r>
        <w:t xml:space="preserve">Wysokość opłaty za ubezpieczenie.</w:t>
      </w:r>
      <w:r/>
    </w:p>
    <w:p>
      <w:pPr>
        <w:pBdr/>
        <w:spacing/>
        <w:ind/>
        <w:rPr/>
      </w:pPr>
      <w:r>
        <w:t xml:space="preserve">- Zmienne jakościowe: Płeć, Status Palacza, Region Zamieszkania.</w:t>
      </w:r>
      <w:r/>
    </w:p>
    <w:p>
      <w:pPr>
        <w:pBdr/>
        <w:spacing/>
        <w:ind/>
        <w:rPr/>
      </w:pPr>
      <w:r>
        <w:t xml:space="preserve">- Skala Nominalna:</w:t>
      </w:r>
      <w:r>
        <w:t xml:space="preserve"> Płeć, </w:t>
      </w:r>
      <w:r>
        <w:t xml:space="preserve">Status Palacza, Region Zamieszkania</w:t>
      </w:r>
      <w:r/>
    </w:p>
    <w:p>
      <w:pPr>
        <w:pBdr/>
        <w:spacing/>
        <w:ind/>
        <w:rPr/>
      </w:pPr>
      <w:r>
        <w:t xml:space="preserve">- Skala Porządkowa:</w:t>
      </w:r>
      <w:r>
        <w:t xml:space="preserve"> Brak</w:t>
      </w:r>
      <w:r/>
    </w:p>
    <w:p>
      <w:pPr>
        <w:pBdr/>
        <w:spacing/>
        <w:ind/>
        <w:rPr/>
      </w:pPr>
      <w:r>
        <w:t xml:space="preserve">- Skala Interwałowa:</w:t>
      </w:r>
      <w:r>
        <w:t xml:space="preserve"> Brak</w:t>
      </w:r>
      <w:r/>
    </w:p>
    <w:p>
      <w:pPr>
        <w:pBdr/>
        <w:spacing/>
        <w:ind/>
        <w:rPr/>
      </w:pPr>
      <w:r>
        <w:t xml:space="preserve">- Skala ilorazowa: Wiek, Bmi, Liczba Dzieci</w:t>
      </w:r>
      <w:r>
        <w:t xml:space="preserve">, </w:t>
      </w:r>
      <w:r>
        <w:t xml:space="preserve">Wysokość opłaty za ubezpieczenie.</w:t>
      </w:r>
      <w:r/>
    </w:p>
    <w:p>
      <w:pPr>
        <w:pBdr/>
        <w:spacing/>
        <w:ind/>
        <w:rPr/>
      </w:pPr>
      <w:r>
        <w:t xml:space="preserve">Zmienna „</w:t>
      </w:r>
      <w:r>
        <w:t xml:space="preserve">Charges</w:t>
      </w:r>
      <w:r>
        <w:t xml:space="preserve">”(</w:t>
      </w:r>
      <w:r>
        <w:t xml:space="preserve"> </w:t>
      </w:r>
      <w:r>
        <w:t xml:space="preserve">Wysokość opłaty za ubezpieczenie</w:t>
      </w:r>
      <w:r>
        <w:t xml:space="preserve">):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2268" cy="1933845"/>
                <wp:effectExtent l="0" t="0" r="9525" b="952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172268" cy="193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9.78pt;height:152.2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685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015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4332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4.75pt;height:5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270375"/>
                <wp:effectExtent l="0" t="0" r="0" b="0"/>
                <wp:docPr id="3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20" cy="427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60pt;height:336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305300"/>
                <wp:effectExtent l="0" t="0" r="0" b="0"/>
                <wp:docPr id="4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2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3.60pt;height:339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Z tego wynika że średnia wynosi 13270 a mediana 9382 pomimo większości opłat w przedziale 0-20000 na co wpływ mają </w:t>
      </w:r>
      <w:r>
        <w:t xml:space="preserve">o</w:t>
      </w:r>
      <w:r>
        <w:t xml:space="preserve">dstające i ekstremalne wartości z największą wynosząc</w:t>
      </w:r>
      <w:r>
        <w:t xml:space="preserve">ą</w:t>
      </w:r>
      <w:r>
        <w:t xml:space="preserve"> 63770</w:t>
      </w:r>
      <w:r>
        <w:t xml:space="preserve">. Skośność jest prawostronna a kurtoza jest poniżej 3 a więc dane są skupione bardziej  w pobliżu średniej i mają mniejsze wartości niż w przypadku rozkładu normalnego . Odchylenie standardowe wynosi 12110. Zarówno długość wąsów jak i ilość wartości odstających i ekstremalnych jest większa w górnej części wykresu.</w:t>
      </w:r>
      <w:r/>
    </w:p>
    <w:p>
      <w:pPr>
        <w:pBdr/>
        <w:spacing/>
        <w:ind/>
        <w:rPr/>
      </w:pPr>
      <w:r>
        <w:t xml:space="preserve">4.Tabele liczności dla płci i statusu palacza: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900" cy="1009791"/>
                <wp:effectExtent l="0" t="0" r="0" b="0"/>
                <wp:docPr id="5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81900" cy="1009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2.04pt;height:79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795" cy="1057423"/>
                <wp:effectExtent l="0" t="0" r="0" b="9525"/>
                <wp:docPr id="6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24795" cy="1057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3.29pt;height:83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Palacze stanowią zaledwie 20% próby, natomiast różnice między płciami są minimalne. Znaczne różnice są jedynie między ilością palących a niepalących, co prawdopodobnie pokrywałoby się z ogółem populacji biorąc pod uwagę historyczny spadek palenia.</w:t>
      </w:r>
      <w:r/>
    </w:p>
    <w:p>
      <w:pPr>
        <w:pBdr/>
        <w:spacing/>
        <w:ind/>
        <w:rPr/>
      </w:pPr>
      <w:r>
        <w:t xml:space="preserve">5.</w: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290695"/>
                <wp:effectExtent l="0" t="0" r="0" b="0"/>
                <wp:docPr id="7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60720" cy="429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3.60pt;height:337.8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258310"/>
                <wp:effectExtent l="0" t="0" r="0" b="8890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60720" cy="425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3.60pt;height:335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281170"/>
                <wp:effectExtent l="0" t="0" r="0" b="5080"/>
                <wp:docPr id="9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60720" cy="428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3.60pt;height:337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t xml:space="preserve"> 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316095"/>
                <wp:effectExtent l="0" t="0" r="0" b="8255"/>
                <wp:docPr id="10" name="Obraz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0720" cy="431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3.60pt;height:339.8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W przypadku podziału na płci nie występują znaczące różnice,</w:t>
      </w:r>
      <w:r>
        <w:t xml:space="preserve"> aczkolwiek składki mężczyzn mają większe pudełko. Natomiast w przypadku różnic między palaczami a niepalącymi są one już znaczące. Poza ogólnie wyższymi stawkami pudełko jest znacznie większe dla palaczy, oraz położone wyżej osi y(opłata za ubezpieczenie).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revision>5</cp:revision>
  <dcterms:created xsi:type="dcterms:W3CDTF">2024-03-14T09:25:00Z</dcterms:created>
  <dcterms:modified xsi:type="dcterms:W3CDTF">2024-03-14T19:45:27Z</dcterms:modified>
</cp:coreProperties>
</file>