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A5FD" w14:textId="77777777" w:rsidR="007005D8" w:rsidRPr="007005D8" w:rsidRDefault="007005D8" w:rsidP="007005D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005D8">
        <w:rPr>
          <w:rFonts w:ascii="Times New Roman" w:eastAsia="Times New Roman" w:hAnsi="Times New Roman" w:cs="Times New Roman"/>
          <w:b/>
          <w:bCs/>
          <w:color w:val="000000"/>
          <w:kern w:val="36"/>
          <w:sz w:val="48"/>
          <w:szCs w:val="48"/>
          <w:lang w:eastAsia="en-GB"/>
          <w14:ligatures w14:val="none"/>
        </w:rPr>
        <w:t>Week 9: AI Governance &amp; Trust in Business</w:t>
      </w:r>
    </w:p>
    <w:p w14:paraId="08BC9C8D"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i/>
          <w:iCs/>
          <w:color w:val="000000"/>
          <w:kern w:val="0"/>
          <w:lang w:eastAsia="en-GB"/>
          <w14:ligatures w14:val="none"/>
        </w:rPr>
        <w:t>Pre-Workshop Preparation (15-20 minutes)</w:t>
      </w:r>
    </w:p>
    <w:p w14:paraId="46CE8532" w14:textId="77777777" w:rsidR="007005D8" w:rsidRPr="007005D8" w:rsidRDefault="00865EEB" w:rsidP="007005D8">
      <w:pPr>
        <w:spacing w:after="0" w:line="240" w:lineRule="auto"/>
        <w:rPr>
          <w:rFonts w:ascii="Times New Roman" w:eastAsia="Times New Roman" w:hAnsi="Times New Roman" w:cs="Times New Roman"/>
          <w:kern w:val="0"/>
          <w:lang w:eastAsia="en-GB"/>
          <w14:ligatures w14:val="none"/>
        </w:rPr>
      </w:pPr>
      <w:r w:rsidRPr="00865EEB">
        <w:rPr>
          <w:rFonts w:ascii="Times New Roman" w:eastAsia="Times New Roman" w:hAnsi="Times New Roman" w:cs="Times New Roman"/>
          <w:noProof/>
          <w:kern w:val="0"/>
          <w:lang w:eastAsia="en-GB"/>
        </w:rPr>
        <w:pict w14:anchorId="511D99F5">
          <v:rect id="_x0000_i1030" alt="" style="width:451.3pt;height:.05pt;mso-width-percent:0;mso-height-percent:0;mso-width-percent:0;mso-height-percent:0" o:hralign="center" o:hrstd="t" o:hr="t" fillcolor="#a0a0a0" stroked="f"/>
        </w:pict>
      </w:r>
    </w:p>
    <w:p w14:paraId="7BD89CF0" w14:textId="77777777" w:rsidR="007005D8" w:rsidRPr="007005D8" w:rsidRDefault="007005D8" w:rsidP="00700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005D8">
        <w:rPr>
          <w:rFonts w:ascii="Times New Roman" w:eastAsia="Times New Roman" w:hAnsi="Times New Roman" w:cs="Times New Roman"/>
          <w:b/>
          <w:bCs/>
          <w:color w:val="000000"/>
          <w:kern w:val="0"/>
          <w:sz w:val="36"/>
          <w:szCs w:val="36"/>
          <w:lang w:eastAsia="en-GB"/>
          <w14:ligatures w14:val="none"/>
        </w:rPr>
        <w:t>Workshop Overview &amp; Learning Outcomes</w:t>
      </w:r>
    </w:p>
    <w:p w14:paraId="400991DB"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Welcome to Week 9: Building Trustworthy AI</w:t>
      </w:r>
    </w:p>
    <w:p w14:paraId="4A2D6356"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t>You've spent seven weeks as innovation advocates—identifying AI opportunities, pitching business concepts, and exploring transformative potential. This week, we shift perspective. Now you'll think like governance professionals, examining how to build AI systems that people trust, regulations support, and society benefits from.</w:t>
      </w:r>
    </w:p>
    <w:p w14:paraId="4A48BFD8"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t>This isn't a retreat from innovation—it's professional maturity. The business leaders who succeed with AI won't be the fastest movers; they'll be the trustworthy movers. In Australia, where public trust in organisational AI use sits below 50%, companies that solve the trust challenge will capture disproportionate market share.</w:t>
      </w:r>
    </w:p>
    <w:p w14:paraId="63F4A6FF"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This Week's Focus</w:t>
      </w:r>
    </w:p>
    <w:p w14:paraId="3BB76332"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t>Week 9 introduces the global governance landscape taking shape right now—from the EU's mandatory AI Act to Singapore's voluntary testing frameworks to Australia's evolving regulatory approach. You'll learn to evaluate AI systems systematically using five trust dimensions (transparency, accountability, fairness, robustness, privacy), understand which Australian laws already regulate AI, and discover practical mechanisms for building responsible AI practices into business operations. The Robodebt case study will demonstrate, through devastating real-world consequences, why governance isn't optional overhead—it's essential business intelligence.</w:t>
      </w:r>
    </w:p>
    <w:p w14:paraId="056557D9"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Workshop Learning Outcomes</w:t>
      </w:r>
    </w:p>
    <w:p w14:paraId="1BE7DBC7"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t>By the end of this week's 3-hour workshop, you will be able to:</w:t>
      </w:r>
    </w:p>
    <w:p w14:paraId="28E720C2" w14:textId="77777777" w:rsidR="007005D8" w:rsidRPr="007005D8" w:rsidRDefault="007005D8" w:rsidP="007005D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Analyse AI systems through multiple governance frameworks</w:t>
      </w:r>
      <w:r w:rsidRPr="007005D8">
        <w:rPr>
          <w:rFonts w:ascii="Times New Roman" w:eastAsia="Times New Roman" w:hAnsi="Times New Roman" w:cs="Times New Roman"/>
          <w:color w:val="000000"/>
          <w:kern w:val="0"/>
          <w:lang w:eastAsia="en-GB"/>
          <w14:ligatures w14:val="none"/>
        </w:rPr>
        <w:t>, comparing how the same technology would be regulated under EU, Singapore, and Australian approaches to identify strategic compliance implications</w:t>
      </w:r>
    </w:p>
    <w:p w14:paraId="45E0868C" w14:textId="77777777" w:rsidR="007005D8" w:rsidRPr="007005D8" w:rsidRDefault="007005D8" w:rsidP="007005D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Conduct systematic trust audits</w:t>
      </w:r>
      <w:r w:rsidRPr="007005D8">
        <w:rPr>
          <w:rFonts w:ascii="Times New Roman" w:eastAsia="Times New Roman" w:hAnsi="Times New Roman" w:cs="Times New Roman"/>
          <w:color w:val="000000"/>
          <w:kern w:val="0"/>
          <w:lang w:eastAsia="en-GB"/>
          <w14:ligatures w14:val="none"/>
        </w:rPr>
        <w:t> using the five dimensions framework to evaluate real AI systems for transparency, accountability, fairness, robustness, and privacy</w:t>
      </w:r>
    </w:p>
    <w:p w14:paraId="51967B0E" w14:textId="77777777" w:rsidR="007005D8" w:rsidRPr="007005D8" w:rsidRDefault="007005D8" w:rsidP="007005D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Design responsible AI governance strategies</w:t>
      </w:r>
      <w:r w:rsidRPr="007005D8">
        <w:rPr>
          <w:rFonts w:ascii="Times New Roman" w:eastAsia="Times New Roman" w:hAnsi="Times New Roman" w:cs="Times New Roman"/>
          <w:color w:val="000000"/>
          <w:kern w:val="0"/>
          <w:lang w:eastAsia="en-GB"/>
          <w14:ligatures w14:val="none"/>
        </w:rPr>
        <w:t> that integrate regulatory compliance with trust-building practices for specific business contexts</w:t>
      </w:r>
    </w:p>
    <w:p w14:paraId="14FBABE5" w14:textId="77777777" w:rsidR="007005D8" w:rsidRPr="007005D8" w:rsidRDefault="007005D8" w:rsidP="007005D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Apply governance thinking retrospectively</w:t>
      </w:r>
      <w:r w:rsidRPr="007005D8">
        <w:rPr>
          <w:rFonts w:ascii="Times New Roman" w:eastAsia="Times New Roman" w:hAnsi="Times New Roman" w:cs="Times New Roman"/>
          <w:color w:val="000000"/>
          <w:kern w:val="0"/>
          <w:lang w:eastAsia="en-GB"/>
          <w14:ligatures w14:val="none"/>
        </w:rPr>
        <w:t> to your Week 7 pitch, identifying governance gaps and designing safeguards you didn't initially consider</w:t>
      </w:r>
    </w:p>
    <w:p w14:paraId="15FE2192"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Why This Week Matters</w:t>
      </w:r>
    </w:p>
    <w:p w14:paraId="515AAC6A"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lastRenderedPageBreak/>
        <w:t>Week 8 diagnosed the problem—you examined what goes wrong with AI through bias, privacy breaches, and unintended consequences. Week 9 provides the solution—governance frameworks, trust evaluation methods, compliance requirements, and responsible practices. Week 10 will address the future—continuous adaptation as AI capabilities and contexts evolve. Together, these three weeks develop the duality essential for AI leadership: innovating boldly while governing responsibly.</w:t>
      </w:r>
    </w:p>
    <w:p w14:paraId="1E953833"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What to Expect in the Workshop</w:t>
      </w:r>
    </w:p>
    <w:p w14:paraId="5D99C043"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Hour 1: Governance Framework Analysis</w:t>
      </w:r>
      <w:r w:rsidRPr="007005D8">
        <w:rPr>
          <w:rFonts w:ascii="Times New Roman" w:eastAsia="Times New Roman" w:hAnsi="Times New Roman" w:cs="Times New Roman"/>
          <w:color w:val="000000"/>
          <w:kern w:val="0"/>
          <w:lang w:eastAsia="en-GB"/>
          <w14:ligatures w14:val="none"/>
        </w:rPr>
        <w:t> – Working in small groups, you'll analyse realistic AI system scenarios (recruitment platforms, loan approval systems, healthcare diagnostics) through three different governance lenses: EU AI Act, Singapore AI Verify, and Australia's current approach. You'll identify risk categories, stakeholder interests, and trade-offs between prescriptive certainty and innovative flexibility.</w:t>
      </w:r>
    </w:p>
    <w:p w14:paraId="6E71ABF8"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Hour 2: Trust Audits</w:t>
      </w:r>
      <w:r w:rsidRPr="007005D8">
        <w:rPr>
          <w:rFonts w:ascii="Times New Roman" w:eastAsia="Times New Roman" w:hAnsi="Times New Roman" w:cs="Times New Roman"/>
          <w:color w:val="000000"/>
          <w:kern w:val="0"/>
          <w:lang w:eastAsia="en-GB"/>
          <w14:ligatures w14:val="none"/>
        </w:rPr>
        <w:t> – You'll conduct systematic trust assessments on real AI systems deployed in Australian businesses, evaluating transparency, accountability, fairness, robustness, and privacy. This moves governance from philosophical debate to practical audit, developing your capability to spot trust vulnerabilities before they become business crises.</w:t>
      </w:r>
    </w:p>
    <w:p w14:paraId="19DF3CEF"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Hour 3: Responsible AI Strategy Design</w:t>
      </w:r>
      <w:r w:rsidRPr="007005D8">
        <w:rPr>
          <w:rFonts w:ascii="Times New Roman" w:eastAsia="Times New Roman" w:hAnsi="Times New Roman" w:cs="Times New Roman"/>
          <w:color w:val="000000"/>
          <w:kern w:val="0"/>
          <w:lang w:eastAsia="en-GB"/>
          <w14:ligatures w14:val="none"/>
        </w:rPr>
        <w:t> – You'll design comprehensive governance strategies that integrate human oversight, stakeholder engagement, monitoring mechanisms, and organisational culture. The final activity asks you to revisit your Week 7 pitch through a governance lens, identifying safeguards you'll now implement.</w:t>
      </w:r>
    </w:p>
    <w:p w14:paraId="24316F9F" w14:textId="77777777" w:rsidR="007005D8" w:rsidRPr="007005D8" w:rsidRDefault="007005D8" w:rsidP="007005D8">
      <w:pPr>
        <w:spacing w:after="0" w:line="240" w:lineRule="auto"/>
        <w:rPr>
          <w:rFonts w:ascii="Times New Roman" w:eastAsia="Times New Roman" w:hAnsi="Times New Roman" w:cs="Times New Roman"/>
          <w:kern w:val="0"/>
          <w:lang w:eastAsia="en-GB"/>
          <w14:ligatures w14:val="none"/>
        </w:rPr>
      </w:pPr>
      <w:r w:rsidRPr="007005D8">
        <w:rPr>
          <w:rFonts w:ascii="Times New Roman" w:eastAsia="Times New Roman" w:hAnsi="Times New Roman" w:cs="Times New Roman"/>
          <w:kern w:val="0"/>
          <w:lang w:eastAsia="en-GB"/>
          <w14:ligatures w14:val="none"/>
        </w:rPr>
        <w:pict w14:anchorId="013F95F7">
          <v:rect id="_x0000_i1026" style="width:0;height:1.5pt" o:hralign="center" o:hrstd="t" o:hr="t" fillcolor="#a0a0a0" stroked="f"/>
        </w:pict>
      </w:r>
    </w:p>
    <w:p w14:paraId="1793F597" w14:textId="77777777" w:rsidR="007005D8" w:rsidRPr="007005D8" w:rsidRDefault="007005D8" w:rsidP="00700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005D8">
        <w:rPr>
          <w:rFonts w:ascii="Times New Roman" w:eastAsia="Times New Roman" w:hAnsi="Times New Roman" w:cs="Times New Roman"/>
          <w:b/>
          <w:bCs/>
          <w:color w:val="000000"/>
          <w:kern w:val="0"/>
          <w:sz w:val="36"/>
          <w:szCs w:val="36"/>
          <w:lang w:eastAsia="en-GB"/>
          <w14:ligatures w14:val="none"/>
        </w:rPr>
        <w:t>Essential Terms for This Week</w:t>
      </w:r>
    </w:p>
    <w:p w14:paraId="224158A1"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AI Governance Frameworks</w:t>
      </w:r>
      <w:r w:rsidRPr="007005D8">
        <w:rPr>
          <w:rFonts w:ascii="Times New Roman" w:eastAsia="Times New Roman" w:hAnsi="Times New Roman" w:cs="Times New Roman"/>
          <w:color w:val="000000"/>
          <w:kern w:val="0"/>
          <w:lang w:eastAsia="en-GB"/>
          <w14:ligatures w14:val="none"/>
        </w:rPr>
        <w:br/>
        <w:t>Structured approaches—ranging from voluntary principles to mandatory regulation—that establish standards for responsible AI development and deployment. These aren't abstract ethics discussions; they're the regulatory architecture shaping market access, investor confidence, and competitive positioning. The OECD's five principles provide the global baseline, while the EU AI Act, Singapore's AI Verify, and Australia's eight principles represent different implementation strategies. Understanding these frameworks means knowing which rules apply to your business, what compliance costs you'll face, and how to position governance as competitive advantage rather than mere overhead.</w:t>
      </w:r>
    </w:p>
    <w:p w14:paraId="3FF1E9DC"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EU AI Act Risk Categories</w:t>
      </w:r>
      <w:r w:rsidRPr="007005D8">
        <w:rPr>
          <w:rFonts w:ascii="Times New Roman" w:eastAsia="Times New Roman" w:hAnsi="Times New Roman" w:cs="Times New Roman"/>
          <w:color w:val="000000"/>
          <w:kern w:val="0"/>
          <w:lang w:eastAsia="en-GB"/>
          <w14:ligatures w14:val="none"/>
        </w:rPr>
        <w:br/>
        <w:t>The European Union's classification system that assigns AI systems to four risk levels with corresponding obligations: unacceptable risk (banned outright—social scoring, subliminal manipulation), high risk (requires conformity assessment, transparency, human oversight—recruitment AI, credit scoring, critical infrastructure), limited risk (transparency obligations only—chatbots must disclose they're AI), and minimal risk (largely unregulated—spam filters, game AI). Even Australian businesses face these requirements through extraterritorial application if serving EU markets or participating in global supply chains. Understanding risk classification informs design decisions, compliance budgets, and go-to-market strategies.</w:t>
      </w:r>
    </w:p>
    <w:p w14:paraId="3EA580CD"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lastRenderedPageBreak/>
        <w:t>Five Dimensions of Trustworthy AI</w:t>
      </w:r>
      <w:r w:rsidRPr="007005D8">
        <w:rPr>
          <w:rFonts w:ascii="Times New Roman" w:eastAsia="Times New Roman" w:hAnsi="Times New Roman" w:cs="Times New Roman"/>
          <w:color w:val="000000"/>
          <w:kern w:val="0"/>
          <w:lang w:eastAsia="en-GB"/>
          <w14:ligatures w14:val="none"/>
        </w:rPr>
        <w:br/>
        <w:t>The measurable characteristics that transform "trustworthy AI" from vague aspiration into operational checklist: transparency (can stakeholders understand how the system works?), accountability (who's responsible for outcomes?), fairness (does it treat all users equitably without unjustified bias?), robustness (does it perform reliably and securely?), and privacy (does it protect personal information?). These dimensions aren't just ethical aspirations—they're business risk assessments. Trust failures cost companies millions in fines, destroy reputations overnight, and create regulatory scrutiny. Companies that build trust systematically gain customer loyalty, regulatory favour, and market differentiation.</w:t>
      </w:r>
    </w:p>
    <w:p w14:paraId="6E4B172E"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Privacy Act 1988 (Australia)</w:t>
      </w:r>
      <w:r w:rsidRPr="007005D8">
        <w:rPr>
          <w:rFonts w:ascii="Times New Roman" w:eastAsia="Times New Roman" w:hAnsi="Times New Roman" w:cs="Times New Roman"/>
          <w:color w:val="000000"/>
          <w:kern w:val="0"/>
          <w:lang w:eastAsia="en-GB"/>
          <w14:ligatures w14:val="none"/>
        </w:rPr>
        <w:br/>
        <w:t>The primary data protection legislation governing how Australian organisations collect, use, disclose, and store personal information through 13 Australian Privacy Principles (APPs). This isn't future AI regulation—it already applies to AI systems processing personal data right now. Key obligations include collecting only necessary information, obtaining consent, ensuring accuracy, implementing security safeguards, and providing transparent privacy policies. AI-specific implications include training data privacy (can't use personal information without lawful basis), algorithmic decision-making obligations (individuals can request access to information used in automated decisions), and data minimisation requirements that constrain what information AI systems can process.</w:t>
      </w:r>
    </w:p>
    <w:p w14:paraId="51C53054"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Human-in-the-Loop (HITL) vs Human-on-the-Loop (HOTL)</w:t>
      </w:r>
      <w:r w:rsidRPr="007005D8">
        <w:rPr>
          <w:rFonts w:ascii="Times New Roman" w:eastAsia="Times New Roman" w:hAnsi="Times New Roman" w:cs="Times New Roman"/>
          <w:color w:val="000000"/>
          <w:kern w:val="0"/>
          <w:lang w:eastAsia="en-GB"/>
          <w14:ligatures w14:val="none"/>
        </w:rPr>
        <w:br/>
        <w:t>Two oversight models defining human involvement in AI decision-making. HITL requires human approval before AI decisions are implemented—critical for high-stakes, irreversible decisions like loan denials, medical diagnoses, or employment termination. HOTL allows AI systems to operate autonomously with human monitoring and intervention capability—suitable for lower-stakes decisions where humans review patterns, audit samples, and can override when needed. The Robodebt failure resulted partly from inadequate human oversight—automated debt notices issued without meaningful human review despite high-stakes consequences. Choosing appropriate oversight models based on decision stakes and reversibility is fundamental governance design.</w:t>
      </w:r>
    </w:p>
    <w:p w14:paraId="14DBE0A8"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Robodebt</w:t>
      </w:r>
      <w:r w:rsidRPr="007005D8">
        <w:rPr>
          <w:rFonts w:ascii="Times New Roman" w:eastAsia="Times New Roman" w:hAnsi="Times New Roman" w:cs="Times New Roman"/>
          <w:color w:val="000000"/>
          <w:kern w:val="0"/>
          <w:lang w:eastAsia="en-GB"/>
          <w14:ligatures w14:val="none"/>
        </w:rPr>
        <w:br/>
        <w:t>Australia's automated welfare debt recovery system (2016-2020) that used income-averaging algorithms to identify alleged overpayments, resulting in approximately 470,000 unlawful debt notices, AU$1.8 billion in refunds and compensation, and a Royal Commission investigation. The case exemplifies "working as designed" failures: the algorithm successfully executed its task but caused devastating harm through flawed methodology (averaging annual income across fortnights violated the Social Security Act), inadequate human oversight, insufficient complaints mechanisms, and organisational culture prioritising efficiency over accuracy. Multiple deaths by suicide were linked to Robodebt stress. This isn't ancient history—it's Australia's most significant automated decision-making disaster, demonstrating catastrophic consequences when governance fails.</w:t>
      </w:r>
    </w:p>
    <w:p w14:paraId="52465436"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Algorithmic Bias</w:t>
      </w:r>
      <w:r w:rsidRPr="007005D8">
        <w:rPr>
          <w:rFonts w:ascii="Times New Roman" w:eastAsia="Times New Roman" w:hAnsi="Times New Roman" w:cs="Times New Roman"/>
          <w:color w:val="000000"/>
          <w:kern w:val="0"/>
          <w:lang w:eastAsia="en-GB"/>
          <w14:ligatures w14:val="none"/>
        </w:rPr>
        <w:br/>
        <w:t xml:space="preserve">Systematic and unfair discrimination produced by AI systems, typically resulting from biased training data, flawed problem formulation, or inappropriate proxy metrics. Unlike human bias, algorithmic bias operates at scale—encoding prejudice into thousands or millions of decisions consistently and invisibly. For example, Amazon's recruitment AI penalised résumés mentioning "women's colleges" because historical hiring data showed male </w:t>
      </w:r>
      <w:r w:rsidRPr="007005D8">
        <w:rPr>
          <w:rFonts w:ascii="Times New Roman" w:eastAsia="Times New Roman" w:hAnsi="Times New Roman" w:cs="Times New Roman"/>
          <w:color w:val="000000"/>
          <w:kern w:val="0"/>
          <w:lang w:eastAsia="en-GB"/>
          <w14:ligatures w14:val="none"/>
        </w:rPr>
        <w:lastRenderedPageBreak/>
        <w:t>candidates were more often successful; the algorithm didn't invent sexism, it learned and systematised it. Bias can also emerge from data gaps (facial recognition performing poorly on darker skin tones because training datasets over-represented lighter skin) or inappropriate proxies (postcode correlating with protected characteristics, enabling discrimination by proxy). Identifying and mitigating algorithmic bias isn't just ethical responsibility—it's legal compliance under Australian anti-discrimination law.</w:t>
      </w:r>
    </w:p>
    <w:p w14:paraId="6F198AE2"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Transparency Mechanisms</w:t>
      </w:r>
      <w:r w:rsidRPr="007005D8">
        <w:rPr>
          <w:rFonts w:ascii="Times New Roman" w:eastAsia="Times New Roman" w:hAnsi="Times New Roman" w:cs="Times New Roman"/>
          <w:color w:val="000000"/>
          <w:kern w:val="0"/>
          <w:lang w:eastAsia="en-GB"/>
          <w14:ligatures w14:val="none"/>
        </w:rPr>
        <w:br/>
        <w:t>Practical tools that make AI systems understandable to stakeholders: model cards (standardised documentation of AI system capabilities, limitations, training data, and intended use cases), explainability interfaces (showing users why specific decisions were made), plain-language disclosures (informing people they're interacting with AI and what it can and cannot do), and algorithmic impact assessments (systematic evaluation of AI system effects before deployment). These aren't optional extras—they're how organisations operationalise the transparency dimension of trustworthy AI. For business contexts, transparency builds customer confidence, satisfies regulatory expectations, supports informed consent, and enables meaningful human oversight. The absence of transparency mechanisms contributed to multiple governance failures, including Robodebt's issuing of debt notices without clear explanation of algorithmic calculation methods.</w:t>
      </w:r>
    </w:p>
    <w:p w14:paraId="41F1F630" w14:textId="77777777" w:rsidR="007005D8" w:rsidRPr="007005D8" w:rsidRDefault="007005D8" w:rsidP="007005D8">
      <w:pPr>
        <w:spacing w:after="0" w:line="240" w:lineRule="auto"/>
        <w:rPr>
          <w:rFonts w:ascii="Times New Roman" w:eastAsia="Times New Roman" w:hAnsi="Times New Roman" w:cs="Times New Roman"/>
          <w:kern w:val="0"/>
          <w:lang w:eastAsia="en-GB"/>
          <w14:ligatures w14:val="none"/>
        </w:rPr>
      </w:pPr>
      <w:r w:rsidRPr="007005D8">
        <w:rPr>
          <w:rFonts w:ascii="Times New Roman" w:eastAsia="Times New Roman" w:hAnsi="Times New Roman" w:cs="Times New Roman"/>
          <w:kern w:val="0"/>
          <w:lang w:eastAsia="en-GB"/>
          <w14:ligatures w14:val="none"/>
        </w:rPr>
        <w:pict w14:anchorId="7F68C7F1">
          <v:rect id="_x0000_i1027" style="width:0;height:1.5pt" o:hralign="center" o:hrstd="t" o:hr="t" fillcolor="#a0a0a0" stroked="f"/>
        </w:pict>
      </w:r>
    </w:p>
    <w:p w14:paraId="7A7E7377" w14:textId="77777777" w:rsidR="007005D8" w:rsidRPr="007005D8" w:rsidRDefault="007005D8" w:rsidP="00700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005D8">
        <w:rPr>
          <w:rFonts w:ascii="Times New Roman" w:eastAsia="Times New Roman" w:hAnsi="Times New Roman" w:cs="Times New Roman"/>
          <w:b/>
          <w:bCs/>
          <w:color w:val="000000"/>
          <w:kern w:val="0"/>
          <w:sz w:val="36"/>
          <w:szCs w:val="36"/>
          <w:lang w:eastAsia="en-GB"/>
          <w14:ligatures w14:val="none"/>
        </w:rPr>
        <w:t>Essential Pre-Workshop Resource</w:t>
      </w:r>
    </w:p>
    <w:p w14:paraId="602088E0"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Title:</w:t>
      </w:r>
      <w:r w:rsidRPr="007005D8">
        <w:rPr>
          <w:rFonts w:ascii="Times New Roman" w:eastAsia="Times New Roman" w:hAnsi="Times New Roman" w:cs="Times New Roman"/>
          <w:color w:val="000000"/>
          <w:kern w:val="0"/>
          <w:lang w:eastAsia="en-GB"/>
          <w14:ligatures w14:val="none"/>
        </w:rPr>
        <w:t> Robodebt Royal Commission Report – Executive Summary</w:t>
      </w:r>
      <w:r w:rsidRPr="007005D8">
        <w:rPr>
          <w:rFonts w:ascii="Times New Roman" w:eastAsia="Times New Roman" w:hAnsi="Times New Roman" w:cs="Times New Roman"/>
          <w:color w:val="000000"/>
          <w:kern w:val="0"/>
          <w:lang w:eastAsia="en-GB"/>
          <w14:ligatures w14:val="none"/>
        </w:rPr>
        <w:br/>
      </w:r>
      <w:r w:rsidRPr="007005D8">
        <w:rPr>
          <w:rFonts w:ascii="Times New Roman" w:eastAsia="Times New Roman" w:hAnsi="Times New Roman" w:cs="Times New Roman"/>
          <w:b/>
          <w:bCs/>
          <w:color w:val="000000"/>
          <w:kern w:val="0"/>
          <w:lang w:eastAsia="en-GB"/>
          <w14:ligatures w14:val="none"/>
        </w:rPr>
        <w:t>Format:</w:t>
      </w:r>
      <w:r w:rsidRPr="007005D8">
        <w:rPr>
          <w:rFonts w:ascii="Times New Roman" w:eastAsia="Times New Roman" w:hAnsi="Times New Roman" w:cs="Times New Roman"/>
          <w:color w:val="000000"/>
          <w:kern w:val="0"/>
          <w:lang w:eastAsia="en-GB"/>
          <w14:ligatures w14:val="none"/>
        </w:rPr>
        <w:t> Reading (PDF)</w:t>
      </w:r>
      <w:r w:rsidRPr="007005D8">
        <w:rPr>
          <w:rFonts w:ascii="Times New Roman" w:eastAsia="Times New Roman" w:hAnsi="Times New Roman" w:cs="Times New Roman"/>
          <w:color w:val="000000"/>
          <w:kern w:val="0"/>
          <w:lang w:eastAsia="en-GB"/>
          <w14:ligatures w14:val="none"/>
        </w:rPr>
        <w:br/>
      </w:r>
      <w:r w:rsidRPr="007005D8">
        <w:rPr>
          <w:rFonts w:ascii="Times New Roman" w:eastAsia="Times New Roman" w:hAnsi="Times New Roman" w:cs="Times New Roman"/>
          <w:b/>
          <w:bCs/>
          <w:color w:val="000000"/>
          <w:kern w:val="0"/>
          <w:lang w:eastAsia="en-GB"/>
          <w14:ligatures w14:val="none"/>
        </w:rPr>
        <w:t>Time:</w:t>
      </w:r>
      <w:r w:rsidRPr="007005D8">
        <w:rPr>
          <w:rFonts w:ascii="Times New Roman" w:eastAsia="Times New Roman" w:hAnsi="Times New Roman" w:cs="Times New Roman"/>
          <w:color w:val="000000"/>
          <w:kern w:val="0"/>
          <w:lang w:eastAsia="en-GB"/>
          <w14:ligatures w14:val="none"/>
        </w:rPr>
        <w:t> 10 minutes (pages 1-15 of the Executive Summary)</w:t>
      </w:r>
      <w:r w:rsidRPr="007005D8">
        <w:rPr>
          <w:rFonts w:ascii="Times New Roman" w:eastAsia="Times New Roman" w:hAnsi="Times New Roman" w:cs="Times New Roman"/>
          <w:color w:val="000000"/>
          <w:kern w:val="0"/>
          <w:lang w:eastAsia="en-GB"/>
          <w14:ligatures w14:val="none"/>
        </w:rPr>
        <w:br/>
      </w:r>
      <w:r w:rsidRPr="007005D8">
        <w:rPr>
          <w:rFonts w:ascii="Times New Roman" w:eastAsia="Times New Roman" w:hAnsi="Times New Roman" w:cs="Times New Roman"/>
          <w:b/>
          <w:bCs/>
          <w:color w:val="000000"/>
          <w:kern w:val="0"/>
          <w:lang w:eastAsia="en-GB"/>
          <w14:ligatures w14:val="none"/>
        </w:rPr>
        <w:t>Source:</w:t>
      </w:r>
      <w:r w:rsidRPr="007005D8">
        <w:rPr>
          <w:rFonts w:ascii="Times New Roman" w:eastAsia="Times New Roman" w:hAnsi="Times New Roman" w:cs="Times New Roman"/>
          <w:color w:val="000000"/>
          <w:kern w:val="0"/>
          <w:lang w:eastAsia="en-GB"/>
          <w14:ligatures w14:val="none"/>
        </w:rPr>
        <w:t> Australian Government Royal Commission</w:t>
      </w:r>
      <w:r w:rsidRPr="007005D8">
        <w:rPr>
          <w:rFonts w:ascii="Times New Roman" w:eastAsia="Times New Roman" w:hAnsi="Times New Roman" w:cs="Times New Roman"/>
          <w:color w:val="000000"/>
          <w:kern w:val="0"/>
          <w:lang w:eastAsia="en-GB"/>
          <w14:ligatures w14:val="none"/>
        </w:rPr>
        <w:br/>
      </w:r>
      <w:r w:rsidRPr="007005D8">
        <w:rPr>
          <w:rFonts w:ascii="Times New Roman" w:eastAsia="Times New Roman" w:hAnsi="Times New Roman" w:cs="Times New Roman"/>
          <w:b/>
          <w:bCs/>
          <w:color w:val="000000"/>
          <w:kern w:val="0"/>
          <w:lang w:eastAsia="en-GB"/>
          <w14:ligatures w14:val="none"/>
        </w:rPr>
        <w:t>URL:</w:t>
      </w:r>
      <w:r w:rsidRPr="007005D8">
        <w:rPr>
          <w:rFonts w:ascii="Times New Roman" w:eastAsia="Times New Roman" w:hAnsi="Times New Roman" w:cs="Times New Roman"/>
          <w:color w:val="000000"/>
          <w:kern w:val="0"/>
          <w:lang w:eastAsia="en-GB"/>
          <w14:ligatures w14:val="none"/>
        </w:rPr>
        <w:t> https://robodebt.royalcommission.gov.au/publications/report</w:t>
      </w:r>
    </w:p>
    <w:p w14:paraId="5B2FE1C0"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Why this resource matters:</w:t>
      </w:r>
      <w:r w:rsidRPr="007005D8">
        <w:rPr>
          <w:rFonts w:ascii="Times New Roman" w:eastAsia="Times New Roman" w:hAnsi="Times New Roman" w:cs="Times New Roman"/>
          <w:color w:val="000000"/>
          <w:kern w:val="0"/>
          <w:lang w:eastAsia="en-GB"/>
          <w14:ligatures w14:val="none"/>
        </w:rPr>
        <w:t> Before diving into governance frameworks and trust dimensions in the workshop, you need to understand </w:t>
      </w:r>
      <w:r w:rsidRPr="007005D8">
        <w:rPr>
          <w:rFonts w:ascii="Times New Roman" w:eastAsia="Times New Roman" w:hAnsi="Times New Roman" w:cs="Times New Roman"/>
          <w:i/>
          <w:iCs/>
          <w:color w:val="000000"/>
          <w:kern w:val="0"/>
          <w:lang w:eastAsia="en-GB"/>
          <w14:ligatures w14:val="none"/>
        </w:rPr>
        <w:t>why</w:t>
      </w:r>
      <w:r w:rsidRPr="007005D8">
        <w:rPr>
          <w:rFonts w:ascii="Times New Roman" w:eastAsia="Times New Roman" w:hAnsi="Times New Roman" w:cs="Times New Roman"/>
          <w:color w:val="000000"/>
          <w:kern w:val="0"/>
          <w:lang w:eastAsia="en-GB"/>
          <w14:ligatures w14:val="none"/>
        </w:rPr>
        <w:t> governance matters through a concrete, devastating Australian example. The Robodebt case demonstrates that automated systems can cause catastrophic harm even when technically "working as designed." This isn't theoretical ethics—it's recent Australian history with real victims, legal consequences, and profound implications for anyone deploying AI in business contexts.</w:t>
      </w:r>
    </w:p>
    <w:p w14:paraId="56F45D90"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What to focus on while reading:</w:t>
      </w:r>
    </w:p>
    <w:p w14:paraId="77B63CD8"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t>As you read the Executive Summary (you don't need to read the full 1000+ page report), pay attention to three critical dimensions:</w:t>
      </w:r>
    </w:p>
    <w:p w14:paraId="25491B03" w14:textId="77777777" w:rsidR="007005D8" w:rsidRPr="007005D8" w:rsidRDefault="007005D8" w:rsidP="007005D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How the system failed</w:t>
      </w:r>
      <w:r w:rsidRPr="007005D8">
        <w:rPr>
          <w:rFonts w:ascii="Times New Roman" w:eastAsia="Times New Roman" w:hAnsi="Times New Roman" w:cs="Times New Roman"/>
          <w:color w:val="000000"/>
          <w:kern w:val="0"/>
          <w:lang w:eastAsia="en-GB"/>
          <w14:ligatures w14:val="none"/>
        </w:rPr>
        <w:t>: Note that the algorithm itself functioned correctly—it successfully averaged income data and flagged discrepancies. The failure was in flawed methodology (income averaging violated the Social Security Act), inadequate human oversight (debt notices issued automatically without proper review), and organisational culture (prioritising efficiency metrics over accuracy and fairness).</w:t>
      </w:r>
    </w:p>
    <w:p w14:paraId="009E1531" w14:textId="77777777" w:rsidR="007005D8" w:rsidRPr="007005D8" w:rsidRDefault="007005D8" w:rsidP="007005D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The cascade of consequences</w:t>
      </w:r>
      <w:r w:rsidRPr="007005D8">
        <w:rPr>
          <w:rFonts w:ascii="Times New Roman" w:eastAsia="Times New Roman" w:hAnsi="Times New Roman" w:cs="Times New Roman"/>
          <w:color w:val="000000"/>
          <w:kern w:val="0"/>
          <w:lang w:eastAsia="en-GB"/>
          <w14:ligatures w14:val="none"/>
        </w:rPr>
        <w:t xml:space="preserve">: Observe how algorithmic failure created harm at individual level (financial distress, mental health crises, suicides), organisational level </w:t>
      </w:r>
      <w:r w:rsidRPr="007005D8">
        <w:rPr>
          <w:rFonts w:ascii="Times New Roman" w:eastAsia="Times New Roman" w:hAnsi="Times New Roman" w:cs="Times New Roman"/>
          <w:color w:val="000000"/>
          <w:kern w:val="0"/>
          <w:lang w:eastAsia="en-GB"/>
          <w14:ligatures w14:val="none"/>
        </w:rPr>
        <w:lastRenderedPageBreak/>
        <w:t>(AU$1.8 billion in refunds, destroyed reputations, Royal Commission investigation), and societal level (eroded trust in government automation, chilling effect on legitimate welfare claims).</w:t>
      </w:r>
    </w:p>
    <w:p w14:paraId="4B9F96C6" w14:textId="77777777" w:rsidR="007005D8" w:rsidRPr="007005D8" w:rsidRDefault="007005D8" w:rsidP="007005D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Governance gaps that enabled the disaster</w:t>
      </w:r>
      <w:r w:rsidRPr="007005D8">
        <w:rPr>
          <w:rFonts w:ascii="Times New Roman" w:eastAsia="Times New Roman" w:hAnsi="Times New Roman" w:cs="Times New Roman"/>
          <w:color w:val="000000"/>
          <w:kern w:val="0"/>
          <w:lang w:eastAsia="en-GB"/>
          <w14:ligatures w14:val="none"/>
        </w:rPr>
        <w:t>: Identify what wasn't in place—legal validation of methodology, bias testing, meaningful human oversight, accessible complaints mechanisms, willingness to act on evidence of problems. These absences map directly onto the governance frameworks and responsible AI practices you'll learn this week.</w:t>
      </w:r>
    </w:p>
    <w:p w14:paraId="4467F695"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Reflection question</w:t>
      </w:r>
      <w:r w:rsidRPr="007005D8">
        <w:rPr>
          <w:rFonts w:ascii="Times New Roman" w:eastAsia="Times New Roman" w:hAnsi="Times New Roman" w:cs="Times New Roman"/>
          <w:color w:val="000000"/>
          <w:kern w:val="0"/>
          <w:lang w:eastAsia="en-GB"/>
          <w14:ligatures w14:val="none"/>
        </w:rPr>
        <w:t> (think about this, don't write formally): If you were designing an AI-powered business system that made consequential decisions about customers—credit approvals, recruitment screening, pricing algorithms—what specific safeguards would you implement to prevent a Robodebt-style failure in your organisation?</w:t>
      </w:r>
    </w:p>
    <w:p w14:paraId="636B9076"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t>The workshop will equip you with frameworks to answer that question systematically. For now, let Robodebt's lessons provide urgency and context for why governance isn't bureaucratic overhead—it's essential business intelligence that protects customers, organisations, and society from preventable harm.</w:t>
      </w:r>
    </w:p>
    <w:p w14:paraId="3091F302" w14:textId="77777777" w:rsidR="007005D8" w:rsidRPr="007005D8" w:rsidRDefault="00865EEB" w:rsidP="007005D8">
      <w:pPr>
        <w:spacing w:after="0" w:line="240" w:lineRule="auto"/>
        <w:rPr>
          <w:rFonts w:ascii="Times New Roman" w:eastAsia="Times New Roman" w:hAnsi="Times New Roman" w:cs="Times New Roman"/>
          <w:kern w:val="0"/>
          <w:lang w:eastAsia="en-GB"/>
          <w14:ligatures w14:val="none"/>
        </w:rPr>
      </w:pPr>
      <w:r w:rsidRPr="00865EEB">
        <w:rPr>
          <w:rFonts w:ascii="Times New Roman" w:eastAsia="Times New Roman" w:hAnsi="Times New Roman" w:cs="Times New Roman"/>
          <w:noProof/>
          <w:kern w:val="0"/>
          <w:lang w:eastAsia="en-GB"/>
        </w:rPr>
        <w:pict w14:anchorId="61E46DF3">
          <v:rect id="_x0000_i1029" alt="" style="width:451.3pt;height:.05pt;mso-width-percent:0;mso-height-percent:0;mso-width-percent:0;mso-height-percent:0" o:hralign="center" o:hrstd="t" o:hr="t" fillcolor="#a0a0a0" stroked="f"/>
        </w:pict>
      </w:r>
    </w:p>
    <w:p w14:paraId="6A245C08" w14:textId="77777777" w:rsidR="007005D8" w:rsidRPr="007005D8" w:rsidRDefault="007005D8" w:rsidP="00700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005D8">
        <w:rPr>
          <w:rFonts w:ascii="Times New Roman" w:eastAsia="Times New Roman" w:hAnsi="Times New Roman" w:cs="Times New Roman"/>
          <w:b/>
          <w:bCs/>
          <w:color w:val="000000"/>
          <w:kern w:val="0"/>
          <w:sz w:val="36"/>
          <w:szCs w:val="36"/>
          <w:lang w:eastAsia="en-GB"/>
          <w14:ligatures w14:val="none"/>
        </w:rPr>
        <w:t>Workshop Preparation Checklist</w:t>
      </w:r>
    </w:p>
    <w:p w14:paraId="0FEB839D"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color w:val="000000"/>
          <w:kern w:val="0"/>
          <w:lang w:eastAsia="en-GB"/>
          <w14:ligatures w14:val="none"/>
        </w:rPr>
        <w:t>Complete these items before attending the Week 9 workshop to maximise your learning:</w:t>
      </w:r>
    </w:p>
    <w:p w14:paraId="5924D64E"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Essential Preparation:</w:t>
      </w:r>
    </w:p>
    <w:p w14:paraId="753E57FB"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Read the Robodebt Executive Summary</w:t>
      </w:r>
      <w:r w:rsidRPr="007005D8">
        <w:rPr>
          <w:rFonts w:ascii="Times New Roman" w:eastAsia="Times New Roman" w:hAnsi="Times New Roman" w:cs="Times New Roman"/>
          <w:color w:val="000000"/>
          <w:kern w:val="0"/>
          <w:lang w:eastAsia="en-GB"/>
          <w14:ligatures w14:val="none"/>
        </w:rPr>
        <w:t> (above) – 10 minutes. This case study provides critical context for why governance matters.</w:t>
      </w:r>
    </w:p>
    <w:p w14:paraId="73C23CBB"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Review your Week 7 pitch deck</w:t>
      </w:r>
      <w:r w:rsidRPr="007005D8">
        <w:rPr>
          <w:rFonts w:ascii="Times New Roman" w:eastAsia="Times New Roman" w:hAnsi="Times New Roman" w:cs="Times New Roman"/>
          <w:color w:val="000000"/>
          <w:kern w:val="0"/>
          <w:lang w:eastAsia="en-GB"/>
          <w14:ligatures w14:val="none"/>
        </w:rPr>
        <w:t> – 5 minutes. You'll analyse it through a governance lens during the workshop, so have it accessible digitally.</w:t>
      </w:r>
    </w:p>
    <w:p w14:paraId="7DA0B835"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Familiarise yourself with the five trust dimensions</w:t>
      </w:r>
      <w:r w:rsidRPr="007005D8">
        <w:rPr>
          <w:rFonts w:ascii="Times New Roman" w:eastAsia="Times New Roman" w:hAnsi="Times New Roman" w:cs="Times New Roman"/>
          <w:color w:val="000000"/>
          <w:kern w:val="0"/>
          <w:lang w:eastAsia="en-GB"/>
          <w14:ligatures w14:val="none"/>
        </w:rPr>
        <w:t> – Re-read the glossary terms above, ensuring you understand transparency, accountability, fairness, robustness, and privacy as distinct concepts.</w:t>
      </w:r>
    </w:p>
    <w:p w14:paraId="19C7C736"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Bring a laptop with full battery charge</w:t>
      </w:r>
      <w:r w:rsidRPr="007005D8">
        <w:rPr>
          <w:rFonts w:ascii="Times New Roman" w:eastAsia="Times New Roman" w:hAnsi="Times New Roman" w:cs="Times New Roman"/>
          <w:color w:val="000000"/>
          <w:kern w:val="0"/>
          <w:lang w:eastAsia="en-GB"/>
          <w14:ligatures w14:val="none"/>
        </w:rPr>
        <w:t> – You'll need it for accessing resources, collaborative documents, and workshop activities throughout the 3-hour session.</w:t>
      </w:r>
    </w:p>
    <w:p w14:paraId="20322322"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Have your AI Prompt Log available</w:t>
      </w:r>
      <w:r w:rsidRPr="007005D8">
        <w:rPr>
          <w:rFonts w:ascii="Times New Roman" w:eastAsia="Times New Roman" w:hAnsi="Times New Roman" w:cs="Times New Roman"/>
          <w:color w:val="000000"/>
          <w:kern w:val="0"/>
          <w:lang w:eastAsia="en-GB"/>
          <w14:ligatures w14:val="none"/>
        </w:rPr>
        <w:t> – Whether digital or physical, you may reference it during governance discussions and reflection activities.</w:t>
      </w:r>
    </w:p>
    <w:p w14:paraId="3E7A91E3"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Recommended (If Time Permits):</w:t>
      </w:r>
    </w:p>
    <w:p w14:paraId="7F3B96B0"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Explore the AI Verify playground</w:t>
      </w:r>
      <w:r w:rsidRPr="007005D8">
        <w:rPr>
          <w:rFonts w:ascii="Times New Roman" w:eastAsia="Times New Roman" w:hAnsi="Times New Roman" w:cs="Times New Roman"/>
          <w:color w:val="000000"/>
          <w:kern w:val="0"/>
          <w:lang w:eastAsia="en-GB"/>
          <w14:ligatures w14:val="none"/>
        </w:rPr>
        <w:t xml:space="preserve"> (10-15 minutes) – Visit https://aiethicsassessor.com/ai-verify-playground to see how Singapore's framework-based </w:t>
      </w:r>
      <w:r w:rsidRPr="007005D8">
        <w:rPr>
          <w:rFonts w:ascii="Times New Roman" w:eastAsia="Times New Roman" w:hAnsi="Times New Roman" w:cs="Times New Roman"/>
          <w:color w:val="000000"/>
          <w:kern w:val="0"/>
          <w:lang w:eastAsia="en-GB"/>
          <w14:ligatures w14:val="none"/>
        </w:rPr>
        <w:lastRenderedPageBreak/>
        <w:t>governance testing works interactively. This is optional but highly valuable for understanding practical governance implementation.</w:t>
      </w:r>
    </w:p>
    <w:p w14:paraId="2C10ED5A"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Think of governance questions</w:t>
      </w:r>
      <w:r w:rsidRPr="007005D8">
        <w:rPr>
          <w:rFonts w:ascii="Times New Roman" w:eastAsia="Times New Roman" w:hAnsi="Times New Roman" w:cs="Times New Roman"/>
          <w:color w:val="000000"/>
          <w:kern w:val="0"/>
          <w:lang w:eastAsia="en-GB"/>
          <w14:ligatures w14:val="none"/>
        </w:rPr>
        <w:t> – Identify one or two AI governance scenarios relevant to your industry interests or career plans that you'd like to discuss during workshop activities.</w:t>
      </w:r>
    </w:p>
    <w:p w14:paraId="206E6280"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Note your initial reactions</w:t>
      </w:r>
      <w:r w:rsidRPr="007005D8">
        <w:rPr>
          <w:rFonts w:ascii="Times New Roman" w:eastAsia="Times New Roman" w:hAnsi="Times New Roman" w:cs="Times New Roman"/>
          <w:color w:val="000000"/>
          <w:kern w:val="0"/>
          <w:lang w:eastAsia="en-GB"/>
          <w14:ligatures w14:val="none"/>
        </w:rPr>
        <w:t> – What's your gut response to the Robodebt case? Does it change your thinking about AI automation in business? Your evolving perspective demonstrates the learning process.</w:t>
      </w:r>
    </w:p>
    <w:p w14:paraId="45C582F2"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Professional Mindset:</w:t>
      </w:r>
    </w:p>
    <w:p w14:paraId="453D4B77"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Prepare for complexity</w:t>
      </w:r>
      <w:r w:rsidRPr="007005D8">
        <w:rPr>
          <w:rFonts w:ascii="Times New Roman" w:eastAsia="Times New Roman" w:hAnsi="Times New Roman" w:cs="Times New Roman"/>
          <w:color w:val="000000"/>
          <w:kern w:val="0"/>
          <w:lang w:eastAsia="en-GB"/>
          <w14:ligatures w14:val="none"/>
        </w:rPr>
        <w:t> – Governance rarely offers perfect solutions. You'll navigate tensions between innovation and safety, privacy and accuracy, speed and fairness. Bring willingness to sit with discomfort and ambiguity.</w:t>
      </w:r>
    </w:p>
    <w:p w14:paraId="5B84EDFE"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Segoe UI Symbol" w:eastAsia="Times New Roman" w:hAnsi="Segoe UI Symbol" w:cs="Segoe UI Symbol"/>
          <w:color w:val="000000"/>
          <w:kern w:val="0"/>
          <w:lang w:eastAsia="en-GB"/>
          <w14:ligatures w14:val="none"/>
        </w:rPr>
        <w:t>☐</w:t>
      </w:r>
      <w:r w:rsidRPr="007005D8">
        <w:rPr>
          <w:rFonts w:ascii="Times New Roman" w:eastAsia="Times New Roman" w:hAnsi="Times New Roman" w:cs="Times New Roman"/>
          <w:color w:val="000000"/>
          <w:kern w:val="0"/>
          <w:lang w:eastAsia="en-GB"/>
          <w14:ligatures w14:val="none"/>
        </w:rPr>
        <w:t> </w:t>
      </w:r>
      <w:r w:rsidRPr="007005D8">
        <w:rPr>
          <w:rFonts w:ascii="Times New Roman" w:eastAsia="Times New Roman" w:hAnsi="Times New Roman" w:cs="Times New Roman"/>
          <w:b/>
          <w:bCs/>
          <w:color w:val="000000"/>
          <w:kern w:val="0"/>
          <w:lang w:eastAsia="en-GB"/>
          <w14:ligatures w14:val="none"/>
        </w:rPr>
        <w:t>Engage with intellectual humility</w:t>
      </w:r>
      <w:r w:rsidRPr="007005D8">
        <w:rPr>
          <w:rFonts w:ascii="Times New Roman" w:eastAsia="Times New Roman" w:hAnsi="Times New Roman" w:cs="Times New Roman"/>
          <w:color w:val="000000"/>
          <w:kern w:val="0"/>
          <w:lang w:eastAsia="en-GB"/>
          <w14:ligatures w14:val="none"/>
        </w:rPr>
        <w:t> – You'll likely discover governance gaps in your earlier thinking (including your Week 7 pitch). That's growth, not failure. Recognising limitations demonstrates professional maturity.</w:t>
      </w:r>
    </w:p>
    <w:p w14:paraId="15AB1A58" w14:textId="77777777" w:rsidR="007005D8" w:rsidRPr="007005D8" w:rsidRDefault="00865EEB" w:rsidP="007005D8">
      <w:pPr>
        <w:spacing w:after="0" w:line="240" w:lineRule="auto"/>
        <w:rPr>
          <w:rFonts w:ascii="Times New Roman" w:eastAsia="Times New Roman" w:hAnsi="Times New Roman" w:cs="Times New Roman"/>
          <w:kern w:val="0"/>
          <w:lang w:eastAsia="en-GB"/>
          <w14:ligatures w14:val="none"/>
        </w:rPr>
      </w:pPr>
      <w:r w:rsidRPr="00865EEB">
        <w:rPr>
          <w:rFonts w:ascii="Times New Roman" w:eastAsia="Times New Roman" w:hAnsi="Times New Roman" w:cs="Times New Roman"/>
          <w:noProof/>
          <w:kern w:val="0"/>
          <w:lang w:eastAsia="en-GB"/>
        </w:rPr>
        <w:pict w14:anchorId="19660B49">
          <v:rect id="_x0000_i1028" alt="" style="width:451.3pt;height:.05pt;mso-width-percent:0;mso-height-percent:0;mso-width-percent:0;mso-height-percent:0" o:hralign="center" o:hrstd="t" o:hr="t" fillcolor="#a0a0a0" stroked="f"/>
        </w:pict>
      </w:r>
    </w:p>
    <w:p w14:paraId="601E591D"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b/>
          <w:bCs/>
          <w:color w:val="000000"/>
          <w:kern w:val="0"/>
          <w:lang w:eastAsia="en-GB"/>
          <w14:ligatures w14:val="none"/>
        </w:rPr>
        <w:t>You're now prepared for Week 9's workshop. See you there, ready to build your governance literacy and apply it practically to real business scenarios.</w:t>
      </w:r>
    </w:p>
    <w:p w14:paraId="074DA1C1" w14:textId="77777777" w:rsidR="007005D8" w:rsidRPr="007005D8" w:rsidRDefault="007005D8" w:rsidP="007005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005D8">
        <w:rPr>
          <w:rFonts w:ascii="Times New Roman" w:eastAsia="Times New Roman" w:hAnsi="Times New Roman" w:cs="Times New Roman"/>
          <w:i/>
          <w:iCs/>
          <w:color w:val="000000"/>
          <w:kern w:val="0"/>
          <w:lang w:eastAsia="en-GB"/>
          <w14:ligatures w14:val="none"/>
        </w:rPr>
        <w:t>Time invested in this pre-workshop preparation: 15-20 minutes</w:t>
      </w:r>
      <w:r w:rsidRPr="007005D8">
        <w:rPr>
          <w:rFonts w:ascii="Times New Roman" w:eastAsia="Times New Roman" w:hAnsi="Times New Roman" w:cs="Times New Roman"/>
          <w:color w:val="000000"/>
          <w:kern w:val="0"/>
          <w:lang w:eastAsia="en-GB"/>
          <w14:ligatures w14:val="none"/>
        </w:rPr>
        <w:br/>
      </w:r>
      <w:r w:rsidRPr="007005D8">
        <w:rPr>
          <w:rFonts w:ascii="Times New Roman" w:eastAsia="Times New Roman" w:hAnsi="Times New Roman" w:cs="Times New Roman"/>
          <w:i/>
          <w:iCs/>
          <w:color w:val="000000"/>
          <w:kern w:val="0"/>
          <w:lang w:eastAsia="en-GB"/>
          <w14:ligatures w14:val="none"/>
        </w:rPr>
        <w:t>Value gained: Essential governance vocabulary, understanding of why governance matters, and readiness to apply frameworks actively rather than learning concepts passively during the workshop</w:t>
      </w:r>
    </w:p>
    <w:p w14:paraId="48431206"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1656C"/>
    <w:multiLevelType w:val="multilevel"/>
    <w:tmpl w:val="353E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3F77EA"/>
    <w:multiLevelType w:val="multilevel"/>
    <w:tmpl w:val="3AE2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450319">
    <w:abstractNumId w:val="1"/>
  </w:num>
  <w:num w:numId="2" w16cid:durableId="72845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5D8"/>
    <w:rsid w:val="00002961"/>
    <w:rsid w:val="00041BB6"/>
    <w:rsid w:val="00095AE2"/>
    <w:rsid w:val="0009664D"/>
    <w:rsid w:val="000B5B35"/>
    <w:rsid w:val="000E1DA7"/>
    <w:rsid w:val="000F4ED1"/>
    <w:rsid w:val="00113B08"/>
    <w:rsid w:val="00113BB7"/>
    <w:rsid w:val="00120FD9"/>
    <w:rsid w:val="0012232A"/>
    <w:rsid w:val="00143DBA"/>
    <w:rsid w:val="001A35FE"/>
    <w:rsid w:val="002A60FE"/>
    <w:rsid w:val="002A7AE1"/>
    <w:rsid w:val="0030267A"/>
    <w:rsid w:val="00306B20"/>
    <w:rsid w:val="00330549"/>
    <w:rsid w:val="0035072F"/>
    <w:rsid w:val="003A09FE"/>
    <w:rsid w:val="003C3F2E"/>
    <w:rsid w:val="003C5C47"/>
    <w:rsid w:val="003C6F03"/>
    <w:rsid w:val="004128A2"/>
    <w:rsid w:val="0041628D"/>
    <w:rsid w:val="004252CB"/>
    <w:rsid w:val="00436CB0"/>
    <w:rsid w:val="004A77CC"/>
    <w:rsid w:val="00517100"/>
    <w:rsid w:val="0054609D"/>
    <w:rsid w:val="00582BF5"/>
    <w:rsid w:val="005A2CA3"/>
    <w:rsid w:val="005C72FA"/>
    <w:rsid w:val="005D461E"/>
    <w:rsid w:val="00656678"/>
    <w:rsid w:val="00662BD3"/>
    <w:rsid w:val="007005D8"/>
    <w:rsid w:val="00703AE4"/>
    <w:rsid w:val="00767EA0"/>
    <w:rsid w:val="007849B0"/>
    <w:rsid w:val="007F2640"/>
    <w:rsid w:val="007F6EEA"/>
    <w:rsid w:val="0082344F"/>
    <w:rsid w:val="00830D5C"/>
    <w:rsid w:val="0084670A"/>
    <w:rsid w:val="00865EEB"/>
    <w:rsid w:val="008806C7"/>
    <w:rsid w:val="008B6DDD"/>
    <w:rsid w:val="008E0D42"/>
    <w:rsid w:val="00905D67"/>
    <w:rsid w:val="00932386"/>
    <w:rsid w:val="009734C1"/>
    <w:rsid w:val="00976D76"/>
    <w:rsid w:val="00995EFB"/>
    <w:rsid w:val="00A06C06"/>
    <w:rsid w:val="00A73FCA"/>
    <w:rsid w:val="00A81A52"/>
    <w:rsid w:val="00A9571A"/>
    <w:rsid w:val="00AB3DE5"/>
    <w:rsid w:val="00B420DC"/>
    <w:rsid w:val="00B61934"/>
    <w:rsid w:val="00BA3B46"/>
    <w:rsid w:val="00BC4225"/>
    <w:rsid w:val="00BC6096"/>
    <w:rsid w:val="00BD02EE"/>
    <w:rsid w:val="00C1786C"/>
    <w:rsid w:val="00CA2CE4"/>
    <w:rsid w:val="00CB7F2B"/>
    <w:rsid w:val="00CC6EFF"/>
    <w:rsid w:val="00CD20ED"/>
    <w:rsid w:val="00D07CE4"/>
    <w:rsid w:val="00D24C4B"/>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E04A"/>
  <w15:chartTrackingRefBased/>
  <w15:docId w15:val="{A2243FF6-F29E-0441-AB52-B46A2853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5D8"/>
    <w:rPr>
      <w:rFonts w:eastAsiaTheme="majorEastAsia" w:cstheme="majorBidi"/>
      <w:color w:val="272727" w:themeColor="text1" w:themeTint="D8"/>
    </w:rPr>
  </w:style>
  <w:style w:type="paragraph" w:styleId="Title">
    <w:name w:val="Title"/>
    <w:basedOn w:val="Normal"/>
    <w:next w:val="Normal"/>
    <w:link w:val="TitleChar"/>
    <w:uiPriority w:val="10"/>
    <w:qFormat/>
    <w:rsid w:val="00700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5D8"/>
    <w:pPr>
      <w:spacing w:before="160"/>
      <w:jc w:val="center"/>
    </w:pPr>
    <w:rPr>
      <w:i/>
      <w:iCs/>
      <w:color w:val="404040" w:themeColor="text1" w:themeTint="BF"/>
    </w:rPr>
  </w:style>
  <w:style w:type="character" w:customStyle="1" w:styleId="QuoteChar">
    <w:name w:val="Quote Char"/>
    <w:basedOn w:val="DefaultParagraphFont"/>
    <w:link w:val="Quote"/>
    <w:uiPriority w:val="29"/>
    <w:rsid w:val="007005D8"/>
    <w:rPr>
      <w:i/>
      <w:iCs/>
      <w:color w:val="404040" w:themeColor="text1" w:themeTint="BF"/>
    </w:rPr>
  </w:style>
  <w:style w:type="paragraph" w:styleId="ListParagraph">
    <w:name w:val="List Paragraph"/>
    <w:basedOn w:val="Normal"/>
    <w:uiPriority w:val="34"/>
    <w:qFormat/>
    <w:rsid w:val="007005D8"/>
    <w:pPr>
      <w:ind w:left="720"/>
      <w:contextualSpacing/>
    </w:pPr>
  </w:style>
  <w:style w:type="character" w:styleId="IntenseEmphasis">
    <w:name w:val="Intense Emphasis"/>
    <w:basedOn w:val="DefaultParagraphFont"/>
    <w:uiPriority w:val="21"/>
    <w:qFormat/>
    <w:rsid w:val="007005D8"/>
    <w:rPr>
      <w:i/>
      <w:iCs/>
      <w:color w:val="0F4761" w:themeColor="accent1" w:themeShade="BF"/>
    </w:rPr>
  </w:style>
  <w:style w:type="paragraph" w:styleId="IntenseQuote">
    <w:name w:val="Intense Quote"/>
    <w:basedOn w:val="Normal"/>
    <w:next w:val="Normal"/>
    <w:link w:val="IntenseQuoteChar"/>
    <w:uiPriority w:val="30"/>
    <w:qFormat/>
    <w:rsid w:val="00700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5D8"/>
    <w:rPr>
      <w:i/>
      <w:iCs/>
      <w:color w:val="0F4761" w:themeColor="accent1" w:themeShade="BF"/>
    </w:rPr>
  </w:style>
  <w:style w:type="character" w:styleId="IntenseReference">
    <w:name w:val="Intense Reference"/>
    <w:basedOn w:val="DefaultParagraphFont"/>
    <w:uiPriority w:val="32"/>
    <w:qFormat/>
    <w:rsid w:val="007005D8"/>
    <w:rPr>
      <w:b/>
      <w:bCs/>
      <w:smallCaps/>
      <w:color w:val="0F4761" w:themeColor="accent1" w:themeShade="BF"/>
      <w:spacing w:val="5"/>
    </w:rPr>
  </w:style>
  <w:style w:type="paragraph" w:styleId="NormalWeb">
    <w:name w:val="Normal (Web)"/>
    <w:basedOn w:val="Normal"/>
    <w:uiPriority w:val="99"/>
    <w:semiHidden/>
    <w:unhideWhenUsed/>
    <w:rsid w:val="007005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005D8"/>
    <w:rPr>
      <w:i/>
      <w:iCs/>
    </w:rPr>
  </w:style>
  <w:style w:type="character" w:styleId="Strong">
    <w:name w:val="Strong"/>
    <w:basedOn w:val="DefaultParagraphFont"/>
    <w:uiPriority w:val="22"/>
    <w:qFormat/>
    <w:rsid w:val="007005D8"/>
    <w:rPr>
      <w:b/>
      <w:bCs/>
    </w:rPr>
  </w:style>
  <w:style w:type="character" w:customStyle="1" w:styleId="apple-converted-space">
    <w:name w:val="apple-converted-space"/>
    <w:basedOn w:val="DefaultParagraphFont"/>
    <w:rsid w:val="00700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2342</Words>
  <Characters>13354</Characters>
  <Application>Microsoft Office Word</Application>
  <DocSecurity>0</DocSecurity>
  <Lines>111</Lines>
  <Paragraphs>31</Paragraphs>
  <ScaleCrop>false</ScaleCrop>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2025-10-29T01:05:00Z</dcterms:created>
  <dcterms:modified xsi:type="dcterms:W3CDTF">2025-10-29T01:05:00Z</dcterms:modified>
</cp:coreProperties>
</file>