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spacing w:line="552" w:lineRule="auto"/>
        <w:jc w:val="center"/>
      </w:pPr>
      <w:r>
        <w:rPr>
          <w:rFonts w:ascii="조선견고딕" w:eastAsia="조선견고딕"/>
          <w:sz w:val="30"/>
        </w:rPr>
        <w:t>공용차량 관리 규칙</w:t>
      </w: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wordWrap w:val="1"/>
        <w:spacing w:line="552" w:lineRule="auto"/>
        <w:jc w:val="right"/>
      </w:pPr>
      <w:r>
        <w:rPr>
          <w:rFonts w:ascii="조선신명조" w:eastAsia="조선신명조"/>
          <w:sz w:val="28"/>
        </w:rPr>
        <w:t>제정  2020.  4. 13. (규칙 제 7호)</w:t>
      </w:r>
    </w:p>
    <w:p>
      <w:pPr>
        <w:pStyle w:val="0"/>
        <w:widowControl w:val="off"/>
        <w:wordWrap w:val="1"/>
        <w:spacing w:line="552" w:lineRule="auto"/>
        <w:jc w:val="right"/>
      </w:pPr>
      <w:r>
        <w:rPr>
          <w:rFonts w:ascii="조선신명조" w:eastAsia="조선신명조"/>
          <w:sz w:val="28"/>
        </w:rPr>
        <w:t>일부개정  2025.  4.  8. (규칙 제13호)</w:t>
      </w: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제1조(목적)</w:t>
      </w:r>
      <w:r>
        <w:rPr>
          <w:rFonts w:ascii="조선신명조" w:eastAsia="조선신명조"/>
          <w:sz w:val="28"/>
        </w:rPr>
        <w:t xml:space="preserve"> 이 규칙은 춘천문화원(이하 “문화원”이라 한다)에서 보유하고 있는 공용차량의 관리에 관하여 필요한 사항을 정하여 효율적으로 차량을 관리하고자 함을 목적으로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굵은고딕" w:eastAsia="조선굵은고딕"/>
          <w:sz w:val="28"/>
        </w:rPr>
        <w:t>제2조(적용범위)</w:t>
      </w:r>
      <w:r>
        <w:rPr>
          <w:rFonts w:ascii="조선신명조" w:eastAsia="조선신명조"/>
          <w:sz w:val="28"/>
        </w:rPr>
        <w:t xml:space="preserve"> 이 규칙은 문화원이 관리ㆍ운영하는 공용차량에 적용한다.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제3조(용어의 정의)</w:t>
      </w:r>
      <w:r>
        <w:rPr>
          <w:rFonts w:ascii="조선신명조" w:eastAsia="조선신명조"/>
          <w:sz w:val="28"/>
        </w:rPr>
        <w:t xml:space="preserve"> 이 규칙에서 사용하는 용어의 정의는 다음 각 호와 같다.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1. “차량”이란 문화원이 관리ㆍ운행하는 자동차(</w:t>
      </w:r>
      <w:r>
        <w:rPr>
          <w:rFonts w:ascii="조선신명조" w:eastAsia="조선신명조"/>
          <w:sz w:val="28"/>
        </w:rPr>
        <w:t>｢자동차관리법｣</w:t>
      </w:r>
      <w:r>
        <w:rPr>
          <w:rFonts w:ascii="조선신명조" w:eastAsia="조선신명조"/>
          <w:sz w:val="28"/>
        </w:rPr>
        <w:t xml:space="preserve"> 제2조제1호에 따른 자동차를 말하며 이륜자동차는 제외한다)를 말하며, 임차차량를 포함한다.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2. “임차차량”이란 </w:t>
      </w:r>
      <w:r>
        <w:rPr>
          <w:rFonts w:ascii="조선신명조" w:eastAsia="조선신명조"/>
          <w:sz w:val="28"/>
        </w:rPr>
        <w:t>｢여객자동차운수사업법｣</w:t>
      </w:r>
      <w:r>
        <w:rPr>
          <w:rFonts w:ascii="조선신명조" w:eastAsia="조선신명조"/>
          <w:sz w:val="28"/>
        </w:rPr>
        <w:t xml:space="preserve"> 제28조에 따라 자동차 대여사업을 경영하기 위하여 등록한 자의 대여사업용 차량을 1년 이상 사용할 목적으로 임차하여 사용하는 차량을 말한다.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3. “공용차량”이란 문화원에서 공적 목적으로 사용되는 모든 차량을 말한다.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4. “차량관리 주관부서”란 차량의 유지 관리를 총괄하는 부서를 말한다.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5. “정비”란 차량을 단계적ㆍ계통적으로 점검하여 그 결함을 조기에 발견 및 시정함으로써 항상 운행 가능한 상태를 유지하는 것을 말한다.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6. “수리”란 파손된 차량과 사용이 곤란한 부속품 또는 결합체를 검사 및 분해하여 소재 접합 또는 교환함으로써 사용 가능한 상태로 복구시키는 것을 말한다.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제4조(주관부서)</w:t>
      </w:r>
      <w:r>
        <w:rPr>
          <w:rFonts w:ascii="조선신명조" w:eastAsia="조선신명조"/>
          <w:sz w:val="28"/>
        </w:rPr>
        <w:t xml:space="preserve"> 차량관리 주관부서는 다음 각 호와 같다.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1. 승합차량 : 문화축제팀(사무국)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2. 승용차량 : 기록관리팀(연구소)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3. 화물차량 : 시설관리팀(기념관)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 w:eastAsia="조선신명조"/>
          <w:color w:val="0000ff"/>
          <w:sz w:val="28"/>
          <w:shd w:val="clear" w:color="000000"/>
        </w:rPr>
        <w:t>[전문개정 2025. 4. 8.]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제5조(배차신청 및 승인)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차량을 사용하고자 하는 자는 전자문서관리시스템의 공유물예약관리를 통해 사용 전까지 신청하여야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신명조" w:eastAsia="조선신명조"/>
          <w:color w:val="0000ff"/>
          <w:sz w:val="28"/>
        </w:rPr>
        <w:t xml:space="preserve">  &lt;개정 2025. 4. 8.&gt;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제1항에 따른 배차신청을 받은 차량관리 주관부서의 차량관리 담당자(이하 “담당자”라 한다)는 차량신청사항을 종합ㆍ검토하여 지체 없이 배차승인 여부를 통지하여야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공용차량의 운행범위는 다음 각 호와 같다.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1. 문화원 업무 수행, 각종 행사 및 출장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2. 문화원이 인정하는 경조사 참여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3. 기타 원장이 필요하다고 인정하는 경우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제6조(차량관리)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담당자는 공용차량에 대하여 수시로 유류잔고 확인 및 주유 상태 등을 확인하고 항상 사용 가능한 상태로 정비 및 점검하여야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담당자는 분기별 또는 차량의 내외관의 오염상태가 심하다고 판단되는 경우 세차하여 관리하여야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 w:eastAsia="조선신명조"/>
          <w:color w:val="0000ff"/>
          <w:sz w:val="28"/>
          <w:shd w:val="clear" w:color="000000"/>
        </w:rPr>
        <w:t>[전문개정 2025. 4. 8.]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제7조(유류 구입)</w:t>
      </w:r>
      <w:r>
        <w:rPr>
          <w:rFonts w:ascii="조선신명조" w:eastAsia="조선신명조"/>
          <w:sz w:val="28"/>
        </w:rPr>
        <w:t xml:space="preserve"> 공용차량 사용자는 차량 반납 시 주유상태를 확인하여 부족시 담당자에게 미리 고지하여 주유하게 하거나 사용자 본인이 주유를 하여 사용 가능한 상태로 유지시켜야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신명조"/>
          <w:sz w:val="28"/>
        </w:rPr>
        <w:t xml:space="preserve">  </w:t>
      </w:r>
      <w:r>
        <w:rPr>
          <w:rFonts w:ascii="조선신명조" w:eastAsia="조선신명조"/>
          <w:color w:val="0000ff"/>
          <w:sz w:val="28"/>
          <w:shd w:val="clear" w:color="000000"/>
        </w:rPr>
        <w:t>[전문개정 2025. 4. 8.]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제8조(차량운행기록관리)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담당자가 비치하여야 할 관리서류는 다음 각 호와 같다.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1. 공용차량사용대장 (별지 제2호 서식)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2. 차량예약관리대장 (별지 제3호 서식)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3. 차량정비대장 (별지 제4호 서식)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담당자는 제1항제1호 내지 제3호까지의 서식을 비치하고 기록을 유지 및 관리하여야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제9조(준수사항)</w:t>
      </w:r>
      <w:r>
        <w:rPr>
          <w:rFonts w:ascii="조선신명조" w:eastAsia="조선신명조"/>
          <w:sz w:val="28"/>
        </w:rPr>
        <w:t xml:space="preserve"> 운전자는 다음 각 호의 어느 하나에 해당하는 행위를 하여서는 아니 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1. 만 30세 미만 직원의 운전행위 (만 30세 이상 운전자 보험 가입)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2. 운전 중 음주ㆍ흡연ㆍ휴대폰사용, DMB 시청 행위 등의 안전운전을 저해하는 행위</w:t>
      </w:r>
    </w:p>
    <w:p>
      <w:pPr>
        <w:pStyle w:val="0"/>
        <w:widowControl w:val="off"/>
        <w:spacing w:line="552" w:lineRule="auto"/>
        <w:ind w:left="419" w:hanging="419"/>
      </w:pPr>
      <w:r>
        <w:rPr>
          <w:rFonts w:ascii="조선신명조" w:eastAsia="조선신명조"/>
          <w:sz w:val="28"/>
        </w:rPr>
        <w:t xml:space="preserve">  3. 문화원 직원이 아닌 자에게 차량을 운전하게 하는 행위</w:t>
      </w:r>
    </w:p>
    <w:p>
      <w:pPr>
        <w:pStyle w:val="0"/>
        <w:widowControl w:val="off"/>
        <w:spacing w:line="552" w:lineRule="auto"/>
        <w:ind w:left="419" w:hanging="419"/>
      </w:pPr>
      <w:r>
        <w:rPr>
          <w:rFonts w:ascii="조선신명조" w:eastAsia="조선신명조"/>
          <w:sz w:val="28"/>
        </w:rPr>
        <w:t xml:space="preserve">  4. 배차 목적이 아닌 지역으로 변경 운행하는 행위</w:t>
      </w:r>
    </w:p>
    <w:p>
      <w:pPr>
        <w:pStyle w:val="0"/>
        <w:widowControl w:val="off"/>
        <w:spacing w:line="552" w:lineRule="auto"/>
        <w:ind w:left="419" w:hanging="419"/>
      </w:pPr>
      <w:r>
        <w:rPr>
          <w:rFonts w:ascii="조선신명조" w:eastAsia="조선신명조"/>
          <w:sz w:val="28"/>
        </w:rPr>
        <w:t xml:space="preserve">  5. 배차 승인된 운행시간 이외의 운행행위</w:t>
      </w:r>
    </w:p>
    <w:p>
      <w:pPr>
        <w:pStyle w:val="0"/>
        <w:widowControl w:val="off"/>
        <w:spacing w:line="552" w:lineRule="auto"/>
        <w:ind w:left="419" w:hanging="419"/>
      </w:pPr>
      <w:r>
        <w:rPr>
          <w:rFonts w:ascii="조선신명조" w:eastAsia="조선신명조"/>
          <w:sz w:val="28"/>
        </w:rPr>
        <w:t xml:space="preserve">  6. 배차 또는 운행지시를 받지 아니하고 사적으로 차량을 운전하는 행위</w:t>
      </w:r>
    </w:p>
    <w:p>
      <w:pPr>
        <w:pStyle w:val="0"/>
        <w:widowControl w:val="off"/>
        <w:spacing w:line="552" w:lineRule="auto"/>
        <w:ind w:left="419" w:hanging="419"/>
      </w:pPr>
      <w:r>
        <w:rPr>
          <w:rFonts w:ascii="조선신명조" w:eastAsia="조선신명조"/>
          <w:sz w:val="28"/>
        </w:rPr>
        <w:t xml:space="preserve">  7. 제동장치나 비상조치를 취하지 않고 차량을 이탈하는 행위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8. 차키를 휴대하지 아니하거나 시건장치를 하지 않고 차량을 이탈하는 행위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제10조(안전운전의무)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공용차량 운전자는 운전 중 항상 도로교통표지와 주위의 상황 등을 정확히 파악하여 안전 운전을 하여야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공용차량 운전자는 동승자가 있을 경우, 급가속 및 급감속 등의 동승자에게 심리적 불안정을 끼칠 행위를 하여서는 아니 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제11조(차량직접운전)</w:t>
      </w:r>
      <w:r>
        <w:rPr>
          <w:rFonts w:ascii="조선신명조" w:eastAsia="조선신명조"/>
          <w:sz w:val="28"/>
        </w:rPr>
        <w:t xml:space="preserve"> 문화원 직원은 업무능률의 향상과 차량운행의 효율성을 기하기 위하여 차량을 배차 받아 직접 운전하는 것을 원칙으로 한다. 이 경우 직접 운행하는 자는 배차된 차량에 적합한 운전면허증을 소지하여야 하며 그 책임 및 의무 등에 관하여는 제9조와 제10조를 준용한다.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제12조(차량확인)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차량을 직접 운전할 운행자는 배차받은 차량의 상태를 운행 전에 반드시 확인하고 운행한 후에는 원래 상태로 반납하여야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제1항에 따라 확인한 결과 이상이 있을 때에는 즉시 담당자에게 통보하여 차량교체, 정비 등의 조치를 받아야 한다. 운행 중이나 운행한 이후에 차량의 이상을 발견하였을 때에도 또한 같다.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제13조(차량반납)</w:t>
      </w:r>
      <w:r>
        <w:rPr>
          <w:rFonts w:ascii="조선신명조" w:eastAsia="조선신명조"/>
          <w:sz w:val="28"/>
        </w:rPr>
        <w:t xml:space="preserve"> 차량 사용 후에는 배차된 시간 내에 운행한 차량을 원위치에 주차하고 차키를 담당자에게 반납한 후, 공용차량사용대장에 기재하여야 한다.</w:t>
      </w:r>
    </w:p>
    <w:p>
      <w:pPr>
        <w:pStyle w:val="0"/>
        <w:widowControl w:val="off"/>
        <w:spacing w:line="552" w:lineRule="auto"/>
        <w:ind w:left="280" w:hanging="280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wordWrap w:val="1"/>
        <w:spacing w:line="552" w:lineRule="auto"/>
        <w:ind w:left="280" w:hanging="280"/>
        <w:jc w:val="center"/>
      </w:pPr>
      <w:r>
        <w:rPr>
          <w:rFonts w:ascii="조선굵은고딕" w:eastAsia="조선굵은고딕"/>
          <w:sz w:val="28"/>
        </w:rPr>
        <w:t>부      칙 (2020. 4. 13.)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굵은고딕" w:eastAsia="조선굵은고딕"/>
          <w:sz w:val="28"/>
        </w:rPr>
        <w:t>제1조(시행일)</w:t>
      </w:r>
      <w:r>
        <w:rPr>
          <w:rFonts w:ascii="조선신명조" w:eastAsia="조선신명조"/>
          <w:sz w:val="28"/>
        </w:rPr>
        <w:t xml:space="preserve"> 이 규칙은 원장의 승인을 얻은 날로부터 시행한다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제2조(경과조치)</w:t>
      </w:r>
      <w:r>
        <w:rPr>
          <w:rFonts w:ascii="조선신명조" w:eastAsia="조선신명조"/>
          <w:sz w:val="28"/>
        </w:rPr>
        <w:t xml:space="preserve"> 이 규칙 시행 이전에 시행한 차량관리와 관련된 사항은 이 규칙에 의해 처리된 것으로 본다.</w:t>
      </w:r>
    </w:p>
    <w:p>
      <w:pPr>
        <w:pStyle w:val="0"/>
        <w:widowControl w:val="off"/>
        <w:spacing w:line="552" w:lineRule="auto"/>
        <w:ind w:left="280" w:hanging="280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wordWrap w:val="1"/>
        <w:spacing w:line="552" w:lineRule="auto"/>
        <w:ind w:left="280" w:hanging="280"/>
        <w:jc w:val="center"/>
      </w:pPr>
      <w:r>
        <w:rPr>
          <w:rFonts w:ascii="조선굵은고딕" w:eastAsia="조선굵은고딕"/>
          <w:sz w:val="28"/>
        </w:rPr>
        <w:t>부      칙 (2025. 4. 8.)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굵은고딕" w:eastAsia="조선굵은고딕"/>
          <w:sz w:val="28"/>
        </w:rPr>
        <w:t>제1조(시행일)</w:t>
      </w:r>
      <w:r>
        <w:rPr>
          <w:rFonts w:ascii="조선신명조" w:eastAsia="조선신명조"/>
          <w:sz w:val="28"/>
        </w:rPr>
        <w:t xml:space="preserve"> 이 규칙은 원장의 승인을 얻은 날로부터 시행한다</w:t>
      </w:r>
    </w:p>
    <w:p>
      <w:pPr>
        <w:pStyle w:val="0"/>
        <w:widowControl w:val="off"/>
        <w:spacing w:line="552" w:lineRule="auto"/>
        <w:ind w:left="255" w:hanging="255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tbl>
      <w:tblPr>
        <w:tblOverlap w:val="never"/>
        <w:tblW w:w="907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9072"/>
      </w:tblGrid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w w:val="95"/>
                <w:sz w:val="18"/>
              </w:rPr>
              <w:t>■</w:t>
            </w:r>
            <w:r>
              <w:rPr>
                <w:rFonts w:ascii="조선가는고딕" w:eastAsia="조선가는고딕"/>
                <w:w w:val="95"/>
                <w:sz w:val="18"/>
              </w:rPr>
              <w:t xml:space="preserve"> 공용차량 관리 규칙 [별지 제1호 서식]  </w:t>
            </w:r>
            <w:r>
              <w:rPr>
                <w:rFonts w:ascii="조선가는고딕" w:eastAsia="조선가는고딕"/>
                <w:color w:val="0000ff"/>
                <w:w w:val="95"/>
                <w:sz w:val="18"/>
              </w:rPr>
              <w:t>&lt;개정 2025. 4. 8.&gt;</w:t>
            </w:r>
          </w:p>
        </w:tc>
      </w:tr>
      <w:tr>
        <w:trPr>
          <w:trHeight w:val="293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가는고딕" w:eastAsia="조선가는고딕"/>
                <w:color w:val="000000"/>
                <w:sz w:val="18"/>
              </w:rPr>
            </w:pPr>
          </w:p>
        </w:tc>
      </w:tr>
      <w:tr>
        <w:trPr>
          <w:trHeight w:val="506"/>
        </w:trPr>
        <w:tc>
          <w:tcPr>
            <w:tcW w:w="907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견고딕"/>
                <w:sz w:val="32"/>
              </w:rPr>
              <w:t>차량배차신청서</w:t>
            </w:r>
          </w:p>
        </w:tc>
      </w:tr>
    </w:tbl>
    <w:p>
      <w:pPr>
        <w:pStyle w:val="22"/>
        <w:widowControl w:val="off"/>
        <w:ind w:left="255" w:hanging="255"/>
      </w:pPr>
    </w:p>
    <w:p>
      <w:pPr>
        <w:pStyle w:val="22"/>
        <w:widowControl w:val="off"/>
        <w:ind w:left="255" w:hanging="255"/>
      </w:pPr>
      <w: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823468</wp:posOffset>
            </wp:positionH>
            <wp:positionV relativeFrom="page">
              <wp:posOffset>2167890</wp:posOffset>
            </wp:positionV>
            <wp:extent cx="5913120" cy="5745480"/>
            <wp:effectExtent l="0" t="0" r="0" b="0"/>
            <wp:wrapSquare wrapText="bothSides"/>
            <wp:docPr id="2" name="그림 %d 2"/>
            <wp:cNvGraphicFramePr/>
            <a:graphic>
              <a:graphicData uri="http://schemas.openxmlformats.org/drawingml/2006/picture">
                <pic:pic>
                  <pic:nvPicPr>
                    <pic:cNvPr id="0" name="C:\Users\rcour\AppData\Local\Temp\Hnc\BinData\EMB0000343c2b68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57454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pPr>
        <w:pStyle w:val="22"/>
        <w:widowControl w:val="off"/>
        <w:ind w:left="255" w:hanging="255"/>
        <w:rPr>
          <w:rFonts w:ascii="조선굴림체" w:eastAsia="조선굴림체"/>
          <w:color w:val="000000"/>
          <w:shd w:val="clear" w:fill="ffffff"/>
        </w:rPr>
      </w:pPr>
    </w:p>
    <w:p>
      <w:pPr>
        <w:pStyle w:val="22"/>
        <w:widowControl w:val="off"/>
        <w:ind w:left="255" w:hanging="255"/>
        <w:rPr>
          <w:rFonts w:ascii="조선굴림체" w:eastAsia="조선굴림체"/>
          <w:color w:val="000000"/>
          <w:shd w:val="clear" w:fill="ffffff"/>
        </w:rPr>
        <w:sectPr>
          <w:headerReference r:id="rId1" w:type="even"/>
          <w:footerReference r:id="rId2" w:type="even"/>
          <w:footnotePr>
            <w:numFmt w:val="decimal"/>
            <w:numRestart w:val="continuous"/>
          </w:footnotePr>
          <w:endnotePr>
            <w:pos w:val="docEnd"/>
            <w:numFmt w:val="decimal"/>
            <w:numRestart w:val="continuous"/>
          </w:endnotePr>
          <w:pgSz w:w="11906" w:h="16837"/>
          <w:pgMar w:top="1627" w:right="1417" w:bottom="1627" w:left="1417" w:header="720" w:footer="907" w:gutter="0"/>
          <w:cols w:space="0"/>
          <w:type w:val="continuous"/>
        </w:sectPr>
      </w:pPr>
    </w:p>
    <w:tbl>
      <w:tblPr>
        <w:tblOverlap w:val="never"/>
        <w:tblW w:w="1399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3996"/>
      </w:tblGrid>
      <w:tr>
        <w:trPr>
          <w:trHeight w:val="293"/>
        </w:trPr>
        <w:tc>
          <w:tcPr>
            <w:tcW w:w="13996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w w:val="95"/>
                <w:sz w:val="18"/>
              </w:rPr>
              <w:t>■</w:t>
            </w:r>
            <w:r>
              <w:rPr>
                <w:rFonts w:ascii="조선가는고딕" w:eastAsia="조선가는고딕"/>
                <w:w w:val="95"/>
                <w:sz w:val="18"/>
              </w:rPr>
              <w:t xml:space="preserve"> 공용차량 관리 규칙 [별지 제2호 서식]</w:t>
            </w:r>
          </w:p>
        </w:tc>
      </w:tr>
      <w:tr>
        <w:trPr>
          <w:trHeight w:val="293"/>
        </w:trPr>
        <w:tc>
          <w:tcPr>
            <w:tcW w:w="13996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  <w:tr>
        <w:trPr>
          <w:trHeight w:val="506"/>
        </w:trPr>
        <w:tc>
          <w:tcPr>
            <w:tcW w:w="13996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견고딕"/>
                <w:sz w:val="32"/>
              </w:rPr>
              <w:t>공용차량사용대장</w:t>
            </w:r>
          </w:p>
        </w:tc>
      </w:tr>
    </w:tbl>
    <w:p>
      <w:pPr>
        <w:pStyle w:val="22"/>
        <w:widowControl w:val="off"/>
        <w:ind w:left="255" w:hanging="255"/>
      </w:pPr>
    </w:p>
    <w:tbl>
      <w:tblPr>
        <w:tblOverlap w:val="never"/>
        <w:tblW w:w="1402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371"/>
        <w:gridCol w:w="1699"/>
        <w:gridCol w:w="1644"/>
        <w:gridCol w:w="2300"/>
        <w:gridCol w:w="1754"/>
        <w:gridCol w:w="1426"/>
        <w:gridCol w:w="1207"/>
        <w:gridCol w:w="1286"/>
        <w:gridCol w:w="1339"/>
      </w:tblGrid>
      <w:tr>
        <w:trPr>
          <w:trHeight w:val="430"/>
        </w:trPr>
        <w:tc>
          <w:tcPr>
            <w:tcW w:w="1371" w:type="dxa"/>
            <w:vMerge w:val="restart"/>
            <w:tcBorders>
              <w:top w:val="single" w:color="000000" w:sz="9"/>
              <w:left w:val="single" w:color="000000" w:sz="9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6"/>
              </w:rPr>
              <w:t>사용일자</w:t>
            </w:r>
          </w:p>
        </w:tc>
        <w:tc>
          <w:tcPr>
            <w:tcW w:w="3343" w:type="dxa"/>
            <w:gridSpan w:val="2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6"/>
              </w:rPr>
              <w:t>사용자</w:t>
            </w:r>
          </w:p>
        </w:tc>
        <w:tc>
          <w:tcPr>
            <w:tcW w:w="2300" w:type="dxa"/>
            <w:vMerge w:val="restart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6"/>
              </w:rPr>
              <w:t>사용목적</w:t>
            </w:r>
          </w:p>
        </w:tc>
        <w:tc>
          <w:tcPr>
            <w:tcW w:w="1754" w:type="dxa"/>
            <w:vMerge w:val="restart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6"/>
              </w:rPr>
              <w:t>행선지</w:t>
            </w:r>
          </w:p>
        </w:tc>
        <w:tc>
          <w:tcPr>
            <w:tcW w:w="5258" w:type="dxa"/>
            <w:gridSpan w:val="4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b/>
                <w:sz w:val="26"/>
              </w:rPr>
              <w:t>차량 사용 후 반납 관계</w:t>
            </w:r>
          </w:p>
        </w:tc>
      </w:tr>
      <w:tr>
        <w:trPr>
          <w:trHeight w:val="430"/>
        </w:trPr>
        <w:tc>
          <w:tcPr>
            <w:tcW w:w="1371" w:type="dxa"/>
            <w:vMerge/>
            <w:tcBorders>
              <w:top w:val="single" w:color="000000" w:sz="9"/>
              <w:left w:val="single" w:color="000000" w:sz="9"/>
              <w:bottom w:val="double" w:color="000000" w:sz="4"/>
              <w:right w:val="single" w:color="000000" w:sz="3"/>
            </w:tcBorders>
          </w:tcPr>
          <w:p/>
        </w:tc>
        <w:tc>
          <w:tcPr>
            <w:tcW w:w="1699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6"/>
              </w:rPr>
              <w:t>부서명</w:t>
            </w:r>
          </w:p>
        </w:tc>
        <w:tc>
          <w:tcPr>
            <w:tcW w:w="1644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b/>
                <w:sz w:val="26"/>
              </w:rPr>
              <w:t>성  명</w:t>
            </w:r>
          </w:p>
        </w:tc>
        <w:tc>
          <w:tcPr>
            <w:tcW w:w="2300" w:type="dxa"/>
            <w:vMerge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</w:tcPr>
          <w:p/>
        </w:tc>
        <w:tc>
          <w:tcPr>
            <w:tcW w:w="1754" w:type="dxa"/>
            <w:vMerge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</w:tcPr>
          <w:p/>
        </w:tc>
        <w:tc>
          <w:tcPr>
            <w:tcW w:w="1426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6"/>
              </w:rPr>
              <w:t>반납일시</w:t>
            </w:r>
          </w:p>
        </w:tc>
        <w:tc>
          <w:tcPr>
            <w:tcW w:w="1207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6"/>
              </w:rPr>
              <w:t>반납자</w:t>
            </w:r>
          </w:p>
        </w:tc>
        <w:tc>
          <w:tcPr>
            <w:tcW w:w="1286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6"/>
              </w:rPr>
              <w:t>주행거리</w:t>
            </w:r>
          </w:p>
        </w:tc>
        <w:tc>
          <w:tcPr>
            <w:tcW w:w="1339" w:type="dxa"/>
            <w:tcBorders>
              <w:top w:val="single" w:color="000000" w:sz="3"/>
              <w:left w:val="single" w:color="000000" w:sz="3"/>
              <w:bottom w:val="double" w:color="000000" w:sz="4"/>
              <w:right w:val="singl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6"/>
              </w:rPr>
              <w:t>누적거리</w:t>
            </w:r>
          </w:p>
        </w:tc>
      </w:tr>
      <w:tr>
        <w:trPr>
          <w:trHeight w:val="769"/>
        </w:trPr>
        <w:tc>
          <w:tcPr>
            <w:tcW w:w="1371" w:type="dxa"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699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64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300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75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426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207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286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339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</w:tr>
      <w:tr>
        <w:trPr>
          <w:trHeight w:val="769"/>
        </w:trPr>
        <w:tc>
          <w:tcPr>
            <w:tcW w:w="1371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6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6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3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75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4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2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3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</w:tr>
      <w:tr>
        <w:trPr>
          <w:trHeight w:val="769"/>
        </w:trPr>
        <w:tc>
          <w:tcPr>
            <w:tcW w:w="1371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6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6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3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75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4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2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3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</w:tr>
      <w:tr>
        <w:trPr>
          <w:trHeight w:val="769"/>
        </w:trPr>
        <w:tc>
          <w:tcPr>
            <w:tcW w:w="1371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6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6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3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75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4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2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3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</w:tr>
      <w:tr>
        <w:trPr>
          <w:trHeight w:val="769"/>
        </w:trPr>
        <w:tc>
          <w:tcPr>
            <w:tcW w:w="1371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6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6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3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75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4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2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3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</w:tr>
      <w:tr>
        <w:trPr>
          <w:trHeight w:val="769"/>
        </w:trPr>
        <w:tc>
          <w:tcPr>
            <w:tcW w:w="1371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6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6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3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75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4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2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3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</w:tr>
      <w:tr>
        <w:trPr>
          <w:trHeight w:val="769"/>
        </w:trPr>
        <w:tc>
          <w:tcPr>
            <w:tcW w:w="1371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69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64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3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75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42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2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28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33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</w:tr>
      <w:tr>
        <w:trPr>
          <w:trHeight w:val="769"/>
        </w:trPr>
        <w:tc>
          <w:tcPr>
            <w:tcW w:w="1371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699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64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300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75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426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207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286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339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rPr>
                <w:rFonts w:ascii="조선굴림체" w:eastAsia="조선굴림체"/>
                <w:color w:val="000000"/>
                <w:sz w:val="26"/>
              </w:rPr>
            </w:pPr>
          </w:p>
        </w:tc>
      </w:tr>
    </w:tbl>
    <w:p>
      <w:pPr>
        <w:pStyle w:val="22"/>
        <w:widowControl w:val="off"/>
        <w:ind w:left="255" w:hanging="255"/>
      </w:pPr>
    </w:p>
    <w:tbl>
      <w:tblPr>
        <w:tblOverlap w:val="never"/>
        <w:tblW w:w="13996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3996"/>
      </w:tblGrid>
      <w:tr>
        <w:trPr>
          <w:trHeight w:val="293"/>
        </w:trPr>
        <w:tc>
          <w:tcPr>
            <w:tcW w:w="13996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w w:val="95"/>
                <w:sz w:val="18"/>
              </w:rPr>
              <w:t>■</w:t>
            </w:r>
            <w:r>
              <w:rPr>
                <w:rFonts w:ascii="조선가는고딕" w:eastAsia="조선가는고딕"/>
                <w:w w:val="95"/>
                <w:sz w:val="18"/>
              </w:rPr>
              <w:t xml:space="preserve"> 공용차량 관리 규칙 [별지 제3호 서식]</w:t>
            </w:r>
          </w:p>
        </w:tc>
      </w:tr>
      <w:tr>
        <w:trPr>
          <w:trHeight w:val="293"/>
        </w:trPr>
        <w:tc>
          <w:tcPr>
            <w:tcW w:w="13996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  <w:tr>
        <w:trPr>
          <w:trHeight w:val="506"/>
        </w:trPr>
        <w:tc>
          <w:tcPr>
            <w:tcW w:w="13996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견고딕"/>
                <w:sz w:val="32"/>
              </w:rPr>
              <w:t>차량예약관리대장</w:t>
            </w:r>
            <w:r>
              <w:rPr>
                <w:rFonts w:ascii="조선견고딕"/>
                <w:b/>
                <w:sz w:val="28"/>
              </w:rPr>
              <w:t xml:space="preserve">  </w:t>
            </w:r>
            <w:r>
              <w:rPr>
                <w:rFonts w:ascii="조선견고딕" w:eastAsia="조선견고딕"/>
                <w:sz w:val="26"/>
              </w:rPr>
              <w:t>&lt;엑셀출력서식&gt;</w:t>
            </w:r>
          </w:p>
        </w:tc>
      </w:tr>
    </w:tbl>
    <w:p>
      <w:pPr>
        <w:pStyle w:val="22"/>
        <w:widowControl w:val="off"/>
        <w:ind w:left="255" w:hanging="255"/>
      </w:pPr>
    </w:p>
    <w:tbl>
      <w:tblPr>
        <w:tblOverlap w:val="never"/>
        <w:tblW w:w="1400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43"/>
        <w:gridCol w:w="2824"/>
        <w:gridCol w:w="2711"/>
        <w:gridCol w:w="3843"/>
        <w:gridCol w:w="2541"/>
        <w:gridCol w:w="1240"/>
      </w:tblGrid>
      <w:tr>
        <w:trPr>
          <w:trHeight w:val="543"/>
        </w:trPr>
        <w:tc>
          <w:tcPr>
            <w:tcW w:w="843" w:type="dxa"/>
            <w:tcBorders>
              <w:top w:val="single" w:color="000000" w:sz="9"/>
              <w:left w:val="single" w:color="000000" w:sz="9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/>
                <w:b/>
                <w:sz w:val="26"/>
              </w:rPr>
              <w:t>No</w:t>
            </w:r>
          </w:p>
        </w:tc>
        <w:tc>
          <w:tcPr>
            <w:tcW w:w="2824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조선굴림체" w:eastAsia="조선굴림체"/>
                <w:b/>
                <w:sz w:val="26"/>
              </w:rPr>
              <w:t>자원예약 일자/시간</w:t>
            </w:r>
          </w:p>
        </w:tc>
        <w:tc>
          <w:tcPr>
            <w:tcW w:w="2711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6"/>
              </w:rPr>
              <w:t>자원명</w:t>
            </w:r>
          </w:p>
        </w:tc>
        <w:tc>
          <w:tcPr>
            <w:tcW w:w="3843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6"/>
              </w:rPr>
              <w:t>내용</w:t>
            </w:r>
          </w:p>
        </w:tc>
        <w:tc>
          <w:tcPr>
            <w:tcW w:w="2541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6"/>
              </w:rPr>
              <w:t>등록자</w:t>
            </w:r>
          </w:p>
        </w:tc>
        <w:tc>
          <w:tcPr>
            <w:tcW w:w="1240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굴림체"/>
                <w:b/>
                <w:sz w:val="26"/>
              </w:rPr>
              <w:t>상태</w:t>
            </w:r>
          </w:p>
        </w:tc>
      </w:tr>
      <w:tr>
        <w:trPr>
          <w:trHeight w:val="543"/>
        </w:trPr>
        <w:tc>
          <w:tcPr>
            <w:tcW w:w="843" w:type="dxa"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824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711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3843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541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240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</w:tr>
      <w:tr>
        <w:trPr>
          <w:trHeight w:val="543"/>
        </w:trPr>
        <w:tc>
          <w:tcPr>
            <w:tcW w:w="843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8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7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38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5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2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</w:tr>
      <w:tr>
        <w:trPr>
          <w:trHeight w:val="543"/>
        </w:trPr>
        <w:tc>
          <w:tcPr>
            <w:tcW w:w="843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8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7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38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5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2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</w:tr>
      <w:tr>
        <w:trPr>
          <w:trHeight w:val="543"/>
        </w:trPr>
        <w:tc>
          <w:tcPr>
            <w:tcW w:w="843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8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7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38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5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2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</w:tr>
      <w:tr>
        <w:trPr>
          <w:trHeight w:val="543"/>
        </w:trPr>
        <w:tc>
          <w:tcPr>
            <w:tcW w:w="843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8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7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38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5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2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</w:tr>
      <w:tr>
        <w:trPr>
          <w:trHeight w:val="543"/>
        </w:trPr>
        <w:tc>
          <w:tcPr>
            <w:tcW w:w="843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8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7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38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5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2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</w:tr>
      <w:tr>
        <w:trPr>
          <w:trHeight w:val="543"/>
        </w:trPr>
        <w:tc>
          <w:tcPr>
            <w:tcW w:w="843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8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7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38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5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2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</w:tr>
      <w:tr>
        <w:trPr>
          <w:trHeight w:val="543"/>
        </w:trPr>
        <w:tc>
          <w:tcPr>
            <w:tcW w:w="843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8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7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38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5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2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</w:tr>
      <w:tr>
        <w:trPr>
          <w:trHeight w:val="543"/>
        </w:trPr>
        <w:tc>
          <w:tcPr>
            <w:tcW w:w="843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8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7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38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5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2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</w:tr>
      <w:tr>
        <w:trPr>
          <w:trHeight w:val="543"/>
        </w:trPr>
        <w:tc>
          <w:tcPr>
            <w:tcW w:w="843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82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71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384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5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24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</w:tr>
      <w:tr>
        <w:trPr>
          <w:trHeight w:val="543"/>
        </w:trPr>
        <w:tc>
          <w:tcPr>
            <w:tcW w:w="843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824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71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3843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254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  <w:tc>
          <w:tcPr>
            <w:tcW w:w="1240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6"/>
              </w:rPr>
            </w:pPr>
          </w:p>
        </w:tc>
      </w:tr>
    </w:tbl>
    <w:p>
      <w:pPr>
        <w:pStyle w:val="22"/>
        <w:widowControl w:val="off"/>
        <w:ind w:left="255" w:hanging="255"/>
      </w:pPr>
    </w:p>
    <w:p>
      <w:pPr>
        <w:pStyle w:val="22"/>
        <w:widowControl w:val="off"/>
        <w:ind w:left="255" w:hanging="255"/>
        <w:rPr>
          <w:rFonts w:ascii="조선굴림체" w:eastAsia="조선굴림체"/>
          <w:color w:val="000000"/>
          <w:shd w:val="clear" w:fill="ffffff"/>
        </w:rPr>
      </w:pPr>
    </w:p>
    <w:tbl>
      <w:tblPr>
        <w:tblOverlap w:val="never"/>
        <w:tblW w:w="1456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4562"/>
      </w:tblGrid>
      <w:tr>
        <w:trPr>
          <w:trHeight w:val="293"/>
        </w:trPr>
        <w:tc>
          <w:tcPr>
            <w:tcW w:w="1456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조선가는고딕"/>
                <w:w w:val="95"/>
                <w:sz w:val="18"/>
              </w:rPr>
              <w:t>■</w:t>
            </w:r>
            <w:r>
              <w:rPr>
                <w:rFonts w:ascii="조선가는고딕" w:eastAsia="조선가는고딕"/>
                <w:w w:val="95"/>
                <w:sz w:val="18"/>
              </w:rPr>
              <w:t xml:space="preserve"> 공용차량 관리 규칙 [별지 제4호 서식]</w:t>
            </w:r>
          </w:p>
        </w:tc>
      </w:tr>
      <w:tr>
        <w:trPr>
          <w:trHeight w:val="293"/>
        </w:trPr>
        <w:tc>
          <w:tcPr>
            <w:tcW w:w="1456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돋움" w:eastAsia="돋움"/>
                <w:color w:val="000000"/>
                <w:w w:val="95"/>
                <w:sz w:val="18"/>
              </w:rPr>
            </w:pPr>
          </w:p>
        </w:tc>
      </w:tr>
      <w:tr>
        <w:trPr>
          <w:trHeight w:val="506"/>
        </w:trPr>
        <w:tc>
          <w:tcPr>
            <w:tcW w:w="14562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eastAsia="조선견고딕"/>
                <w:sz w:val="32"/>
              </w:rPr>
              <w:t>차량정비대장</w:t>
            </w:r>
          </w:p>
        </w:tc>
      </w:tr>
    </w:tbl>
    <w:p>
      <w:pPr>
        <w:pStyle w:val="22"/>
        <w:widowControl w:val="off"/>
        <w:ind w:left="255" w:hanging="255"/>
      </w:pPr>
    </w:p>
    <w:p>
      <w:pPr>
        <w:pStyle w:val="0"/>
        <w:widowControl w:val="off"/>
        <w:spacing w:line="480" w:lineRule="auto"/>
        <w:ind w:left="419" w:hanging="419"/>
      </w:pPr>
      <w:r>
        <w:rPr>
          <w:rFonts w:ascii="조선견고딕"/>
          <w:sz w:val="26"/>
        </w:rPr>
        <w:t>□</w:t>
      </w:r>
      <w:r>
        <w:rPr>
          <w:rFonts w:ascii="조선견고딕" w:eastAsia="조선견고딕"/>
          <w:sz w:val="26"/>
        </w:rPr>
        <w:t xml:space="preserve"> 차량명 :                          </w:t>
      </w:r>
      <w:r>
        <w:rPr>
          <w:rFonts w:ascii="조선견고딕"/>
          <w:sz w:val="26"/>
        </w:rPr>
        <w:t>□</w:t>
      </w:r>
      <w:r>
        <w:rPr>
          <w:rFonts w:ascii="조선견고딕" w:eastAsia="조선견고딕"/>
          <w:sz w:val="26"/>
        </w:rPr>
        <w:t xml:space="preserve"> 차량번호 :                      </w:t>
      </w:r>
      <w:r>
        <w:rPr>
          <w:rFonts w:ascii="조선견고딕"/>
          <w:sz w:val="26"/>
        </w:rPr>
        <w:t>□</w:t>
      </w:r>
      <w:r>
        <w:rPr>
          <w:rFonts w:ascii="조선견고딕" w:eastAsia="조선견고딕"/>
          <w:sz w:val="26"/>
        </w:rPr>
        <w:t xml:space="preserve"> 등록번호 :</w:t>
      </w:r>
    </w:p>
    <w:tbl>
      <w:tblPr>
        <w:tblOverlap w:val="never"/>
        <w:tblW w:w="14562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820"/>
        <w:gridCol w:w="2273"/>
        <w:gridCol w:w="1021"/>
        <w:gridCol w:w="1025"/>
        <w:gridCol w:w="2136"/>
        <w:gridCol w:w="2476"/>
        <w:gridCol w:w="1990"/>
        <w:gridCol w:w="1821"/>
      </w:tblGrid>
      <w:tr>
        <w:trPr>
          <w:trHeight w:val="676"/>
        </w:trPr>
        <w:tc>
          <w:tcPr>
            <w:tcW w:w="1820" w:type="dxa"/>
            <w:tcBorders>
              <w:top w:val="single" w:color="000000" w:sz="9"/>
              <w:left w:val="single" w:color="000000" w:sz="9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b/>
                <w:sz w:val="22"/>
              </w:rPr>
              <w:t>일자</w:t>
            </w:r>
          </w:p>
        </w:tc>
        <w:tc>
          <w:tcPr>
            <w:tcW w:w="2273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 w:eastAsia="조선굴림체"/>
                <w:b/>
                <w:sz w:val="22"/>
              </w:rPr>
              <w:t>수리 및</w:t>
            </w:r>
          </w:p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b/>
                <w:sz w:val="22"/>
              </w:rPr>
              <w:t>부품명</w:t>
            </w:r>
          </w:p>
        </w:tc>
        <w:tc>
          <w:tcPr>
            <w:tcW w:w="1021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b/>
                <w:sz w:val="22"/>
              </w:rPr>
              <w:t>수량</w:t>
            </w:r>
          </w:p>
        </w:tc>
        <w:tc>
          <w:tcPr>
            <w:tcW w:w="1025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b/>
                <w:sz w:val="22"/>
              </w:rPr>
              <w:t>단위</w:t>
            </w:r>
          </w:p>
        </w:tc>
        <w:tc>
          <w:tcPr>
            <w:tcW w:w="2136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 w:eastAsia="조선굴림체"/>
                <w:b/>
                <w:sz w:val="22"/>
              </w:rPr>
              <w:t>단가(원)</w:t>
            </w:r>
          </w:p>
        </w:tc>
        <w:tc>
          <w:tcPr>
            <w:tcW w:w="2476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ascii="조선굴림체" w:eastAsia="조선굴림체"/>
                <w:b/>
                <w:sz w:val="22"/>
              </w:rPr>
              <w:t>금액(원)</w:t>
            </w:r>
          </w:p>
        </w:tc>
        <w:tc>
          <w:tcPr>
            <w:tcW w:w="1990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3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b/>
                <w:sz w:val="22"/>
              </w:rPr>
              <w:t>수리업체</w:t>
            </w:r>
          </w:p>
        </w:tc>
        <w:tc>
          <w:tcPr>
            <w:tcW w:w="1821" w:type="dxa"/>
            <w:tcBorders>
              <w:top w:val="single" w:color="000000" w:sz="9"/>
              <w:left w:val="single" w:color="000000" w:sz="3"/>
              <w:bottom w:val="double" w:color="000000" w:sz="4"/>
              <w:right w:val="single" w:color="000000" w:sz="9"/>
            </w:tcBorders>
            <w:shd w:val="clear" w:fill="f2f2f2"/>
            <w:vAlign w:val="center"/>
          </w:tcPr>
          <w:p>
            <w:pPr>
              <w:pStyle w:val="0"/>
              <w:widowControl w:val="off"/>
              <w:wordWrap w:val="1"/>
              <w:spacing w:line="312" w:lineRule="auto"/>
              <w:jc w:val="center"/>
            </w:pPr>
            <w:r>
              <w:rPr>
                <w:rFonts w:eastAsia="조선굴림체"/>
                <w:b/>
                <w:sz w:val="22"/>
              </w:rPr>
              <w:t>수리기간</w:t>
            </w:r>
          </w:p>
        </w:tc>
      </w:tr>
      <w:tr>
        <w:trPr>
          <w:trHeight w:val="616"/>
        </w:trPr>
        <w:tc>
          <w:tcPr>
            <w:tcW w:w="1820" w:type="dxa"/>
            <w:tcBorders>
              <w:top w:val="double" w:color="000000" w:sz="4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2273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021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025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2136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2476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990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821" w:type="dxa"/>
            <w:tcBorders>
              <w:top w:val="double" w:color="000000" w:sz="4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616"/>
        </w:trPr>
        <w:tc>
          <w:tcPr>
            <w:tcW w:w="1820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0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0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21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24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9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8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616"/>
        </w:trPr>
        <w:tc>
          <w:tcPr>
            <w:tcW w:w="1820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0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0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21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24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9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8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616"/>
        </w:trPr>
        <w:tc>
          <w:tcPr>
            <w:tcW w:w="1820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0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0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21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24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9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8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616"/>
        </w:trPr>
        <w:tc>
          <w:tcPr>
            <w:tcW w:w="1820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0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0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21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24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9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8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616"/>
        </w:trPr>
        <w:tc>
          <w:tcPr>
            <w:tcW w:w="1820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0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0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21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24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9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8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616"/>
        </w:trPr>
        <w:tc>
          <w:tcPr>
            <w:tcW w:w="1820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0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0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21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24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9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8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616"/>
        </w:trPr>
        <w:tc>
          <w:tcPr>
            <w:tcW w:w="1820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0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0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213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247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9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82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  <w:tr>
        <w:trPr>
          <w:trHeight w:val="616"/>
        </w:trPr>
        <w:tc>
          <w:tcPr>
            <w:tcW w:w="1820" w:type="dxa"/>
            <w:tcBorders>
              <w:top w:val="single" w:color="000000" w:sz="3"/>
              <w:left w:val="single" w:color="000000" w:sz="9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2273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02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025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2136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2476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990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  <w:tc>
          <w:tcPr>
            <w:tcW w:w="1821" w:type="dxa"/>
            <w:tcBorders>
              <w:top w:val="single" w:color="000000" w:sz="3"/>
              <w:left w:val="single" w:color="000000" w:sz="3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조선굴림체" w:eastAsia="조선굴림체"/>
                <w:color w:val="000000"/>
                <w:sz w:val="22"/>
              </w:rPr>
            </w:pPr>
          </w:p>
        </w:tc>
      </w:tr>
    </w:tbl>
    <w:p>
      <w:pPr>
        <w:pStyle w:val="0"/>
        <w:widowControl w:val="off"/>
        <w:spacing w:line="480" w:lineRule="auto"/>
        <w:ind w:left="419" w:hanging="419"/>
      </w:pPr>
    </w:p>
    <w:p>
      <w:pPr>
        <w:pStyle w:val="0"/>
        <w:widowControl w:val="off"/>
        <w:ind w:left="260" w:hanging="260"/>
      </w:pPr>
    </w:p>
    <w:sectPr>
      <w:headerReference r:id="rId4" w:type="default"/>
      <w:headerReference r:id="rId7" w:type="default"/>
      <w:footerReference r:id="rId5" w:type="default"/>
      <w:footerReference r:id="rId6" w:type="even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6837" w:h="11906" w:orient="landscape"/>
      <w:pgMar w:top="1627" w:right="1417" w:bottom="1627" w:left="1417" w:header="720" w:footer="907" w:gutter="0"/>
      <w:cols w:space="0"/>
      <w:type w:val="continuous"/>
    </w:sectPr>
  </w:body>
</w:document>
</file>

<file path=word/footer58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</w:pPr>
  </w:p>
  <w:p>
    <w:pPr>
      <w:pStyle w:val="13"/>
      <w:widowControl w:val="off"/>
      <w:rPr/>
    </w:pPr>
  </w:p>
  <w:p>
    <w:pPr>
      <w:pStyle w:val="13"/>
      <w:widowControl w:val="off"/>
      <w:rPr/>
    </w:pPr>
  </w:p>
</w:ftr>
</file>

<file path=word/footer59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  <w:p>
    <w:pPr>
      <w:pStyle w:val="13"/>
      <w:widowControl w:val="off"/>
      <w:rPr/>
    </w:pPr>
  </w:p>
  <w:p>
    <w:pPr>
      <w:pStyle w:val="13"/>
      <w:widowControl w:val="off"/>
      <w:rPr/>
    </w:pPr>
  </w:p>
</w:ftr>
</file>

<file path=word/footer60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</w:pPr>
  </w:p>
  <w:p>
    <w:pPr>
      <w:pStyle w:val="13"/>
      <w:widowControl w:val="off"/>
      <w:rPr/>
    </w:pPr>
  </w:p>
  <w:p>
    <w:pPr>
      <w:pStyle w:val="13"/>
      <w:widowControl w:val="off"/>
      <w:rPr/>
    </w:pPr>
  </w:p>
</w:ftr>
</file>

<file path=word/header91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92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93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tbl>
    <w:tblPr>
      <w:tblOverlap w:val="never"/>
      <w:tblW w:w="9049" w:type="dxa"/>
      <w:tblBorders>
        <w:top w:val="single" w:color="000000" w:sz="3"/>
        <w:left w:val="single" w:color="000000" w:sz="3"/>
        <w:bottom w:val="single" w:color="000000" w:sz="3"/>
        <w:right w:val="single" w:color="000000" w:sz="3"/>
      </w:tblBorders>
      <w:tblLayout w:type="fixed"/>
      <w:tblCellMar>
        <w:top w:w="28" w:type="dxa"/>
        <w:left w:w="102" w:type="dxa"/>
        <w:bottom w:w="28" w:type="dxa"/>
        <w:right w:w="102" w:type="dxa"/>
      </w:tblCellMar>
    </w:tblPr>
    <w:tblGrid>
      <w:gridCol w:w="7005"/>
      <w:gridCol w:w="1749"/>
      <w:gridCol w:w="147"/>
      <w:gridCol w:w="147"/>
    </w:tblGrid>
    <w:tr>
      <w:trPr>
        <w:trHeight w:val="139"/>
      </w:trPr>
      <w:tc>
        <w:tcPr>
          <w:tcW w:w="7005" w:type="dxa"/>
          <w:vMerge w:val="restart"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  <w:tcMar>
            <w:top w:w="0" w:type="dxa"/>
            <w:left w:w="102" w:type="dxa"/>
            <w:bottom w:w="0" w:type="dxa"/>
            <w:right w:w="102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4"/>
            </w:rPr>
          </w:pPr>
        </w:p>
      </w:tc>
      <w:tc>
        <w:tcPr>
          <w:tcW w:w="1749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28" w:type="dxa"/>
            <w:left w:w="0" w:type="dxa"/>
            <w:bottom w:w="28" w:type="dxa"/>
            <w:right w:w="0" w:type="dxa"/>
          </w:tcMar>
          <w:vAlign w:val="center"/>
        </w:tcPr>
        <w:p>
          <w:pPr>
            <w:pStyle w:val="0"/>
            <w:widowControl w:val="off"/>
            <w:wordWrap w:val="1"/>
            <w:jc w:val="right"/>
          </w:pPr>
          <w:r>
            <w:rPr>
              <w:rFonts w:ascii="조선굵은명조"/>
            </w:rPr>
            <w:t>08</w:t>
          </w:r>
        </w:p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d3d2d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</w:tr>
    <w:tr>
      <w:trPr/>
      <w:tc>
        <w:tcPr>
          <w:tcW w:w="7005" w:type="dxa"/>
          <w:vMerge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</w:tcPr>
        <w:p/>
      </w:tc>
      <w:tc>
        <w:tcPr>
          <w:tcW w:w="1749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147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47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c486c5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</w:tr>
    <w:tr>
      <w:trPr/>
      <w:tc>
        <w:tcPr>
          <w:tcW w:w="7005" w:type="dxa"/>
          <w:vMerge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</w:tcPr>
        <w:p/>
      </w:tc>
      <w:tc>
        <w:tcPr>
          <w:tcW w:w="1749" w:type="dxa"/>
          <w:vMerge w:val="restart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28" w:type="dxa"/>
            <w:left w:w="0" w:type="dxa"/>
            <w:bottom w:w="28" w:type="dxa"/>
            <w:right w:w="0" w:type="dxa"/>
          </w:tcMar>
          <w:vAlign w:val="center"/>
        </w:tcPr>
        <w:p>
          <w:pPr>
            <w:pStyle w:val="0"/>
            <w:widowControl w:val="off"/>
            <w:wordWrap w:val="1"/>
            <w:jc w:val="right"/>
          </w:pPr>
          <w:r>
            <w:rPr>
              <w:rFonts w:ascii="조선굵은명조" w:eastAsia="조선굵은명조"/>
            </w:rPr>
            <w:t>고정자산 관리 규칙</w:t>
          </w:r>
        </w:p>
      </w:tc>
      <w:tc>
        <w:tcPr>
          <w:tcW w:w="147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147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</w:tr>
    <w:tr>
      <w:trPr>
        <w:trHeight w:val="139"/>
      </w:trPr>
      <w:tc>
        <w:tcPr>
          <w:tcW w:w="7005" w:type="dxa"/>
          <w:vMerge/>
          <w:tcBorders>
            <w:top w:val="none" w:color="000000" w:sz="3"/>
            <w:left w:val="none" w:color="000000" w:sz="3"/>
            <w:bottom w:val="single" w:color="d3d2d2" w:sz="3"/>
            <w:right w:val="none" w:color="000000" w:sz="3"/>
          </w:tcBorders>
        </w:tcPr>
        <w:p/>
      </w:tc>
      <w:tc>
        <w:tcPr>
          <w:tcW w:w="1749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d3d2d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</w:tr>
    <w:tr>
      <w:trPr>
        <w:trHeight w:val="139"/>
      </w:trPr>
      <w:tc>
        <w:tcPr>
          <w:tcW w:w="7005" w:type="dxa"/>
          <w:tcBorders>
            <w:top w:val="single" w:color="d3d2d2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102" w:type="dxa"/>
            <w:bottom w:w="0" w:type="dxa"/>
            <w:right w:w="102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4"/>
            </w:rPr>
          </w:pPr>
        </w:p>
      </w:tc>
      <w:tc>
        <w:tcPr>
          <w:tcW w:w="1749" w:type="dxa"/>
          <w:vMerge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</w:tcPr>
        <w:p/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  <w:tc>
        <w:tcPr>
          <w:tcW w:w="147" w:type="dxa"/>
          <w:tcBorders>
            <w:top w:val="none" w:color="000000" w:sz="3"/>
            <w:left w:val="none" w:color="000000" w:sz="3"/>
            <w:bottom w:val="none" w:color="000000" w:sz="3"/>
            <w:right w:val="none" w:color="000000" w:sz="3"/>
          </w:tcBorders>
          <w:shd w:val="clear" w:fill="92f0dd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>
          <w:pPr>
            <w:pStyle w:val="0"/>
            <w:widowControl w:val="off"/>
            <w:rPr>
              <w:color w:val="000000"/>
              <w:sz w:val="10"/>
            </w:rPr>
          </w:pPr>
        </w:p>
      </w:tc>
    </w:tr>
  </w:tbl>
  <w:p>
    <w:pPr>
      <w:pStyle w:val="13"/>
      <w:widowControl w:val="off"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2">
    <w:name w:val="조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3">
    <w:name w:val="항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91.xml"  /><Relationship Id="rId10" Type="http://schemas.openxmlformats.org/officeDocument/2006/relationships/numbering" Target="numbering.xml"  /><Relationship Id="rId2" Type="http://schemas.openxmlformats.org/officeDocument/2006/relationships/footer" Target="footer58.xml"  /><Relationship Id="rId3" Type="http://schemas.openxmlformats.org/officeDocument/2006/relationships/image" Target="media/image4.png"  /><Relationship Id="rId4" Type="http://schemas.openxmlformats.org/officeDocument/2006/relationships/header" Target="header92.xml"  /><Relationship Id="rId5" Type="http://schemas.openxmlformats.org/officeDocument/2006/relationships/footer" Target="footer59.xml"  /><Relationship Id="rId6" Type="http://schemas.openxmlformats.org/officeDocument/2006/relationships/footer" Target="footer60.xml"  /><Relationship Id="rId7" Type="http://schemas.openxmlformats.org/officeDocument/2006/relationships/header" Target="header93.xml"  /><Relationship Id="rId8" Type="http://schemas.openxmlformats.org/officeDocument/2006/relationships/settings" Target="settings.xml"  /><Relationship Id="rId9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공용차량 관리 규칙</dc:title>
  <dc:creator>김문겸</dc:creator>
  <cp:lastModifiedBy>김문겸</cp:lastModifiedBy>
  <dcterms:created xsi:type="dcterms:W3CDTF">2025-04-08T03:23:38.488</dcterms:created>
  <dcterms:modified xsi:type="dcterms:W3CDTF">2025-04-08T08:45:52.530</dcterms:modified>
  <cp:version>0501.0100.01</cp:version>
</cp:coreProperties>
</file>