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9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3"/>
        <w:widowControl w:val="off"/>
        <w:wordWrap w:val="1"/>
        <w:jc w:val="center"/>
      </w:pPr>
      <w:bookmarkStart w:id="1" w:name="보수 규정"/>
      <w:r>
        <w:rPr>
          <w:rFonts w:ascii="조선견고딕" w:eastAsia="조선견고딕"/>
          <w:sz w:val="30"/>
          <w:shd w:val="clear" w:fill="ffffff"/>
        </w:rPr>
        <w:t>보수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제21호)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 1. 26. (규정 제63호)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직원의 보수 등에 관한 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문화원 직원의 보수는 다른 법령에 규정된 것을 제외하고는 이 규정에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제3조(용어의 정의)</w:t>
      </w:r>
      <w:r>
        <w:rPr>
          <w:rFonts w:ascii="조선신명조" w:eastAsia="조선신명조"/>
          <w:shd w:val="clear" w:fill="ffffff"/>
        </w:rPr>
        <w:t xml:space="preserve"> 이 규정에서 사용하는 용어의 정의는 다음과 같다.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“보수”라 함은 봉급과 기타 각종 수당을 합산한 금액을 말한다. 다만, 연봉제 대상 직원의 “보수”는 기본연봉과 기타 각종수당을 합한 금액을 말한다.</w:t>
      </w:r>
    </w:p>
    <w:p>
      <w:pPr>
        <w:pStyle w:val="25"/>
        <w:widowControl w:val="off"/>
        <w:ind w:left="486" w:hanging="486"/>
      </w:pPr>
      <w:r>
        <w:rPr>
          <w:rFonts w:ascii="조선신명조" w:eastAsia="조선신명조"/>
          <w:shd w:val="clear" w:fill="ffffff"/>
        </w:rPr>
        <w:t xml:space="preserve">  2. “봉급”이라 함은 직무의 곤란성 및 책임의 정도와 재직기간 등에 따라 직급별, 호봉별로 지급되는 기본급여를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“수당”이라 함은 직무 여건 및 생활 여건 등에 따라 지급되는 부가 급여를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“승급”이라 함은 일정한 재직기간의 경과 또는 기타 관계규정에 의하여 현재의 호봉보다 높은 호봉을 부여하는 것을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“연봉”이라 함은 매년 1월 1일부터 12월 31일까지 1년간 일정액으로 지급되는 금액을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6. “보수의 일할 계산”이라 함은 그 달의 보수를 그 달의 일수로 나누어 계산하는 것을 말한다.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제4조(봉급)</w:t>
      </w:r>
      <w:r>
        <w:rPr>
          <w:rFonts w:ascii="조선신명조" w:eastAsia="조선신명조"/>
          <w:shd w:val="clear" w:fill="ffffff"/>
        </w:rPr>
        <w:t xml:space="preserve"> 직원의 봉급은 [별표 1]의 공무원보수규정을 준용한 기준금액으로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제5조(초임호봉의 획정)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직원을 신규채용하는 경우에는 초임호봉을 1호봉으로 획정하되, [별표 2]에서 정하는 경력이 있는 자에 대하여는 경력환산표에 의한 경력을 가산하여 획정한다.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초임호봉 획정에서 반영되지 아니한 잔여기간이 있을 때에는 그 기간을 다음 승급기간에 산입한다.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제6조(호봉의 재획정</w:t>
      </w:r>
      <w:r>
        <w:rPr>
          <w:rFonts w:ascii="조선신명조"/>
          <w:shd w:val="clear" w:fill="ffffff"/>
        </w:rPr>
        <w:t xml:space="preserve">)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재직 중 경력을 합산하여야 할 사유가 발생될 때에는 [별표 2]의 경력환산표에 따라 호봉을 재획정한다. 다만, 휴직, 정직, 강등, 또는 대기발령 중인 자에 대하여는 복직 시에 재획정한다.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 의하여 경력합산을 할 때에는 그 사실을 객관적으로 인정할 수 있는 서류에 의하여 신청한 날이 속하는 달의 다음달 1일에 호봉을 재획정하되 반영되지 아니한 잔여기간이 있을 때에는 다음 승급기간에 이를 산입한다.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제7조(승진시의 호봉획정)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직원이 승진하는 경우에는 승진된 계급에서 호봉을 획정한다.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제1항에 따라 승진된 계급에서의 호봉은 [별표 3]가 정하는 바에 의하여 획정한다.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제8조(호봉승급기간 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승급에 필요한 기간은 1년으로 한다. 다만, 인사규정에서 따로 정한 경우에는 그에 따른다.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직원의 호봉은 매월 1일자로 승급한다.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직원이 당해 직급별 최고호봉(별표 4)에 도달하였을 때에는 승급하지 아니한다.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제9조(호봉승급기간의 특례)</w:t>
      </w:r>
      <w:r>
        <w:rPr>
          <w:rFonts w:ascii="조선신명조" w:eastAsia="조선신명조"/>
          <w:shd w:val="clear" w:fill="ffffff"/>
        </w:rPr>
        <w:t xml:space="preserve"> 다음 각 호의 어느 하나에 해당하는 기간은 제6조 제1항의 규정에 의한 호봉승급기간에 산입한다.</w:t>
      </w:r>
    </w:p>
    <w:p>
      <w:pPr>
        <w:pStyle w:val="25"/>
        <w:widowControl w:val="off"/>
        <w:ind w:left="419" w:hanging="419"/>
      </w:pPr>
      <w:r>
        <w:rPr>
          <w:rFonts w:ascii="조선신명조" w:eastAsia="조선신명조"/>
          <w:shd w:val="clear" w:fill="ffffff"/>
        </w:rPr>
        <w:t xml:space="preserve">  1. 병역법, 기타 법률의 규정에 의한 의무를 수행하기 위하여 휴직한 기간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업무로 인한 질병 또는 부상으로 휴직한 기간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징계위원회의 의결 또는 징계의결 요구가 기각되거나 징계처분이 취소된 경우 및 법원에서 무죄선고를 받은 경우 그 대기기간</w:t>
      </w:r>
    </w:p>
    <w:p>
      <w:pPr>
        <w:pStyle w:val="25"/>
        <w:widowControl w:val="off"/>
        <w:ind w:left="485" w:hanging="485"/>
      </w:pPr>
      <w:r>
        <w:rPr>
          <w:rFonts w:ascii="조선신명조" w:eastAsia="조선신명조"/>
          <w:shd w:val="clear" w:fill="ffffff"/>
        </w:rPr>
        <w:t xml:space="preserve">  4. 만 8세 이하 또는 초등학교 2학년 이하의 자녀(입양한 자녀 포함)를 양육하기 위하여 휴직한 기간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제10조(승급의 제한)</w:t>
      </w:r>
      <w:r>
        <w:rPr>
          <w:rFonts w:ascii="조선신명조" w:eastAsia="조선신명조"/>
          <w:shd w:val="clear" w:fill="ffffff"/>
        </w:rPr>
        <w:t xml:space="preserve"> 다음 각 호에 해당하는 자는 당해 기간동안 승급할 수 없다.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징계처분, 직위해제 또는 휴직(업무상 질병으로 인한 휴직 및 육아휴직은 제외) 중에 있는 자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징계처분의 집행이 종료된 날로부터 다음 각 호의 기간이 경과되지 아니한 자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가. 강등ㆍ정직 : 18월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나. 감봉 : 12월</w:t>
      </w:r>
    </w:p>
    <w:p>
      <w:pPr>
        <w:pStyle w:val="39"/>
        <w:widowControl w:val="off"/>
      </w:pPr>
      <w:r>
        <w:rPr>
          <w:rFonts w:ascii="조선신명조" w:eastAsia="조선신명조"/>
          <w:shd w:val="clear" w:color="000000"/>
        </w:rPr>
        <w:t xml:space="preserve">    다. 견책 : 6월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제11조(수당의 지급)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직원에게는 예산의 범위 내에서 봉급 외에 필요한 수당을 지급할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제1항에 의해 지급되는 수당의 종류, 지급범위, 지급액, 기타 수당지급은 문화원 제수당 지급 규정에 따른다.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제2항의 수당 중 시간외수당은 사전 그 사유와 필요한 시기를 신청하여 사무국장의 승인을 받아야 한다. 사무국장의 승인을 받지 않고 임의로 실시한 시간에 대하여는 수당을 지급하지 아니한다. 다만, 긴급한 상황이나 재난ㆍ재해ㆍ사고 등으로 시간외 근무를 한 경우에는 사후 승인을 받아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제12조(복리후생비 지급)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직원의 복리후생 증진을 위하여 예산의 범위 내에서 다음 각 호의 복리후생비를 지급할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정액급식비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직급보조비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직책수행비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업무활동비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명절휴가비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복리후생비의 지급기준은 [별표 5]와 같다. 다만, 휴직(공무상 질병 제외), 강등, 정직, 직위해제 기간 중에는 지급하지 아니한다.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제13조(보수의 지급일)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보수는 매월 20일에 지급한다. 다만, 지급일이 토요일 또는 공휴일인 때에는 그 전일에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면직 또는 보수가 지급되지 아니하는 휴직의 경우에는 제1항의 규정에도 불구하고 면직 또는 휴직일에 보수를 지급할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시간외근무, 휴일근무, 야간근무에 따른 수당은 익월 5일 이내에 계산하여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제14조(보수의 계산)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보수의 계산은 매월 1일부터 해당 월의 말일까지로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신규채용자의 보수는 출근일부터 일할 계산한다.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승진, 승급, 복직, 감봉, 직위해제 등의 경우에는 발령일을 기준으로 일할 계산하여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2년 이상 근속한 직원이 면직(징계처분 또는 금고이상의 형을 받아 면직되는 경우와 그 달 1일자로 면직되는 경우를 제외한다)된 때 또는 기타 법률의 규정에 의한 업무를 수행하기 위하여 휴직된 때에는 면직 또는 휴직된 날이 속하는 달의 보수월액 전액을 지급한다. 다만, 본인의 사망으로 인한 경우 근속년수에 불구하고 당월의 보수전액을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제15조(연봉월액의 계산)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기본연봉의 계산은 매년 1월 1일부터 12월 31일까지로 하고, 연봉월액의 계산은 매월 1일부터 해당 월의 말일까지로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신규채용, 승진, 승급, 복직, 감봉, 직위해제 등의 경우에는 발령일을 기준으로 그 월액을 일할 계산하여 지급한다.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제16조(보수의 감액)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연차휴가, 특별휴가, 공가, 병가기간을 초과하여 유계 결근한 자에 대하여는 초과 유계 결근일수에 해당하는 제수당을 지급하지 아니한다.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무계 결근자의 결근일수에 대하여는 보수를 지급하지 아니한다.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정직의 징계처분을 받은 경우에는 그 기간 중 보수월액의 2분의 1을 감하여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감봉의 징계처분을 받은 경우에는 그 기간 중 보수월액의 10분의 1을 감하여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제17조(잔무처리기간중의 보수)</w:t>
      </w:r>
      <w:r>
        <w:rPr>
          <w:rFonts w:ascii="조선신명조" w:eastAsia="조선신명조"/>
          <w:shd w:val="clear" w:fill="ffffff"/>
        </w:rPr>
        <w:t xml:space="preserve"> 면직된 자가 사무인계 또는 잔무처리를 위하여 원장의 명을 받아 계속 근무하는 경우에는 15일을 초과하지 아니하는 범위 내에서 그 기간에 재직시와 같은 보수를 일할 계산하여 지급할 수 있다. 다만, 이 경우 지급한 보수에 대하여는 퇴직급여 계산에 포함하지 아니한다.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제18조(겸임시의 보수)</w:t>
      </w:r>
      <w:r>
        <w:rPr>
          <w:rFonts w:ascii="조선신명조" w:eastAsia="조선신명조"/>
          <w:shd w:val="clear" w:fill="ffffff"/>
        </w:rPr>
        <w:t xml:space="preserve"> 직원이 두 가지 이상의 직을 겸임하였을 경우에는 예산의 범위 내에서 겸임수당을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제19조(휴직기간중의 보수)</w:t>
      </w:r>
      <w:r>
        <w:rPr>
          <w:rFonts w:ascii="조선신명조" w:eastAsia="조선신명조"/>
          <w:shd w:val="clear" w:fill="ffffff"/>
        </w:rPr>
        <w:t xml:space="preserve"> 다음 각 호에 해당하는 사유로 휴직한 때를 제외하고는 휴직기간의 보수를 지급하지 아니한다.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업무 수행 중 발생한 질병 또는 부상으로 인하여 휴직한 경우에는 그 기간 중 기본보수의 전액을 지급한다.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문화원의 필요에 의하여 직무와 관련된 해외유학 및 법률의 규정에 의한 업무를 수행하기 위하여 직무를 이탈하게 된 경우에는 그 기간 중 봉급을 지급한다.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병역법에 의한 징집, 천재지변, 전시사변 및 기타 사유로 생사 또는 소재지의 불분명으로 인한 휴직의 경우에는 그 기간 중 휴직 발령일로부터 보수를 지급하지 아니한다.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제20조(직위해제기간중의 보수)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직위해제 된 직원에 대하여는 봉급의 8할을 지급한다. 다만, 징계의결이 요구 중이거나 형사사건으로 기소되어 직위해제된 자가 직위해제일로부터 3월이 경과한 후의 기간 중에는 봉급의 5할을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제21조(면직 또는 징계처분 등이 취소된 직원의 보수</w:t>
      </w:r>
      <w:r>
        <w:rPr>
          <w:rFonts w:ascii="조선신명조" w:eastAsia="조선신명조"/>
          <w:shd w:val="clear" w:fill="ffffff"/>
        </w:rPr>
        <w:t>) 직원에게 행한 징계처분, 직위해제 또는 면직처분이 무효 또는 취소된 때에는 복귀일 또는 발령일에 원래의 정기승급일을 기준으로 호봉을 재획정하고, 동 처분으로 인하여 지급하지 아니하였거나 감액된 보수는 소급하여 이를 전액 지급한다.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제22조(비상시의 지급)</w:t>
      </w:r>
      <w:r>
        <w:rPr>
          <w:rFonts w:ascii="조선신명조" w:eastAsia="조선신명조"/>
          <w:shd w:val="clear" w:fill="ffffff"/>
        </w:rPr>
        <w:t xml:space="preserve"> 출산, 질병, 재해, 혼례 또는 장의의 비용으로 사용하기 위하여 본인 또는 가족이 보수를 청구하는 경우에는 보수지급일 전이라도 보수월액의 한도 내에서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제23조(보수지급방법)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보수는 본인에게 직접 지급함을 원칙으로 하며, 법령 및 다른 규정에 정하는 경우를 제외하고는 본인의 동의 없이  타인에게 지급하거나 그 일부를 공제할 수 없다.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보수는 본인의 예금계좌에 이체함을 원칙으로 하며, 부득이한 경우 현금 또는 당좌성 유가증권으로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제24조(퇴직급여금)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만 1년 이상 근속한 직원이 퇴직하는 경우에는 [별표 6]의 퇴직금 지급률표에 의하여 산출된 퇴직급여금을 지급한다.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규정에도 불구하고 근로자퇴직급여보장법 제4조 제1항의 규정에 의한 퇴직연금제를 실시할 수 있으며, 구체적인 시행방법 및 내용은 별도로 정하는 바에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제25조(근속년수의 계산)</w:t>
      </w:r>
      <w:r>
        <w:rPr>
          <w:rFonts w:ascii="조선신명조" w:eastAsia="조선신명조"/>
          <w:shd w:val="clear" w:fill="ffffff"/>
        </w:rPr>
        <w:t xml:space="preserve"> 근속년수는 다음 각 호에 의하여 계산한다.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재직기간의 계산은 임명일 속하는 월부터 퇴직일이 속하는 월까지로 하며, 만12개월을 1년으로 한다. 다만, 재직기간 중 정직, 직위해제 및 휴직 기간은 100분의 50으로 계산하되 업무로 인한 질병 또는 부상으로 인한 휴직 및 육아휴직 기간은 그러하지 아니한다.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1년 미만의 단수계산에 있어서 근로월수와 근로일수에 대하여는 월할 또는 일할로 비례하여 계산한다.</w:t>
      </w:r>
    </w:p>
    <w:p>
      <w:pPr>
        <w:pStyle w:val="25"/>
        <w:widowControl w:val="off"/>
        <w:ind w:left="484" w:hanging="484"/>
      </w:pPr>
      <w:r>
        <w:rPr>
          <w:rFonts w:ascii="조선신명조" w:eastAsia="조선신명조"/>
          <w:shd w:val="clear" w:fill="ffffff"/>
        </w:rPr>
        <w:t xml:space="preserve">  3. 직제의 개정과 정원의 감축으로 인하여 퇴직하는 자와 재직 중 업무상 질병 또는 사망으로 퇴직한 자의 1년 미만의 근로월수와 근로일수에 대하여는 월할 또는 일할로 비례하여 계산한다.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제26조(퇴직급여금 지급일)</w:t>
      </w:r>
      <w:r>
        <w:rPr>
          <w:rFonts w:ascii="조선신명조" w:eastAsia="조선신명조"/>
          <w:shd w:val="clear" w:fill="ffffff"/>
        </w:rPr>
        <w:t xml:space="preserve"> 퇴직급여금은 청구일로부터 14일 이내에 지급하여야 한다. 다만, 특별한 사유가 있을 때에는 당사자 간의 합의에 의하여 지급기일을 연기할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제27조(파견공무원의 수당)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공무원 신분으로 문화원에 파견되어 근무하는 자에 대하여는 직책급업무수행경비와 파견수당을 지급할 수 있으며, 시간외근무사항에 대하여는 원소속부서로 복무확인 자료를 통보하여 준다.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제1항에 따라 지급되는 수당의 기준은 문화원 제수당 지급 규정에 따른다.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제28조(비상근 임원의 보수)</w:t>
      </w:r>
      <w:r>
        <w:rPr>
          <w:rFonts w:ascii="조선신명조" w:eastAsia="조선신명조"/>
          <w:shd w:val="clear" w:fill="ffffff"/>
        </w:rPr>
        <w:t xml:space="preserve"> 비상근 임원에게는 보수를 지급하지 아니한다. 다만, 업무수행에 필요한 자료수집, 분석에 소요되는 경비 및 이사회 참석수당 등은 이사회 운영 규정으로 정한다.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제29조(안전 및 보건관리)</w:t>
      </w:r>
      <w:r>
        <w:rPr>
          <w:rFonts w:ascii="조선신명조" w:eastAsia="조선신명조"/>
          <w:shd w:val="clear" w:fill="ffffff"/>
        </w:rPr>
        <w:t xml:space="preserve"> 문화원은 직원의 건강상태와 환경조건을 수시로 조사하여 안전에 위태롭거나 위생에 해로운 시설을 개선하는 등 건강유지에 필요한 조치를 하여야 한다.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제30조(재해보상)</w:t>
      </w:r>
      <w:r>
        <w:rPr>
          <w:rFonts w:ascii="조선신명조" w:eastAsia="조선신명조"/>
          <w:shd w:val="clear" w:fill="ffffff"/>
        </w:rPr>
        <w:t xml:space="preserve"> 직원의 재해보상에 대하여는 필요한 사항은 산업재해보상보험법에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제31조(준용)</w:t>
      </w:r>
      <w:r>
        <w:rPr>
          <w:rFonts w:ascii="조선신명조" w:eastAsia="조선신명조"/>
          <w:shd w:val="clear" w:fill="ffffff"/>
        </w:rPr>
        <w:t xml:space="preserve"> 이 규정 및 문화원 제규정에 명시되지 않은 지급기준 및 지급방법은 지방공무원 보수규정 및 근로기준법에 따른다.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</w:rPr>
        <w:t>제1조(시행일</w:t>
      </w:r>
      <w:r>
        <w:rPr>
          <w:rFonts w:ascii="조선신명조" w:eastAsia="조선신명조"/>
        </w:rPr>
        <w:t>) 이 규정은 이사회의 의결을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</w:rPr>
        <w:t>제2조(경과조치</w:t>
      </w:r>
      <w:r>
        <w:rPr>
          <w:rFonts w:ascii="조선신명조" w:eastAsia="조선신명조"/>
        </w:rPr>
        <w:t>) 이 규정 시행일 이전에 적용된 사항은 이 규정에 의하여 시행된 것으로 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</w:rPr>
        <w:t>부      칙 (2024. 1. 26.)</w:t>
      </w:r>
    </w:p>
    <w:p>
      <w:pPr>
        <w:pStyle w:val="23"/>
        <w:widowControl w:val="off"/>
      </w:pPr>
      <w:r>
        <w:rPr>
          <w:rFonts w:ascii="조선굵은고딕" w:eastAsia="조선굵은고딕"/>
        </w:rPr>
        <w:t>제1조(시행일</w:t>
      </w:r>
      <w:r>
        <w:rPr>
          <w:rFonts w:ascii="조선신명조" w:eastAsia="조선신명조"/>
        </w:rPr>
        <w:t>) 이 규정은 이사회의 의결을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보수 규정 [별표 1]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2024. 1. 26.&gt;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직원의 봉급기준표</w:t>
            </w:r>
            <w:r>
              <w:rPr>
                <w:rFonts w:ascii="조선굵은명조" w:eastAsia="조선굵은명조"/>
                <w:sz w:val="32"/>
              </w:rPr>
              <w:t xml:space="preserve"> (제4조 관련)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21"/>
        <w:gridCol w:w="1441"/>
        <w:gridCol w:w="1603"/>
        <w:gridCol w:w="4906"/>
      </w:tblGrid>
      <w:tr>
        <w:trPr>
          <w:trHeight w:val="599"/>
        </w:trPr>
        <w:tc>
          <w:tcPr>
            <w:tcW w:w="1121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직  렬</w:t>
            </w:r>
          </w:p>
        </w:tc>
        <w:tc>
          <w:tcPr>
            <w:tcW w:w="144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직  위</w:t>
            </w:r>
          </w:p>
        </w:tc>
        <w:tc>
          <w:tcPr>
            <w:tcW w:w="1603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직  급</w:t>
            </w:r>
          </w:p>
        </w:tc>
        <w:tc>
          <w:tcPr>
            <w:tcW w:w="490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지급기준</w:t>
            </w:r>
          </w:p>
        </w:tc>
      </w:tr>
      <w:tr>
        <w:trPr>
          <w:trHeight w:val="636"/>
        </w:trPr>
        <w:tc>
          <w:tcPr>
            <w:tcW w:w="112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행정직</w:t>
            </w: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국  장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가급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5급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부  장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나급 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6급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과  장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다급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7급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대  리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라급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8급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주  임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마급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9급</w:t>
            </w:r>
          </w:p>
        </w:tc>
      </w:tr>
      <w:tr>
        <w:trPr>
          <w:trHeight w:val="636"/>
        </w:trPr>
        <w:tc>
          <w:tcPr>
            <w:tcW w:w="112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연구직</w:t>
            </w:r>
          </w:p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연구관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학예연구관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5] 봉급표의 연구관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연구사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학예연구사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5] 봉급표의 연구사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연구원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연구원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7급</w:t>
            </w:r>
          </w:p>
        </w:tc>
      </w:tr>
      <w:tr>
        <w:trPr>
          <w:trHeight w:val="636"/>
        </w:trPr>
        <w:tc>
          <w:tcPr>
            <w:tcW w:w="112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44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부연구원</w:t>
            </w:r>
          </w:p>
        </w:tc>
        <w:tc>
          <w:tcPr>
            <w:tcW w:w="160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부연구원</w:t>
            </w:r>
          </w:p>
        </w:tc>
        <w:tc>
          <w:tcPr>
            <w:tcW w:w="490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공무원보수규정 [별표 3] 봉급표의 8급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보수 규정 [별표 2]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명조"/>
                <w:sz w:val="32"/>
                <w:u w:val="single"/>
              </w:rPr>
              <w:t>경력환산표</w:t>
            </w:r>
            <w:r>
              <w:rPr>
                <w:rFonts w:ascii="조선굵은명조" w:eastAsia="조선굵은명조"/>
                <w:sz w:val="32"/>
              </w:rPr>
              <w:t xml:space="preserve"> (제5조 제1항 및 제6조 제1항 관련)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5"/>
        <w:gridCol w:w="5929"/>
        <w:gridCol w:w="769"/>
        <w:gridCol w:w="769"/>
        <w:gridCol w:w="769"/>
      </w:tblGrid>
      <w:tr>
        <w:trPr>
          <w:trHeight w:val="410"/>
        </w:trPr>
        <w:tc>
          <w:tcPr>
            <w:tcW w:w="835" w:type="dxa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구분</w:t>
            </w:r>
          </w:p>
        </w:tc>
        <w:tc>
          <w:tcPr>
            <w:tcW w:w="5929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경력사항</w:t>
            </w:r>
          </w:p>
        </w:tc>
        <w:tc>
          <w:tcPr>
            <w:tcW w:w="2307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환산율</w:t>
            </w:r>
          </w:p>
        </w:tc>
      </w:tr>
      <w:tr>
        <w:trPr>
          <w:trHeight w:val="410"/>
        </w:trPr>
        <w:tc>
          <w:tcPr>
            <w:tcW w:w="835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929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b/>
                <w:spacing w:val="-2"/>
                <w:sz w:val="24"/>
              </w:rPr>
              <w:t>100%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b/>
                <w:sz w:val="24"/>
              </w:rPr>
              <w:t>80%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b/>
                <w:sz w:val="24"/>
              </w:rPr>
              <w:t>60%</w:t>
            </w:r>
          </w:p>
        </w:tc>
      </w:tr>
      <w:tr>
        <w:trPr>
          <w:trHeight w:val="722"/>
        </w:trPr>
        <w:tc>
          <w:tcPr>
            <w:tcW w:w="8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가</w:t>
            </w:r>
          </w:p>
        </w:tc>
        <w:tc>
          <w:tcPr>
            <w:tcW w:w="59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right="100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 w:eastAsia="조선가는고딕"/>
                <w:spacing w:val="-6"/>
                <w:sz w:val="24"/>
                <w:shd w:val="clear" w:color="000000"/>
              </w:rPr>
              <w:t xml:space="preserve"> 군 복무경력</w:t>
            </w:r>
          </w:p>
          <w:p>
            <w:pPr>
              <w:pStyle w:val="0"/>
              <w:widowControl w:val="off"/>
              <w:spacing w:line="312" w:lineRule="auto"/>
              <w:ind w:right="100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 w:eastAsia="조선가는고딕"/>
                <w:spacing w:val="-6"/>
                <w:sz w:val="24"/>
                <w:shd w:val="clear" w:color="000000"/>
              </w:rPr>
              <w:t xml:space="preserve"> 공무원 근무경력   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전체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</w:tr>
      <w:tr>
        <w:trPr>
          <w:trHeight w:val="1658"/>
        </w:trPr>
        <w:tc>
          <w:tcPr>
            <w:tcW w:w="8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나</w:t>
            </w:r>
          </w:p>
        </w:tc>
        <w:tc>
          <w:tcPr>
            <w:tcW w:w="59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321" w:hanging="321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/>
                <w:spacing w:val="-6"/>
                <w:sz w:val="24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19"/>
                <w:sz w:val="24"/>
                <w:shd w:val="clear" w:color="000000"/>
              </w:rPr>
              <w:t xml:space="preserve">정부 및 지방자치단체의 산하기관 및 투자ㆍ출자ㆍ출연기관 </w:t>
            </w:r>
            <w:r>
              <w:br/>
              <w:rPr>
                <w:rFonts w:eastAsia="조선가는고딕"/>
                <w:spacing w:val="-19"/>
                <w:sz w:val="24"/>
                <w:shd w:val="clear" w:color="000000"/>
              </w:rPr>
              <w:t>근무경력</w:t>
            </w:r>
          </w:p>
          <w:p>
            <w:pPr>
              <w:pStyle w:val="0"/>
              <w:widowControl w:val="off"/>
              <w:spacing w:line="312" w:lineRule="auto"/>
              <w:ind w:left="333" w:hanging="333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/>
                <w:spacing w:val="-6"/>
                <w:sz w:val="24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13"/>
                <w:sz w:val="24"/>
                <w:shd w:val="clear" w:color="000000"/>
              </w:rPr>
              <w:t>일반 법인체(재단법인, 사단법인, 주식회사, 합자회사, 합명회사, 유한회사 등) 및 교육, 언론, 전문연구기관, 특수법인 근무경력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4"/>
              </w:rPr>
              <w:t>A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4"/>
              </w:rPr>
              <w:t>B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4"/>
              </w:rPr>
              <w:t>C</w:t>
            </w:r>
          </w:p>
        </w:tc>
      </w:tr>
      <w:tr>
        <w:trPr>
          <w:trHeight w:val="1346"/>
        </w:trPr>
        <w:tc>
          <w:tcPr>
            <w:tcW w:w="83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다</w:t>
            </w:r>
          </w:p>
        </w:tc>
        <w:tc>
          <w:tcPr>
            <w:tcW w:w="59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99" w:hanging="199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 w:eastAsia="조선가는고딕"/>
                <w:spacing w:val="-6"/>
                <w:sz w:val="24"/>
                <w:shd w:val="clear" w:color="000000"/>
              </w:rPr>
              <w:t xml:space="preserve"> 외국의 국가기관, 공공기관, 법인 등 근무경력</w:t>
            </w:r>
          </w:p>
          <w:p>
            <w:pPr>
              <w:pStyle w:val="0"/>
              <w:widowControl w:val="off"/>
              <w:spacing w:line="312" w:lineRule="auto"/>
              <w:ind w:left="321" w:hanging="321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 w:eastAsia="조선가는고딕"/>
                <w:spacing w:val="-6"/>
                <w:sz w:val="24"/>
                <w:shd w:val="clear" w:color="000000"/>
              </w:rPr>
              <w:t xml:space="preserve"> 법인이 아닌 문화예술 관련 단체 근무경력 </w:t>
            </w:r>
            <w:r>
              <w:br/>
              <w:rPr>
                <w:rFonts w:ascii="조선가는고딕" w:eastAsia="조선가는고딕"/>
                <w:spacing w:val="-6"/>
                <w:sz w:val="24"/>
                <w:shd w:val="clear" w:color="000000"/>
              </w:rPr>
              <w:t>(회원경력 제외)</w:t>
            </w:r>
          </w:p>
          <w:p>
            <w:pPr>
              <w:pStyle w:val="0"/>
              <w:widowControl w:val="off"/>
              <w:spacing w:line="312" w:lineRule="auto"/>
              <w:ind w:left="199" w:hanging="199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 w:eastAsia="조선가는고딕"/>
                <w:spacing w:val="-6"/>
                <w:sz w:val="24"/>
                <w:shd w:val="clear" w:color="000000"/>
              </w:rPr>
              <w:t xml:space="preserve"> 일반회사 근무경력 및 프리랜서 경력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4"/>
              </w:rPr>
              <w:t>A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z w:val="24"/>
              </w:rPr>
              <w:t>B</w:t>
            </w:r>
          </w:p>
        </w:tc>
      </w:tr>
      <w:tr>
        <w:trPr>
          <w:trHeight w:val="410"/>
        </w:trPr>
        <w:tc>
          <w:tcPr>
            <w:tcW w:w="835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라</w:t>
            </w:r>
          </w:p>
        </w:tc>
        <w:tc>
          <w:tcPr>
            <w:tcW w:w="592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99" w:hanging="199"/>
            </w:pPr>
            <w:r>
              <w:rPr>
                <w:rFonts w:ascii="조선가는고딕"/>
                <w:spacing w:val="-6"/>
                <w:sz w:val="24"/>
                <w:shd w:val="clear" w:color="000000"/>
              </w:rPr>
              <w:t>○</w:t>
            </w:r>
            <w:r>
              <w:rPr>
                <w:rFonts w:ascii="조선가는고딕" w:eastAsia="조선가는고딕"/>
                <w:sz w:val="24"/>
              </w:rPr>
              <w:t xml:space="preserve"> 가호 내지 다호의 비정규직 근무경력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z w:val="24"/>
              </w:rPr>
            </w:pP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</w:rPr>
              <w:t>전체</w:t>
            </w:r>
          </w:p>
        </w:tc>
      </w:tr>
    </w:tbl>
    <w:p>
      <w:pPr>
        <w:pStyle w:val="0"/>
        <w:widowControl w:val="off"/>
        <w:ind w:left="603" w:hanging="603"/>
      </w:pPr>
    </w:p>
    <w:p>
      <w:pPr>
        <w:pStyle w:val="0"/>
        <w:widowControl w:val="off"/>
        <w:ind w:left="2972" w:hanging="2972"/>
      </w:pPr>
      <w:r>
        <w:rPr>
          <w:rFonts w:ascii="조선가는고딕" w:eastAsia="조선가는고딕"/>
          <w:sz w:val="24"/>
          <w:shd w:val="clear" w:color="000000"/>
        </w:rPr>
        <w:t xml:space="preserve"> 1. 문화예술관련 단체 유형 : 문화예술 정책, 행정, 연구 및 사업을 고유목적으로 하는 단체(문화예술관련 위원회 및 협회, 문화예술(인) 관련 협회 및 연</w:t>
      </w:r>
      <w:r>
        <w:rPr>
          <w:rFonts w:ascii="조선가는고딕" w:eastAsia="조선가는고딕"/>
          <w:spacing w:val="-1"/>
          <w:sz w:val="24"/>
          <w:shd w:val="clear" w:color="000000"/>
        </w:rPr>
        <w:t>합회, 문화예술관련 연구소 및 교육기관, 공연장, 미술(박물)관,</w:t>
      </w:r>
      <w:r>
        <w:rPr>
          <w:rFonts w:ascii="조선가는고딕"/>
          <w:sz w:val="24"/>
          <w:shd w:val="clear" w:color="000000"/>
        </w:rPr>
        <w:t xml:space="preserve"> </w:t>
      </w:r>
      <w:r>
        <w:rPr>
          <w:rFonts w:ascii="조선가는고딕" w:eastAsia="조선가는고딕"/>
          <w:spacing w:val="-1"/>
          <w:sz w:val="24"/>
          <w:shd w:val="clear" w:color="000000"/>
        </w:rPr>
        <w:t>지역문화축제 수행단체, 공연ㆍ전시ㆍ축제ㆍ행사 수행단체 등)</w:t>
      </w:r>
    </w:p>
    <w:p>
      <w:pPr>
        <w:pStyle w:val="0"/>
        <w:widowControl w:val="off"/>
        <w:ind w:left="1856" w:hanging="1856"/>
      </w:pPr>
      <w:r>
        <w:rPr>
          <w:rFonts w:ascii="조선가는고딕" w:eastAsia="조선가는고딕"/>
          <w:sz w:val="24"/>
          <w:shd w:val="clear" w:color="000000"/>
        </w:rPr>
        <w:t xml:space="preserve"> 2. 직무환산기준 : “A”  (채용할 직무와 직접적인 관련이 있는 직무경력 또는 분야인 자) </w:t>
      </w:r>
      <w:r>
        <w:br/>
        <w:rPr>
          <w:rFonts w:ascii="조선가는고딕" w:eastAsia="조선가는고딕"/>
          <w:sz w:val="24"/>
          <w:shd w:val="clear" w:color="000000"/>
        </w:rPr>
        <w:t xml:space="preserve">“B”  (채용할 직무와 유사한 경력 또는 분야인 자) </w:t>
      </w:r>
      <w:r>
        <w:br/>
        <w:rPr>
          <w:rFonts w:ascii="조선가는고딕" w:eastAsia="조선가는고딕"/>
          <w:sz w:val="24"/>
          <w:shd w:val="clear" w:color="000000"/>
        </w:rPr>
        <w:t>“C”  (채용할 직무와 관련이 없는 타 직무 경력 또는 분야인 자)</w:t>
      </w:r>
    </w:p>
    <w:p>
      <w:pPr>
        <w:pStyle w:val="0"/>
        <w:widowControl w:val="off"/>
        <w:ind w:left="1934" w:hanging="1934"/>
      </w:pPr>
      <w:r>
        <w:rPr>
          <w:rFonts w:ascii="조선가는고딕" w:eastAsia="조선가는고딕"/>
          <w:sz w:val="24"/>
          <w:shd w:val="clear" w:color="000000"/>
        </w:rPr>
        <w:t xml:space="preserve"> 3. 경력인정 증명 : </w:t>
      </w:r>
      <w:r>
        <w:rPr>
          <w:rFonts w:ascii="조선가는고딕" w:eastAsia="조선가는고딕"/>
          <w:spacing w:val="-1"/>
          <w:sz w:val="24"/>
          <w:shd w:val="clear" w:color="000000"/>
        </w:rPr>
        <w:t>해당 법인 및 단체로부터 경력증명서를 발부받는 것을 원칙으로 하며 관련</w:t>
      </w:r>
      <w:r>
        <w:rPr>
          <w:rFonts w:ascii="조선가는고딕"/>
          <w:sz w:val="24"/>
          <w:shd w:val="clear" w:color="000000"/>
        </w:rPr>
        <w:t xml:space="preserve"> </w:t>
      </w:r>
      <w:r>
        <w:rPr>
          <w:rFonts w:ascii="조선가는고딕" w:eastAsia="조선가는고딕"/>
          <w:spacing w:val="-4"/>
          <w:sz w:val="24"/>
          <w:shd w:val="clear" w:color="000000"/>
        </w:rPr>
        <w:t>단체의 폐업 및 해체로 인해 직무 경력증명 발부가 어려울 경우에는 직무와</w:t>
      </w:r>
      <w:r>
        <w:rPr>
          <w:rFonts w:ascii="조선가는고딕" w:eastAsia="조선가는고딕"/>
          <w:sz w:val="24"/>
          <w:shd w:val="clear" w:color="000000"/>
        </w:rPr>
        <w:t xml:space="preserve"> 관련된 사업의 공식 성과물(브로셔, 책자, 연구보고서 등)을 근거로 하여 확인한다.</w:t>
      </w:r>
    </w:p>
    <w:p>
      <w:pPr>
        <w:pStyle w:val="0"/>
        <w:widowControl w:val="off"/>
        <w:ind w:left="331" w:hanging="331"/>
      </w:pPr>
      <w:r>
        <w:rPr>
          <w:rFonts w:ascii="조선가는고딕"/>
          <w:sz w:val="24"/>
          <w:shd w:val="clear" w:color="000000"/>
        </w:rPr>
        <w:t xml:space="preserve"> 4. </w:t>
      </w:r>
      <w:r>
        <w:rPr>
          <w:rFonts w:ascii="조선가는고딕" w:eastAsia="조선가는고딕"/>
          <w:sz w:val="24"/>
          <w:shd w:val="clear" w:color="000000"/>
        </w:rPr>
        <w:t xml:space="preserve">경력 환산 </w:t>
      </w:r>
      <w:r>
        <w:rPr>
          <w:rFonts w:ascii="조선가는고딕" w:eastAsia="조선가는고딕"/>
          <w:sz w:val="24"/>
          <w:shd w:val="clear" w:color="000000"/>
        </w:rPr>
        <w:t>시 둘 이상의 경력이 있을 때에는 본인에게 유리한 쪽의 경력을 적용한다. (다만, 군 복무기간을 제외한 합산경력기간이 6년 이하인 경우에는 높은 적용률 순으로 모두 포함하여 환산하며, 6월 이상 군복무기간은 어떤 경우에도 포함하여 별도 환산하되 무관후보생 경력기간은 제외한다)</w:t>
      </w:r>
    </w:p>
    <w:p>
      <w:pPr>
        <w:pStyle w:val="0"/>
        <w:widowControl w:val="off"/>
        <w:ind w:left="326" w:hanging="326"/>
      </w:pPr>
      <w:r>
        <w:rPr>
          <w:rFonts w:ascii="조선가는고딕" w:eastAsia="조선가는고딕"/>
          <w:sz w:val="24"/>
          <w:shd w:val="clear" w:color="000000"/>
        </w:rPr>
        <w:t xml:space="preserve"> 5. 경력기간 환산</w:t>
      </w:r>
      <w:r>
        <w:rPr>
          <w:rFonts w:ascii="조선가는고딕" w:eastAsia="조선가는고딕"/>
          <w:sz w:val="24"/>
          <w:shd w:val="clear" w:color="000000"/>
        </w:rPr>
        <w:t>은 월 단위로 하고 일수 15일 이상은 1개월 단위로 하며, 총 경력 환산 년수 중 1년 미만 월수는 당 재단 당해 직급에 재직한 경력으로 인정하며, 입사 후 실제근무월수를 더하여 1년이 되면 정기승급 시에 1호봉을 승급케 한다.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보수 규정 [별표 3]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승진시 호봉 획정표</w:t>
            </w:r>
            <w:r>
              <w:rPr>
                <w:rFonts w:ascii="조선굵은명조" w:eastAsia="조선굵은명조"/>
                <w:sz w:val="32"/>
              </w:rPr>
              <w:t xml:space="preserve"> (제7조 제2항 관련)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3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5"/>
        <w:gridCol w:w="1505"/>
        <w:gridCol w:w="1505"/>
        <w:gridCol w:w="1505"/>
        <w:gridCol w:w="1505"/>
        <w:gridCol w:w="1505"/>
      </w:tblGrid>
      <w:tr>
        <w:trPr>
          <w:trHeight w:val="912"/>
        </w:trPr>
        <w:tc>
          <w:tcPr>
            <w:tcW w:w="1505" w:type="dxa"/>
            <w:tcBorders>
              <w:top w:val="single" w:color="333333" w:sz="9"/>
              <w:left w:val="single" w:color="333333" w:sz="9"/>
              <w:bottom w:val="double" w:color="333333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승 진 전</w:t>
            </w:r>
          </w:p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호    봉</w:t>
            </w:r>
          </w:p>
        </w:tc>
        <w:tc>
          <w:tcPr>
            <w:tcW w:w="1505" w:type="dxa"/>
            <w:tcBorders>
              <w:top w:val="single" w:color="333333" w:sz="9"/>
              <w:left w:val="single" w:color="000000" w:sz="3"/>
              <w:bottom w:val="double" w:color="333333" w:sz="4"/>
              <w:right w:val="double" w:color="000000" w:sz="4"/>
            </w:tcBorders>
            <w:shd w:val="clear" w:fill="f2f2f2"/>
            <w:vAlign w:val="center"/>
          </w:tcPr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승 진 후</w:t>
            </w:r>
          </w:p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호    봉</w:t>
            </w:r>
          </w:p>
        </w:tc>
        <w:tc>
          <w:tcPr>
            <w:tcW w:w="1505" w:type="dxa"/>
            <w:tcBorders>
              <w:top w:val="single" w:color="333333" w:sz="9"/>
              <w:left w:val="double" w:color="000000" w:sz="4"/>
              <w:bottom w:val="double" w:color="333333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승 진 전</w:t>
            </w:r>
          </w:p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호    봉</w:t>
            </w:r>
          </w:p>
        </w:tc>
        <w:tc>
          <w:tcPr>
            <w:tcW w:w="1505" w:type="dxa"/>
            <w:tcBorders>
              <w:top w:val="single" w:color="333333" w:sz="9"/>
              <w:left w:val="single" w:color="000000" w:sz="3"/>
              <w:bottom w:val="double" w:color="333333" w:sz="4"/>
              <w:right w:val="double" w:color="000000" w:sz="4"/>
            </w:tcBorders>
            <w:shd w:val="clear" w:fill="f2f2f2"/>
            <w:vAlign w:val="center"/>
          </w:tcPr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승 진 후</w:t>
            </w:r>
          </w:p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호    봉</w:t>
            </w:r>
          </w:p>
        </w:tc>
        <w:tc>
          <w:tcPr>
            <w:tcW w:w="1505" w:type="dxa"/>
            <w:tcBorders>
              <w:top w:val="single" w:color="333333" w:sz="9"/>
              <w:left w:val="double" w:color="000000" w:sz="4"/>
              <w:bottom w:val="double" w:color="333333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승 진 전</w:t>
            </w:r>
          </w:p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호    봉</w:t>
            </w:r>
          </w:p>
        </w:tc>
        <w:tc>
          <w:tcPr>
            <w:tcW w:w="1505" w:type="dxa"/>
            <w:tcBorders>
              <w:top w:val="single" w:color="333333" w:sz="9"/>
              <w:left w:val="single" w:color="000000" w:sz="3"/>
              <w:bottom w:val="double" w:color="333333" w:sz="4"/>
              <w:right w:val="single" w:color="333333" w:sz="9"/>
            </w:tcBorders>
            <w:shd w:val="clear" w:fill="f2f2f2"/>
            <w:vAlign w:val="center"/>
          </w:tcPr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승 진 후</w:t>
            </w:r>
          </w:p>
          <w:p>
            <w:pPr>
              <w:pStyle w:val="37"/>
              <w:widowControl w:val="off"/>
            </w:pPr>
            <w:r>
              <w:rPr>
                <w:rFonts w:ascii="조선가는고딕" w:eastAsia="조선가는고딕"/>
                <w:b/>
                <w:sz w:val="24"/>
              </w:rPr>
              <w:t>호    봉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double" w:color="333333" w:sz="4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</w:t>
            </w:r>
          </w:p>
        </w:tc>
        <w:tc>
          <w:tcPr>
            <w:tcW w:w="1505" w:type="dxa"/>
            <w:tcBorders>
              <w:top w:val="double" w:color="333333" w:sz="4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</w:t>
            </w:r>
          </w:p>
        </w:tc>
        <w:tc>
          <w:tcPr>
            <w:tcW w:w="1505" w:type="dxa"/>
            <w:tcBorders>
              <w:top w:val="double" w:color="333333" w:sz="4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12</w:t>
            </w:r>
          </w:p>
        </w:tc>
        <w:tc>
          <w:tcPr>
            <w:tcW w:w="1505" w:type="dxa"/>
            <w:tcBorders>
              <w:top w:val="double" w:color="333333" w:sz="4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11</w:t>
            </w:r>
          </w:p>
        </w:tc>
        <w:tc>
          <w:tcPr>
            <w:tcW w:w="1505" w:type="dxa"/>
            <w:tcBorders>
              <w:top w:val="double" w:color="333333" w:sz="4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23</w:t>
            </w:r>
          </w:p>
        </w:tc>
        <w:tc>
          <w:tcPr>
            <w:tcW w:w="1505" w:type="dxa"/>
            <w:tcBorders>
              <w:top w:val="double" w:color="333333" w:sz="4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22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13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12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24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23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14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13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25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24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4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15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14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26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25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5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4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16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15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27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26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6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5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17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16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28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27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7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6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 xml:space="preserve">18 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17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29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28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8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7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19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18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30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29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9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8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20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19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31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30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333333" w:sz="5"/>
              <w:left w:val="single" w:color="333333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10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9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21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20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5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32</w:t>
            </w: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5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31</w:t>
            </w:r>
          </w:p>
        </w:tc>
      </w:tr>
      <w:tr>
        <w:trPr>
          <w:trHeight w:val="709"/>
        </w:trPr>
        <w:tc>
          <w:tcPr>
            <w:tcW w:w="1505" w:type="dxa"/>
            <w:tcBorders>
              <w:top w:val="single" w:color="000000" w:sz="3"/>
              <w:left w:val="single" w:color="333333" w:sz="9"/>
              <w:bottom w:val="single" w:color="333333" w:sz="9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11</w:t>
            </w:r>
          </w:p>
        </w:tc>
        <w:tc>
          <w:tcPr>
            <w:tcW w:w="1505" w:type="dxa"/>
            <w:tcBorders>
              <w:top w:val="single" w:color="000000" w:sz="3"/>
              <w:left w:val="single" w:color="000000" w:sz="3"/>
              <w:bottom w:val="single" w:color="333333" w:sz="9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10</w:t>
            </w:r>
          </w:p>
        </w:tc>
        <w:tc>
          <w:tcPr>
            <w:tcW w:w="1505" w:type="dxa"/>
            <w:tcBorders>
              <w:top w:val="single" w:color="000000" w:sz="3"/>
              <w:left w:val="double" w:color="000000" w:sz="4"/>
              <w:bottom w:val="single" w:color="333333" w:sz="9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22</w:t>
            </w:r>
          </w:p>
        </w:tc>
        <w:tc>
          <w:tcPr>
            <w:tcW w:w="1505" w:type="dxa"/>
            <w:tcBorders>
              <w:top w:val="single" w:color="000000" w:sz="3"/>
              <w:left w:val="single" w:color="000000" w:sz="3"/>
              <w:bottom w:val="single" w:color="333333" w:sz="9"/>
              <w:right w:val="double" w:color="000000" w:sz="4"/>
            </w:tcBorders>
            <w:vAlign w:val="center"/>
          </w:tcPr>
          <w:p>
            <w:pPr>
              <w:pStyle w:val="48"/>
              <w:widowControl w:val="off"/>
            </w:pPr>
            <w:r>
              <w:rPr>
                <w:rFonts w:ascii="조선가는고딕"/>
                <w:sz w:val="24"/>
              </w:rPr>
              <w:t>21</w:t>
            </w:r>
          </w:p>
        </w:tc>
        <w:tc>
          <w:tcPr>
            <w:tcW w:w="1505" w:type="dxa"/>
            <w:tcBorders>
              <w:top w:val="single" w:color="333333" w:sz="5"/>
              <w:left w:val="double" w:color="000000" w:sz="4"/>
              <w:bottom w:val="single" w:color="333333" w:sz="9"/>
              <w:right w:val="single" w:color="000000" w:sz="3"/>
            </w:tcBorders>
            <w:vAlign w:val="center"/>
          </w:tcPr>
          <w:p>
            <w:pPr>
              <w:pStyle w:val="48"/>
              <w:widowControl w:val="off"/>
              <w:rPr>
                <w:rFonts w:ascii="조선가는고딕" w:eastAsia="조선가는고딕"/>
                <w:color w:val="333333"/>
                <w:sz w:val="24"/>
              </w:rPr>
            </w:pPr>
          </w:p>
        </w:tc>
        <w:tc>
          <w:tcPr>
            <w:tcW w:w="1505" w:type="dxa"/>
            <w:tcBorders>
              <w:top w:val="single" w:color="333333" w:sz="5"/>
              <w:left w:val="single" w:color="000000" w:sz="3"/>
              <w:bottom w:val="single" w:color="333333" w:sz="9"/>
              <w:right w:val="single" w:color="333333" w:sz="9"/>
            </w:tcBorders>
            <w:vAlign w:val="center"/>
          </w:tcPr>
          <w:p>
            <w:pPr>
              <w:pStyle w:val="48"/>
              <w:widowControl w:val="off"/>
              <w:rPr>
                <w:rFonts w:ascii="조선가는고딕" w:eastAsia="조선가는고딕"/>
                <w:color w:val="333333"/>
                <w:sz w:val="24"/>
              </w:rPr>
            </w:pP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보수 규정 [별표 4]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직급별 최고 호봉</w:t>
            </w:r>
            <w:r>
              <w:rPr>
                <w:rFonts w:ascii="조선굵은명조" w:eastAsia="조선굵은명조"/>
                <w:sz w:val="32"/>
              </w:rPr>
              <w:t xml:space="preserve"> (제8조 제3항 관련)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536"/>
        <w:gridCol w:w="4536"/>
      </w:tblGrid>
      <w:tr>
        <w:trPr>
          <w:trHeight w:val="599"/>
        </w:trPr>
        <w:tc>
          <w:tcPr>
            <w:tcW w:w="453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직 급 별</w:t>
            </w:r>
          </w:p>
        </w:tc>
        <w:tc>
          <w:tcPr>
            <w:tcW w:w="453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최고호봉</w:t>
            </w:r>
          </w:p>
        </w:tc>
      </w:tr>
      <w:tr>
        <w:trPr>
          <w:trHeight w:val="599"/>
        </w:trPr>
        <w:tc>
          <w:tcPr>
            <w:tcW w:w="45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가급</w:t>
            </w:r>
          </w:p>
        </w:tc>
        <w:tc>
          <w:tcPr>
            <w:tcW w:w="45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30호봉</w:t>
            </w:r>
          </w:p>
        </w:tc>
      </w:tr>
      <w:tr>
        <w:trPr>
          <w:trHeight w:val="599"/>
        </w:trPr>
        <w:tc>
          <w:tcPr>
            <w:tcW w:w="45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나급</w:t>
            </w:r>
          </w:p>
        </w:tc>
        <w:tc>
          <w:tcPr>
            <w:tcW w:w="45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31호봉</w:t>
            </w:r>
          </w:p>
        </w:tc>
      </w:tr>
      <w:tr>
        <w:trPr>
          <w:trHeight w:val="599"/>
        </w:trPr>
        <w:tc>
          <w:tcPr>
            <w:tcW w:w="45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다급</w:t>
            </w:r>
          </w:p>
        </w:tc>
        <w:tc>
          <w:tcPr>
            <w:tcW w:w="45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32호봉</w:t>
            </w:r>
          </w:p>
        </w:tc>
      </w:tr>
      <w:tr>
        <w:trPr>
          <w:trHeight w:val="599"/>
        </w:trPr>
        <w:tc>
          <w:tcPr>
            <w:tcW w:w="45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라급</w:t>
            </w:r>
          </w:p>
        </w:tc>
        <w:tc>
          <w:tcPr>
            <w:tcW w:w="45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32호봉</w:t>
            </w:r>
          </w:p>
        </w:tc>
      </w:tr>
      <w:tr>
        <w:trPr>
          <w:trHeight w:val="599"/>
        </w:trPr>
        <w:tc>
          <w:tcPr>
            <w:tcW w:w="453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마급</w:t>
            </w:r>
          </w:p>
        </w:tc>
        <w:tc>
          <w:tcPr>
            <w:tcW w:w="453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32호봉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보수 규정 [별표 5]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복리후생비 지급 기준표</w:t>
            </w:r>
            <w:r>
              <w:rPr>
                <w:rFonts w:ascii="조선굵은명조" w:eastAsia="조선굵은명조"/>
                <w:sz w:val="32"/>
              </w:rPr>
              <w:t xml:space="preserve"> (제12조 제2항 관련)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99"/>
        <w:gridCol w:w="3387"/>
        <w:gridCol w:w="3386"/>
      </w:tblGrid>
      <w:tr>
        <w:trPr>
          <w:trHeight w:val="523"/>
        </w:trPr>
        <w:tc>
          <w:tcPr>
            <w:tcW w:w="229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구  분</w:t>
            </w:r>
          </w:p>
        </w:tc>
        <w:tc>
          <w:tcPr>
            <w:tcW w:w="338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4"/>
              </w:rPr>
              <w:t>지급내용</w:t>
            </w:r>
          </w:p>
        </w:tc>
        <w:tc>
          <w:tcPr>
            <w:tcW w:w="338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4"/>
              </w:rPr>
              <w:t>지급방법</w:t>
            </w:r>
          </w:p>
        </w:tc>
      </w:tr>
      <w:tr>
        <w:trPr>
          <w:trHeight w:val="1118"/>
        </w:trPr>
        <w:tc>
          <w:tcPr>
            <w:tcW w:w="229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정액급식비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공무원 수당 등에 관한 </w:t>
            </w:r>
            <w:r>
              <w:br/>
              <w:rPr>
                <w:rFonts w:ascii="조선가는고딕" w:eastAsia="조선가는고딕"/>
                <w:sz w:val="24"/>
                <w:shd w:val="clear" w:color="000000"/>
              </w:rPr>
              <w:t>규정에 의함</w:t>
            </w:r>
          </w:p>
        </w:tc>
        <w:tc>
          <w:tcPr>
            <w:tcW w:w="3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매월 지급</w:t>
            </w:r>
          </w:p>
        </w:tc>
      </w:tr>
      <w:tr>
        <w:trPr>
          <w:trHeight w:val="1118"/>
        </w:trPr>
        <w:tc>
          <w:tcPr>
            <w:tcW w:w="229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직급보조비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공무원 수당 등에 관한 </w:t>
            </w:r>
            <w:r>
              <w:br/>
              <w:rPr>
                <w:rFonts w:ascii="조선가는고딕" w:eastAsia="조선가는고딕"/>
                <w:sz w:val="24"/>
                <w:shd w:val="clear" w:color="000000"/>
              </w:rPr>
              <w:t>규정에 의함</w:t>
            </w:r>
          </w:p>
        </w:tc>
        <w:tc>
          <w:tcPr>
            <w:tcW w:w="3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매월 지급</w:t>
            </w:r>
          </w:p>
        </w:tc>
      </w:tr>
      <w:tr>
        <w:trPr>
          <w:trHeight w:val="806"/>
        </w:trPr>
        <w:tc>
          <w:tcPr>
            <w:tcW w:w="229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직책수행비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월 50,000원 ~ 100,000원</w:t>
            </w:r>
          </w:p>
        </w:tc>
        <w:tc>
          <w:tcPr>
            <w:tcW w:w="3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매월 지급</w:t>
            </w:r>
          </w:p>
        </w:tc>
      </w:tr>
      <w:tr>
        <w:trPr>
          <w:trHeight w:val="806"/>
        </w:trPr>
        <w:tc>
          <w:tcPr>
            <w:tcW w:w="229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업무활동비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월 50,000원</w:t>
            </w:r>
          </w:p>
        </w:tc>
        <w:tc>
          <w:tcPr>
            <w:tcW w:w="3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매월 지급</w:t>
            </w:r>
          </w:p>
        </w:tc>
      </w:tr>
      <w:tr>
        <w:trPr>
          <w:trHeight w:val="1118"/>
        </w:trPr>
        <w:tc>
          <w:tcPr>
            <w:tcW w:w="229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정기상여금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월 기본급의 25%</w:t>
            </w:r>
          </w:p>
        </w:tc>
        <w:tc>
          <w:tcPr>
            <w:tcW w:w="3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3, 6, 9, 12월달에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봉급의 25% 지급</w:t>
            </w:r>
          </w:p>
        </w:tc>
      </w:tr>
      <w:tr>
        <w:trPr>
          <w:trHeight w:val="1118"/>
        </w:trPr>
        <w:tc>
          <w:tcPr>
            <w:tcW w:w="229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4"/>
                <w:shd w:val="clear" w:color="000000"/>
              </w:rPr>
              <w:t>명절휴가비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가는고딕"/>
                <w:sz w:val="24"/>
                <w:shd w:val="clear" w:color="000000"/>
              </w:rPr>
              <w:t xml:space="preserve"> </w:t>
            </w:r>
            <w:r>
              <w:rPr>
                <w:rFonts w:ascii="조선가는고딕"/>
                <w:sz w:val="24"/>
                <w:shd w:val="clear" w:color="000000"/>
              </w:rPr>
              <w:t>◦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월 기본급의 120%</w:t>
            </w:r>
          </w:p>
        </w:tc>
        <w:tc>
          <w:tcPr>
            <w:tcW w:w="338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매년 설날, 추석이 속하는 달에 봉급의 60% 지급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보수 규정 [별표 6]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퇴직급여 지급률표</w:t>
            </w:r>
            <w:r>
              <w:rPr>
                <w:rFonts w:ascii="조선굵은명조" w:eastAsia="조선굵은명조"/>
                <w:sz w:val="32"/>
              </w:rPr>
              <w:t xml:space="preserve"> (제24조 제1항 관련)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684"/>
        <w:gridCol w:w="5388"/>
      </w:tblGrid>
      <w:tr>
        <w:trPr>
          <w:trHeight w:val="599"/>
        </w:trPr>
        <w:tc>
          <w:tcPr>
            <w:tcW w:w="368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지급률</w:t>
            </w:r>
          </w:p>
        </w:tc>
        <w:tc>
          <w:tcPr>
            <w:tcW w:w="538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비  고</w:t>
            </w:r>
          </w:p>
        </w:tc>
      </w:tr>
      <w:tr>
        <w:trPr>
          <w:trHeight w:val="2263"/>
        </w:trPr>
        <w:tc>
          <w:tcPr>
            <w:tcW w:w="368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>1년 이상 근속년수 × 평균임금</w:t>
            </w:r>
          </w:p>
        </w:tc>
        <w:tc>
          <w:tcPr>
            <w:tcW w:w="538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조선가는고딕"/>
                <w:b/>
                <w:sz w:val="24"/>
              </w:rPr>
              <w:t>ㆍ평균임금</w:t>
            </w:r>
          </w:p>
          <w:p>
            <w:pPr>
              <w:pStyle w:val="0"/>
              <w:widowControl w:val="off"/>
              <w:ind w:left="240" w:hanging="240"/>
            </w:pPr>
            <w:r>
              <w:rPr>
                <w:rFonts w:ascii="조선가는고딕" w:eastAsia="조선가는고딕"/>
                <w:sz w:val="24"/>
              </w:rPr>
              <w:t xml:space="preserve">  퇴직일 전 3개월간 당해 근로자에게 지급된 </w:t>
            </w:r>
            <w:r>
              <w:br/>
              <w:rPr>
                <w:rFonts w:ascii="조선가는고딕" w:eastAsia="조선가는고딕"/>
                <w:sz w:val="24"/>
              </w:rPr>
              <w:t>임금총액 ÷ 3개월간 총 일수</w:t>
            </w:r>
          </w:p>
          <w:p>
            <w:pPr>
              <w:pStyle w:val="0"/>
              <w:widowControl w:val="off"/>
              <w:ind w:left="218" w:hanging="218"/>
            </w:pPr>
            <w:r>
              <w:rPr>
                <w:rFonts w:ascii="조선가는고딕" w:eastAsia="조선가는고딕"/>
                <w:sz w:val="24"/>
              </w:rPr>
              <w:t>ㆍ산출된 금액이 통상임금보다 적을 경우</w:t>
            </w:r>
            <w:r>
              <w:br/>
              <w:rPr>
                <w:rFonts w:ascii="조선가는고딕" w:eastAsia="조선가는고딕"/>
                <w:sz w:val="24"/>
              </w:rPr>
              <w:t>통상임금 적용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</w:pPr>
      <w:r>
        <w:rPr>
          <w:rFonts w:ascii="조선가는고딕" w:eastAsia="조선가는고딕"/>
          <w:sz w:val="24"/>
          <w:shd w:val="clear" w:color="000000"/>
        </w:rPr>
        <w:t>* 평균임금 : 근로기준법 제2조 제1항 제6호에 근거함</w:t>
      </w: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sectPr>
      <w:headerReference r:id="rId1" w:type="even"/>
      <w:headerReference r:id="rId2" w:type="even"/>
      <w:footerReference r:id="rId3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9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3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30.xml"  /><Relationship Id="rId2" Type="http://schemas.openxmlformats.org/officeDocument/2006/relationships/header" Target="header31.xml"  /><Relationship Id="rId3" Type="http://schemas.openxmlformats.org/officeDocument/2006/relationships/footer" Target="footer19.xml" 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2024-06-24T23:58:36.901</dcterms:modified>
  <cp:version>0501.0100.01</cp:version>
</cp:coreProperties>
</file>