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위임전결에관한규칙"/>
      <w:r>
        <w:rPr>
          <w:rFonts w:ascii="조선견고딕" w:eastAsia="조선견고딕"/>
          <w:sz w:val="30"/>
          <w:shd w:val="clear" w:color="000000"/>
        </w:rPr>
        <w:t>위임 전결에 관한 규칙</w:t>
      </w:r>
      <w:bookmarkEnd w:id="1"/>
    </w:p>
    <w:p>
      <w:pPr>
        <w:pStyle w:val="0"/>
        <w:widowControl w:val="off"/>
        <w:wordWrap w:val="1"/>
        <w:spacing w:line="552" w:lineRule="auto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  <w:shd w:val="clear" w:color="000000"/>
        </w:rPr>
        <w:t>제정  2020.  1. 20. (규칙 제1호)</w:t>
      </w:r>
    </w:p>
    <w:p>
      <w:pPr>
        <w:pStyle w:val="0"/>
        <w:widowControl w:val="off"/>
        <w:wordWrap w:val="1"/>
        <w:spacing w:line="552" w:lineRule="auto"/>
        <w:jc w:val="right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제1조(목적)</w:t>
      </w:r>
      <w:r>
        <w:rPr>
          <w:rFonts w:ascii="조선신명조" w:eastAsia="조선신명조"/>
          <w:sz w:val="28"/>
          <w:shd w:val="clear" w:color="000000"/>
        </w:rPr>
        <w:t xml:space="preserve"> 이 규정은 춘천문화원(이하 “문화원”이라 한다.) 업무의 결정권한과 책임을 위임하고, 그 절차를 명확히 함으로써 업무를 신속하고 효율적으로 처리하는 데 그 목적을 둔다.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제2조(적용범위)</w:t>
      </w:r>
      <w:r>
        <w:rPr>
          <w:rFonts w:ascii="조선신명조" w:eastAsia="조선신명조"/>
          <w:sz w:val="28"/>
          <w:shd w:val="clear" w:color="000000"/>
        </w:rPr>
        <w:t xml:space="preserve"> 문화원의 위임전결에 관한 사항은 법령, 정관 및 다른 규정에 별도로 정한 사항을 제외하고는 이 규칙이 정하는 바에 의한다.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제3조(권한과 책임)</w:t>
      </w:r>
      <w:r>
        <w:rPr>
          <w:rFonts w:ascii="조선신명조" w:eastAsia="조선신명조"/>
          <w:sz w:val="28"/>
          <w:shd w:val="clear" w:color="000000"/>
        </w:rPr>
        <w:t xml:space="preserve"> 전결권자는 이 규칙에 의하여 위임된 권한을 성실히 행사하여야 하며 그 권한 행사의 결과에 대하여 원장에게 책임을 진다.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제4조(업무협조)</w:t>
      </w:r>
      <w:r>
        <w:rPr>
          <w:rFonts w:ascii="조선신명조" w:eastAsia="조선신명조"/>
          <w:sz w:val="28"/>
          <w:shd w:val="clear" w:color="000000"/>
        </w:rPr>
        <w:t xml:space="preserve"> 업무 수행 상 타 부서와 관련 있는 사항은 관련부서의 협조를 얻어 처리하여야 하며 협조를 받지 못한 사항은 원장의 결재를 받아 처리한다.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  <w:shd w:val="clear" w:color="000000"/>
        </w:rPr>
        <w:t>제5조(전결사항)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문화원의 위임사무의 전결사항은 [별표 1]과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[별표 1]에 명시되지 아니한 사항으로서 [별표 1]의 전결사항과 유사항 사항은 당해 전결권자가 전결할 수 있다. 다만, 전결권자를 판단하기 어려운 사항은 차상위 직급자의 결재를 받아 처리한다.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제6조(중요사항의 처리)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전결사항이라 할지라도 전결권자보다 상위 직급자가 특별히 지정한 것은 지정한 자의 결재를 받아 시행한다.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이 규칙에서 규정한 중요사항 또는 일반(경미)사항의 구분은 일반(경미)사항의 결재권자에 해당하는 적임자가 일차적으로 판단한다.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제7조(전결권한의 대리)</w:t>
      </w:r>
      <w:r>
        <w:rPr>
          <w:rFonts w:ascii="조선신명조" w:eastAsia="조선신명조"/>
          <w:sz w:val="28"/>
          <w:shd w:val="clear" w:color="000000"/>
        </w:rPr>
        <w:t xml:space="preserve"> 전결권자가 부득이한 사유로 그 권한을 행사할 수 없을 경우에는 차상위 직급자가 그 권한을 수행함을 원칙으로 한다. 단, 대결권자는 전결권자가 복귀하였을 경우 지체 없이 그 처리결과를 전결권자에게 보고하여야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제8조(전결사항의 보고)</w:t>
      </w:r>
      <w:r>
        <w:rPr>
          <w:rFonts w:ascii="조선신명조" w:eastAsia="조선신명조"/>
          <w:sz w:val="28"/>
          <w:shd w:val="clear" w:color="000000"/>
        </w:rPr>
        <w:t xml:space="preserve"> 전결권자는 [별표 1]에 명시된 전결사항이라도 할지라도 중요하다고 인정되는 사항은 처리 후에 차상위 직급자에게 보고하여야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제9조(전결처리사항의 변경)</w:t>
      </w:r>
      <w:r>
        <w:rPr>
          <w:rFonts w:ascii="조선신명조" w:eastAsia="조선신명조"/>
          <w:sz w:val="28"/>
          <w:shd w:val="clear" w:color="000000"/>
        </w:rPr>
        <w:t xml:space="preserve"> 전결처리된 사항의 집행에 있어서 그 내용의 일부 또는 전부를 변경하고자 할 경우에는 그 업무의 당초 전결권자로부터 재결재를 받아 시행하여야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제10조(전결의 효력)</w:t>
      </w:r>
      <w:r>
        <w:rPr>
          <w:rFonts w:ascii="조선신명조" w:eastAsia="조선신명조"/>
          <w:sz w:val="28"/>
          <w:shd w:val="clear" w:color="000000"/>
        </w:rPr>
        <w:t xml:space="preserve"> 이 규칙에 의하여 전결된 사항은 원장이 결재한 것과 동일한 효력을 가진다.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  <w:shd w:val="clear" w:color="000000"/>
        </w:rPr>
        <w:t>부      칙 (2020. 1. 20.)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  <w:shd w:val="clear" w:color="000000"/>
        </w:rPr>
        <w:t>제1조(시행일)</w:t>
      </w:r>
      <w:r>
        <w:rPr>
          <w:rFonts w:ascii="조선신명조" w:eastAsia="조선신명조"/>
          <w:sz w:val="28"/>
          <w:shd w:val="clear" w:color="000000"/>
        </w:rPr>
        <w:t xml:space="preserve"> 이 규칙은 원장의 승인을 받은 날로부터 시행한다.</w:t>
      </w: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위임전결에관한규칙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사무위임 전결사항</w:t>
            </w:r>
            <w:r>
              <w:rPr>
                <w:rFonts w:ascii="조선굵은명조" w:eastAsia="조선굵은명조"/>
                <w:sz w:val="32"/>
              </w:rPr>
              <w:t xml:space="preserve"> (제5조 관련)</w:t>
            </w:r>
          </w:p>
        </w:tc>
      </w:tr>
    </w:tbl>
    <w:p>
      <w:pPr>
        <w:pStyle w:val="23"/>
        <w:widowControl w:val="off"/>
        <w:ind w:left="255" w:hanging="255"/>
      </w:pPr>
    </w:p>
    <w:tbl>
      <w:tblPr>
        <w:tblpPr w:leftFromText="0" w:rightFromText="0" w:topFromText="0" w:bottomFromText="0" w:vertAnchor="text" w:horzAnchor="text" w:tblpXSpec="left" w:tblpYSpec="top"/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01"/>
        <w:gridCol w:w="4212"/>
        <w:gridCol w:w="815"/>
        <w:gridCol w:w="815"/>
        <w:gridCol w:w="815"/>
        <w:gridCol w:w="814"/>
      </w:tblGrid>
      <w:tr>
        <w:trPr>
          <w:trHeight w:val="390"/>
          <w:tblHeader/>
        </w:trPr>
        <w:tc>
          <w:tcPr>
            <w:tcW w:w="1601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단위업무</w:t>
            </w:r>
          </w:p>
        </w:tc>
        <w:tc>
          <w:tcPr>
            <w:tcW w:w="4212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전 결 사 항</w:t>
            </w:r>
          </w:p>
        </w:tc>
        <w:tc>
          <w:tcPr>
            <w:tcW w:w="2445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전결권자</w:t>
            </w:r>
          </w:p>
        </w:tc>
        <w:tc>
          <w:tcPr>
            <w:tcW w:w="814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원장</w:t>
            </w:r>
          </w:p>
        </w:tc>
      </w:tr>
      <w:tr>
        <w:trPr>
          <w:trHeight w:val="654"/>
          <w:tblHeader/>
        </w:trPr>
        <w:tc>
          <w:tcPr>
            <w:tcW w:w="1601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4212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담당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5"/>
                <w:w w:val="90"/>
                <w:sz w:val="22"/>
              </w:rPr>
              <w:t>연구사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11"/>
                <w:w w:val="80"/>
                <w:sz w:val="22"/>
              </w:rPr>
              <w:t>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소장</w:t>
            </w:r>
          </w:p>
        </w:tc>
        <w:tc>
          <w:tcPr>
            <w:tcW w:w="814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</w:tcPr>
          <w:p/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기본계획</w:t>
            </w:r>
          </w:p>
        </w:tc>
        <w:tc>
          <w:tcPr>
            <w:tcW w:w="42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문화원 운영 기본 정책 및 방침의 결정</w:t>
            </w: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사업계획의 수립 및 변경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세부추진계획 수립 및 시행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통보, 조회, 공고 등 일반적인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직제 및 정원 변경에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예산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기본예산 편성 및 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2. </w:t>
            </w:r>
            <w:r>
              <w:rPr>
                <w:rFonts w:ascii="조선가는고딕" w:eastAsia="조선가는고딕"/>
                <w:spacing w:val="-1"/>
                <w:sz w:val="22"/>
              </w:rPr>
              <w:t>부서별(사업별) 예산 편성 및 운용(배정)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예산 이용 및 전용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추경예산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예비비 사용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출연금 및 수익금 운용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결산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결산보고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분기정산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월계표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원인행위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공사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1,000만원 이상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1,000만원 미만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물품 제조ㆍ구매ㆍ수리, 용역ㆍ기타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1,000만원 이상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30만원 이상 1,000만원 미만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30만원 미만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3. </w:t>
            </w:r>
            <w:r>
              <w:rPr>
                <w:rFonts w:ascii="조선가는고딕" w:eastAsia="조선가는고딕"/>
                <w:spacing w:val="-8"/>
                <w:sz w:val="22"/>
              </w:rPr>
              <w:t>인건비, 복리후생비 등 인건비성 경비 집행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업무추진비, 기관운영비 집행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5. </w:t>
            </w:r>
            <w:r>
              <w:rPr>
                <w:rFonts w:ascii="조선가는고딕" w:eastAsia="조선가는고딕"/>
                <w:spacing w:val="-8"/>
                <w:w w:val="90"/>
                <w:sz w:val="22"/>
              </w:rPr>
              <w:t>기타 경상적 경비 집행, 일상경비 신청 및 정산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30만원 이상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30만원 미만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01"/>
        <w:gridCol w:w="4212"/>
        <w:gridCol w:w="815"/>
        <w:gridCol w:w="815"/>
        <w:gridCol w:w="815"/>
        <w:gridCol w:w="814"/>
      </w:tblGrid>
      <w:tr>
        <w:trPr>
          <w:trHeight w:val="390"/>
          <w:tblHeader/>
        </w:trPr>
        <w:tc>
          <w:tcPr>
            <w:tcW w:w="1601" w:type="dxa"/>
            <w:vMerge w:val="restart"/>
            <w:tcBorders>
              <w:top w:val="single" w:color="000000" w:sz="9"/>
              <w:left w:val="single" w:color="000000" w:sz="9"/>
              <w:bottom w:val="double" w:color="000000" w:sz="5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단위업무</w:t>
            </w:r>
          </w:p>
        </w:tc>
        <w:tc>
          <w:tcPr>
            <w:tcW w:w="4212" w:type="dxa"/>
            <w:vMerge w:val="restart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전 결 사 항</w:t>
            </w:r>
          </w:p>
        </w:tc>
        <w:tc>
          <w:tcPr>
            <w:tcW w:w="2445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전결권자</w:t>
            </w:r>
          </w:p>
        </w:tc>
        <w:tc>
          <w:tcPr>
            <w:tcW w:w="814" w:type="dxa"/>
            <w:vMerge w:val="restart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원장</w:t>
            </w:r>
          </w:p>
        </w:tc>
      </w:tr>
      <w:tr>
        <w:trPr>
          <w:trHeight w:val="654"/>
          <w:tblHeader/>
        </w:trPr>
        <w:tc>
          <w:tcPr>
            <w:tcW w:w="1601" w:type="dxa"/>
            <w:vMerge/>
            <w:tcBorders>
              <w:top w:val="single" w:color="000000" w:sz="9"/>
              <w:left w:val="single" w:color="000000" w:sz="9"/>
              <w:bottom w:val="double" w:color="000000" w:sz="5"/>
              <w:right w:val="single" w:color="000000" w:sz="3"/>
            </w:tcBorders>
          </w:tcPr>
          <w:p/>
        </w:tc>
        <w:tc>
          <w:tcPr>
            <w:tcW w:w="4212" w:type="dxa"/>
            <w:vMerge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담당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5"/>
                <w:w w:val="90"/>
                <w:sz w:val="22"/>
              </w:rPr>
              <w:t>연구사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11"/>
                <w:w w:val="80"/>
                <w:sz w:val="22"/>
              </w:rPr>
              <w:t>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소장</w:t>
            </w:r>
          </w:p>
        </w:tc>
        <w:tc>
          <w:tcPr>
            <w:tcW w:w="814" w:type="dxa"/>
            <w:vMerge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9"/>
            </w:tcBorders>
          </w:tcPr>
          <w:p/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계약</w:t>
            </w:r>
          </w:p>
        </w:tc>
        <w:tc>
          <w:tcPr>
            <w:tcW w:w="4212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입찰공고 및 등록ㆍ조서</w:t>
            </w:r>
          </w:p>
        </w:tc>
        <w:tc>
          <w:tcPr>
            <w:tcW w:w="81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원가계산 의뢰 및 예정가격 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계약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1,000만원 이상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1,000만원 미만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납품(공사 준공)검사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조달물품 구매 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실적증명 발급 등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구입과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지출결의서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원인행위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1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출납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수입 및 지출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회계결의서에 의한 수입ㆍ지출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회계전표 및 대장정리, 지출관리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세무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국세 및 지방세 신고ㆍ납부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부가세, 소득세, 법인세 등 신고ㆍ납부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각종 증명발급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인사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기본계획 수립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세부계획 수립 및 시행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직원 채용 및 심사에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보직 및 전보, 승진에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파견, 면직, 포상, 징계 등에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근무성적평가에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7. 직원표창 및 추천, 시상에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8. 인사서류 기록 및 유지관리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9. 재직, 경력증명 발급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10. 계약직 근로자의 재계약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11. 징계위원회 운영 및 관리에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01"/>
        <w:gridCol w:w="4212"/>
        <w:gridCol w:w="815"/>
        <w:gridCol w:w="815"/>
        <w:gridCol w:w="815"/>
        <w:gridCol w:w="814"/>
      </w:tblGrid>
      <w:tr>
        <w:trPr>
          <w:trHeight w:val="390"/>
          <w:tblHeader/>
        </w:trPr>
        <w:tc>
          <w:tcPr>
            <w:tcW w:w="1601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단위업무</w:t>
            </w:r>
          </w:p>
        </w:tc>
        <w:tc>
          <w:tcPr>
            <w:tcW w:w="4212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전 결 사 항</w:t>
            </w:r>
          </w:p>
        </w:tc>
        <w:tc>
          <w:tcPr>
            <w:tcW w:w="2445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전결권자</w:t>
            </w:r>
          </w:p>
        </w:tc>
        <w:tc>
          <w:tcPr>
            <w:tcW w:w="814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원장</w:t>
            </w:r>
          </w:p>
        </w:tc>
      </w:tr>
      <w:tr>
        <w:trPr>
          <w:trHeight w:val="654"/>
          <w:tblHeader/>
        </w:trPr>
        <w:tc>
          <w:tcPr>
            <w:tcW w:w="1601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4212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담당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5"/>
                <w:w w:val="90"/>
                <w:sz w:val="22"/>
              </w:rPr>
              <w:t>연구사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11"/>
                <w:w w:val="80"/>
                <w:sz w:val="22"/>
              </w:rPr>
              <w:t>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소장</w:t>
            </w:r>
          </w:p>
        </w:tc>
        <w:tc>
          <w:tcPr>
            <w:tcW w:w="814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</w:tcPr>
          <w:p/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복무</w:t>
            </w:r>
          </w:p>
        </w:tc>
        <w:tc>
          <w:tcPr>
            <w:tcW w:w="4212" w:type="dxa"/>
            <w:tcBorders>
              <w:top w:val="double" w:color="000000" w:sz="4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근무상황관리</w:t>
            </w: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double" w:color="000000" w:sz="4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사무국장, 소장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팀장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다. 팀원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국내외 출장 명령 및 복명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가. 국외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타 시ㆍ도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나. 국내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  1) 사무국장, 소장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  2) 팀장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 xml:space="preserve">    3) 팀원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조직관리 및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이사회 관련사항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법인 정관 변경에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법인 기본재산에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법인 등기에 관한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직제 및 정원 변경에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이사회 소집, 안건결정 및 결과보고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6. </w:t>
            </w:r>
            <w:r>
              <w:rPr>
                <w:rFonts w:ascii="조선가는고딕" w:eastAsia="조선가는고딕"/>
                <w:spacing w:val="-2"/>
                <w:sz w:val="22"/>
              </w:rPr>
              <w:t>이사회 임원의 위ㆍ해촉에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7. </w:t>
            </w:r>
            <w:r>
              <w:rPr>
                <w:rFonts w:ascii="조선가는고딕" w:eastAsia="조선가는고딕"/>
                <w:spacing w:val="-5"/>
                <w:sz w:val="22"/>
              </w:rPr>
              <w:t>법인 및 이사회 운영 관리의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제규정 등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1. </w:t>
            </w:r>
            <w:r>
              <w:rPr>
                <w:rFonts w:ascii="조선가는고딕" w:eastAsia="조선가는고딕"/>
                <w:spacing w:val="-11"/>
                <w:sz w:val="22"/>
              </w:rPr>
              <w:t>규정ㆍ규칙의 제정 및 개ㆍ폐에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지침의 제청 및 개ㆍ폐에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3. </w:t>
            </w:r>
            <w:r>
              <w:rPr>
                <w:rFonts w:ascii="조선가는고딕" w:eastAsia="조선가는고딕"/>
                <w:spacing w:val="-10"/>
                <w:sz w:val="22"/>
              </w:rPr>
              <w:t>규정, 규칙 및 지침 관리의 일반적인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인장 및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법인카드 관리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인장의 각인 및 폐기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인장의 등록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인장의 보관 및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법인카드 발급 및 폐기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법인카드 보관 및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01"/>
        <w:gridCol w:w="4212"/>
        <w:gridCol w:w="815"/>
        <w:gridCol w:w="815"/>
        <w:gridCol w:w="815"/>
        <w:gridCol w:w="814"/>
      </w:tblGrid>
      <w:tr>
        <w:trPr>
          <w:trHeight w:val="390"/>
          <w:tblHeader/>
        </w:trPr>
        <w:tc>
          <w:tcPr>
            <w:tcW w:w="1601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단위업무</w:t>
            </w:r>
          </w:p>
        </w:tc>
        <w:tc>
          <w:tcPr>
            <w:tcW w:w="4212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전 결 사 항</w:t>
            </w:r>
          </w:p>
        </w:tc>
        <w:tc>
          <w:tcPr>
            <w:tcW w:w="2445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전결권자</w:t>
            </w:r>
          </w:p>
        </w:tc>
        <w:tc>
          <w:tcPr>
            <w:tcW w:w="814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원장</w:t>
            </w:r>
          </w:p>
        </w:tc>
      </w:tr>
      <w:tr>
        <w:trPr>
          <w:trHeight w:val="654"/>
          <w:tblHeader/>
        </w:trPr>
        <w:tc>
          <w:tcPr>
            <w:tcW w:w="1601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4212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담당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5"/>
                <w:w w:val="90"/>
                <w:sz w:val="22"/>
              </w:rPr>
              <w:t>연구사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11"/>
                <w:w w:val="80"/>
                <w:sz w:val="22"/>
              </w:rPr>
              <w:t>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소장</w:t>
            </w:r>
          </w:p>
        </w:tc>
        <w:tc>
          <w:tcPr>
            <w:tcW w:w="814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</w:tcPr>
          <w:p/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문서관리</w:t>
            </w:r>
          </w:p>
        </w:tc>
        <w:tc>
          <w:tcPr>
            <w:tcW w:w="42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(전자)문서 접수 및 분류</w:t>
            </w: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(전자)문서 발송 및 보안, 통제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보존문서의 인계ㆍ폐기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보존문서 및 각종 대장관리 지정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일반서무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원장 지시사항 처리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부서 복무관리 및 대장점검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공용차량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비상연락망 구축 및 운영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우편물 접수 및 배포, 대장관리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사무공간 정비 및 소모품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물품관리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재물조사 및 물품관리 지정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불용 결정 및 손ㆍ망실처리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도서구매, 비품, 소모품 청구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구매물품 검수 및 대장관리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정보공개 등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정보공개 접수 및 통보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정보공개 여부 결정, 이송 및 시행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개인정보보호 등 일반 처리사항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법적쟁송 등에 관한 사항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주요사항에 대한 방침 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일반사항 및 소송 집행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일반적인 법률자문 결정 및 의뢰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관련 법률 개정사항 검토 전달 공유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직원후생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사회보험 가입 및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보험료 징수 및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직원의 건강진단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4. </w:t>
            </w:r>
            <w:r>
              <w:rPr>
                <w:rFonts w:ascii="조선가는고딕" w:eastAsia="조선가는고딕"/>
                <w:spacing w:val="-7"/>
                <w:sz w:val="22"/>
              </w:rPr>
              <w:t>산재보험 등 업무상 재해보상에 관한 업무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노무관리에 관한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홈페이지 및 전산관리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홈페이지 구축계획 수립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홈페이지 유지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전산시스템 구축계획 수립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전산시스템 관리 및 프로그램 구매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01"/>
        <w:gridCol w:w="4212"/>
        <w:gridCol w:w="815"/>
        <w:gridCol w:w="815"/>
        <w:gridCol w:w="815"/>
        <w:gridCol w:w="814"/>
      </w:tblGrid>
      <w:tr>
        <w:trPr>
          <w:trHeight w:val="390"/>
          <w:tblHeader/>
        </w:trPr>
        <w:tc>
          <w:tcPr>
            <w:tcW w:w="1601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단위업무</w:t>
            </w:r>
          </w:p>
        </w:tc>
        <w:tc>
          <w:tcPr>
            <w:tcW w:w="4212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전 결 사 항</w:t>
            </w:r>
          </w:p>
        </w:tc>
        <w:tc>
          <w:tcPr>
            <w:tcW w:w="2445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전결권자</w:t>
            </w:r>
          </w:p>
        </w:tc>
        <w:tc>
          <w:tcPr>
            <w:tcW w:w="814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원장</w:t>
            </w:r>
          </w:p>
        </w:tc>
      </w:tr>
      <w:tr>
        <w:trPr>
          <w:trHeight w:val="654"/>
          <w:tblHeader/>
        </w:trPr>
        <w:tc>
          <w:tcPr>
            <w:tcW w:w="1601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4212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담당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5"/>
                <w:w w:val="90"/>
                <w:sz w:val="22"/>
              </w:rPr>
              <w:t>연구사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pacing w:val="-11"/>
                <w:w w:val="80"/>
                <w:sz w:val="22"/>
              </w:rPr>
              <w:t>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소장</w:t>
            </w:r>
          </w:p>
        </w:tc>
        <w:tc>
          <w:tcPr>
            <w:tcW w:w="814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</w:tcPr>
          <w:p/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홍보</w:t>
            </w:r>
          </w:p>
        </w:tc>
        <w:tc>
          <w:tcPr>
            <w:tcW w:w="42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문화원 홍보 기본계획 수립</w:t>
            </w: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언론매체 협조 및 보도자료 작성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홍보매체 개발 및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문화원 홍보물 보관 및 배포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공모 및 보조사업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1. </w:t>
            </w:r>
            <w:r>
              <w:rPr>
                <w:rFonts w:ascii="조선가는고딕" w:eastAsia="조선가는고딕"/>
                <w:spacing w:val="-8"/>
                <w:sz w:val="22"/>
              </w:rPr>
              <w:t>기본 사업계획 수립 및 예산변경, 결과보고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세부 사업계획 수립 및 시행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공모 및 지원, 교부 결정사항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sz w:val="22"/>
              </w:rPr>
              <w:t xml:space="preserve">4. </w:t>
            </w:r>
            <w:r>
              <w:rPr>
                <w:rFonts w:ascii="조선가는고딕" w:eastAsia="조선가는고딕"/>
                <w:spacing w:val="-3"/>
                <w:sz w:val="22"/>
              </w:rPr>
              <w:t>공고, 회의, 보고, 점검 등 일반 추진사항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sz w:val="22"/>
              </w:rPr>
              <w:t>시설 위ㆍ수탁 및 운영 관리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시설 위ㆍ수탁 체결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기본 운영계획 수립 및 변경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시설물 점검 및 개보수, 유지 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대관 및 시설물 사용 허가에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프로그램 운영에 관한 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시설운영 및 관리업무에 관한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7. 시설물 보안, 운영 및 물품관리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연구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장단기 연구사업계획의 수립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연구사업계획의 변경 및 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3. 연구보고서 및 간행물 발간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4. 과제별 연구진 구성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5. 과제별 회의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6. 연구용역의 위ㆍ수탁 결정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7. 연구용역의 계약 체결 및 결과 보고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6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가는고딕"/>
                <w:sz w:val="22"/>
              </w:rPr>
              <w:t>민원처리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1. 중요사항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</w:tr>
      <w:tr>
        <w:trPr>
          <w:trHeight w:val="390"/>
        </w:trPr>
        <w:tc>
          <w:tcPr>
            <w:tcW w:w="16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z w:val="22"/>
              </w:rPr>
              <w:t>2. 일반사항</w:t>
            </w: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8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/>
                <w:sz w:val="22"/>
              </w:rPr>
              <w:t>○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>
          <w:rFonts w:ascii="한컴바탕" w:eastAsia="한컴바탕"/>
          <w:color w:val="000000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even"/>
      <w:headerReference r:id="rId3" w:type="even"/>
      <w:headerReference r:id="rId4" w:type="even"/>
      <w:footerReference r:id="rId2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4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49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7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7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7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76.xml"  /><Relationship Id="rId2" Type="http://schemas.openxmlformats.org/officeDocument/2006/relationships/footer" Target="footer48.xml"  /><Relationship Id="rId3" Type="http://schemas.openxmlformats.org/officeDocument/2006/relationships/header" Target="header77.xml"  /><Relationship Id="rId4" Type="http://schemas.openxmlformats.org/officeDocument/2006/relationships/header" Target="header78.xml"  /><Relationship Id="rId5" Type="http://schemas.openxmlformats.org/officeDocument/2006/relationships/footer" Target="footer49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2023-05-24T06:39:45.713</dcterms:modified>
  <cp:version>0501.0100.01</cp:version>
</cp:coreProperties>
</file>