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ind w:left="260" w:hanging="260"/>
        <w:jc w:val="center"/>
      </w:pPr>
      <w:bookmarkStart w:id="1" w:name="임원선출에 관한 총회 운영 규정"/>
      <w:r>
        <w:rPr>
          <w:rFonts w:ascii="조선견고딕" w:eastAsia="조선견고딕"/>
          <w:sz w:val="32"/>
          <w:shd w:val="clear" w:color="000000"/>
        </w:rPr>
        <w:t>임원선출에 관한 총회 운영 규정</w:t>
      </w:r>
      <w:bookmarkEnd w:id="1"/>
    </w:p>
    <w:p>
      <w:pPr>
        <w:pStyle w:val="23"/>
        <w:widowControl w:val="off"/>
        <w:wordWrap w:val="1"/>
        <w:rPr>
          <w:rFonts w:ascii="조선신명조" w:eastAsia="조선신명조"/>
          <w:color w:val="000000"/>
          <w:shd w:val="clear" w:fill="ffffff"/>
        </w:rPr>
      </w:pPr>
    </w:p>
    <w:p>
      <w:pPr>
        <w:pStyle w:val="23"/>
        <w:widowControl w:val="off"/>
        <w:wordWrap w:val="1"/>
        <w:jc w:val="right"/>
      </w:pPr>
      <w:r>
        <w:rPr>
          <w:rFonts w:ascii="조선신명조" w:eastAsia="조선신명조"/>
          <w:shd w:val="clear" w:fill="ffffff"/>
        </w:rPr>
        <w:t>제정  2006. 12. 15.  (규정 제2호)</w:t>
      </w:r>
    </w:p>
    <w:p>
      <w:pPr>
        <w:pStyle w:val="23"/>
        <w:widowControl w:val="off"/>
        <w:wordWrap w:val="1"/>
        <w:jc w:val="right"/>
      </w:pPr>
      <w:r>
        <w:rPr>
          <w:rFonts w:ascii="조선신명조" w:eastAsia="조선신명조"/>
          <w:shd w:val="clear" w:fill="ffffff"/>
        </w:rPr>
        <w:t>일부개정  2008. 10. 30.  (규정 제4호)</w:t>
      </w:r>
    </w:p>
    <w:p>
      <w:pPr>
        <w:pStyle w:val="23"/>
        <w:widowControl w:val="off"/>
        <w:wordWrap w:val="1"/>
        <w:jc w:val="right"/>
      </w:pPr>
      <w:r>
        <w:rPr>
          <w:rFonts w:ascii="조선신명조" w:eastAsia="조선신명조"/>
          <w:shd w:val="clear" w:fill="ffffff"/>
        </w:rPr>
        <w:t>일부개정  2015.  2. 13.  (규정 제9호)</w:t>
      </w:r>
    </w:p>
    <w:p>
      <w:pPr>
        <w:pStyle w:val="23"/>
        <w:widowControl w:val="off"/>
        <w:wordWrap w:val="1"/>
        <w:jc w:val="right"/>
      </w:pPr>
      <w:r>
        <w:rPr>
          <w:rFonts w:ascii="조선신명조" w:eastAsia="조선신명조"/>
          <w:shd w:val="clear" w:fill="ffffff"/>
        </w:rPr>
        <w:t>일부개정  2016.  1. 28. (규정 제13호)</w:t>
      </w:r>
    </w:p>
    <w:p>
      <w:pPr>
        <w:pStyle w:val="23"/>
        <w:widowControl w:val="off"/>
        <w:wordWrap w:val="1"/>
        <w:jc w:val="right"/>
      </w:pPr>
      <w:r>
        <w:rPr>
          <w:rFonts w:ascii="조선신명조" w:eastAsia="조선신명조"/>
          <w:shd w:val="clear" w:fill="ffffff"/>
        </w:rPr>
        <w:t>일부개정  2020.  1.  6. (규정 제26호)</w:t>
      </w:r>
    </w:p>
    <w:p>
      <w:pPr>
        <w:pStyle w:val="23"/>
        <w:widowControl w:val="off"/>
        <w:wordWrap w:val="1"/>
        <w:jc w:val="right"/>
      </w:pPr>
      <w:r>
        <w:rPr>
          <w:rFonts w:ascii="조선신명조" w:eastAsia="조선신명조"/>
          <w:shd w:val="clear" w:fill="ffffff"/>
        </w:rPr>
        <w:t>일부개정  2022.  2. 21. (규정 제51호)</w:t>
      </w:r>
    </w:p>
    <w:p>
      <w:pPr>
        <w:pStyle w:val="23"/>
        <w:widowControl w:val="off"/>
        <w:wordWrap w:val="1"/>
        <w:jc w:val="right"/>
      </w:pPr>
      <w:r>
        <w:rPr>
          <w:rFonts w:ascii="조선신명조" w:eastAsia="조선신명조"/>
          <w:shd w:val="clear" w:fill="ffffff"/>
        </w:rPr>
        <w:t>일부개정  2025.  2. 14. (규정 제69호)</w:t>
      </w:r>
    </w:p>
    <w:p>
      <w:pPr>
        <w:pStyle w:val="23"/>
        <w:widowControl w:val="off"/>
        <w:wordWrap w:val="1"/>
        <w:rPr>
          <w:rFonts w:ascii="조선신명조" w:eastAsia="조선신명조"/>
          <w:color w:val="000000"/>
          <w:shd w:val="clear" w:fill="ffffff"/>
        </w:rPr>
      </w:pPr>
    </w:p>
    <w:p>
      <w:pPr>
        <w:pStyle w:val="23"/>
        <w:widowControl w:val="off"/>
        <w:wordWrap w:val="1"/>
        <w:ind w:left="255" w:hanging="255"/>
      </w:pPr>
      <w:r>
        <w:rPr>
          <w:rFonts w:ascii="조선굵은고딕" w:eastAsia="조선굵은고딕"/>
          <w:shd w:val="clear" w:fill="ffffff"/>
        </w:rPr>
        <w:t>제1조(목적)</w:t>
      </w:r>
      <w:r>
        <w:rPr>
          <w:rFonts w:ascii="조선신명조" w:eastAsia="조선신명조"/>
          <w:shd w:val="clear" w:fill="ffffff"/>
        </w:rPr>
        <w:t xml:space="preserve"> 이 규정은 춘천문화원 정관 제12조, 제13조 제1항 내지 제3항에 따라 총회에서 선출되는 춘천문화원 임원의 선임절차에 필요한 사항을 정하여 임원 선임의 공정성을 확보함을 목적으로 한다.</w:t>
      </w:r>
    </w:p>
    <w:p>
      <w:pPr>
        <w:pStyle w:val="23"/>
        <w:widowControl w:val="off"/>
        <w:ind w:left="255" w:hanging="255"/>
      </w:pPr>
      <w:r>
        <w:rPr>
          <w:rFonts w:ascii="조선굵은고딕" w:eastAsia="조선굵은고딕"/>
          <w:shd w:val="clear" w:fill="ffffff"/>
        </w:rPr>
        <w:t>제2조(적용범위)</w:t>
      </w:r>
      <w:r>
        <w:rPr>
          <w:rFonts w:ascii="조선신명조" w:eastAsia="조선신명조"/>
          <w:shd w:val="clear" w:fill="ffffff"/>
        </w:rPr>
        <w:t xml:space="preserve"> 이 규정은 춘천문화원의 임원 중 정관 제12조, 제13조 제1항 내지 제3항에 따라 총회에서 원장을 선임하는 경우에 적용하며, 다음 각 호의 경우에는 적용하지 아니한다.</w:t>
      </w:r>
    </w:p>
    <w:p>
      <w:pPr>
        <w:pStyle w:val="25"/>
        <w:widowControl w:val="off"/>
      </w:pPr>
      <w:r>
        <w:rPr>
          <w:rFonts w:ascii="조선신명조" w:eastAsia="조선신명조"/>
          <w:shd w:val="clear" w:fill="ffffff"/>
        </w:rPr>
        <w:t xml:space="preserve">  1. 정관 제13조 제5항에 따라 원장의 지명으로 선임되는 임원의 경우</w:t>
      </w:r>
    </w:p>
    <w:p>
      <w:pPr>
        <w:pStyle w:val="25"/>
        <w:widowControl w:val="off"/>
        <w:ind w:left="487" w:hanging="487"/>
      </w:pPr>
      <w:r>
        <w:rPr>
          <w:rFonts w:ascii="조선신명조" w:eastAsia="조선신명조"/>
          <w:shd w:val="clear" w:fill="ffffff"/>
        </w:rPr>
        <w:t xml:space="preserve">  2. 정관 제24조, 제30조에 따라 총회에서 위임받아 이사회에서 선임되는 임원의 경우</w:t>
      </w:r>
    </w:p>
    <w:p>
      <w:pPr>
        <w:pStyle w:val="23"/>
        <w:widowControl w:val="off"/>
        <w:ind w:left="255" w:hanging="255"/>
      </w:pPr>
      <w:r>
        <w:rPr>
          <w:rFonts w:ascii="조선굵은고딕" w:eastAsia="조선굵은고딕"/>
          <w:shd w:val="clear" w:fill="ffffff"/>
        </w:rPr>
        <w:t>제3조(공정의무)</w:t>
      </w:r>
      <w:r>
        <w:rPr>
          <w:rFonts w:ascii="조선신명조" w:eastAsia="조선신명조"/>
          <w:shd w:val="clear" w:fill="ffffff"/>
        </w:rPr>
        <w:t xml:space="preserve"> 이 규정에 따라 선임된 임원선거관리위원회 위원과 선거사무요원은 규정을 준수하고, 공정하게 업무를 처리하여야 한다.</w:t>
      </w:r>
    </w:p>
    <w:p>
      <w:pPr>
        <w:pStyle w:val="23"/>
        <w:widowControl w:val="off"/>
        <w:ind w:left="255" w:hanging="255"/>
      </w:pPr>
      <w:r>
        <w:rPr>
          <w:rFonts w:ascii="조선굵은고딕" w:eastAsia="조선굵은고딕"/>
          <w:shd w:val="clear" w:fill="ffffff"/>
        </w:rPr>
        <w:t>제4조(임원선거관리위원회의 구성)</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총회에서의 임원선임절차(이하 “임원선거”라 한다)가 공정하게 진행될 수 있도록 임원선거관리위원회를 둔다. 임원선거와 관련한 행정사무는 본원 사무국에 위임하여 집행토록 한다.</w:t>
      </w:r>
    </w:p>
    <w:p>
      <w:pPr>
        <w:pStyle w:val="24"/>
        <w:widowControl w:val="off"/>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정관 제12조, 제13조 제1항 내지 제2항에 따라 종전 임원의 임기만료를 이유로 신규임원을 선임할 경우에는 총회일로부터 4주 전에 임원선거관리위원회를 구성한다.</w:t>
      </w:r>
    </w:p>
    <w:p>
      <w:pPr>
        <w:pStyle w:val="24"/>
        <w:widowControl w:val="off"/>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정관 제12조, 제13조 제3항에 따라 보궐임원을 선임하는 경우에는 임원궐위상태 발생일로부터 4주 이내에 보궐임원선거관리위원회를 둔다.</w:t>
      </w:r>
    </w:p>
    <w:p>
      <w:pPr>
        <w:pStyle w:val="23"/>
        <w:widowControl w:val="off"/>
        <w:ind w:left="255" w:hanging="255"/>
      </w:pPr>
      <w:r>
        <w:rPr>
          <w:rFonts w:ascii="조선굵은고딕" w:eastAsia="조선굵은고딕"/>
          <w:shd w:val="clear" w:fill="ffffff"/>
        </w:rPr>
        <w:t>제5조(위원의 위촉 및 임기)</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전조의 규정에 의하여 구성되는 위원회 위원은 임원 또는 회원 중에서 5인 내지 7인을 이사회에서 선출하여 본인의 동의를 받아 원장이 위촉하고, 연장자가 위원장을 맡는다. 단, 임원선거에 입후보하여 임원으로 선출되고자 하는 자는 선거관리위원으로 위촉할 수 없다. </w:t>
      </w:r>
      <w:r>
        <w:rPr>
          <w:rFonts w:ascii="조선신명조" w:eastAsia="조선신명조"/>
          <w:color w:val="0000ff"/>
          <w:shd w:val="clear" w:fill="ffffff"/>
        </w:rPr>
        <w:t>&lt;개정 2016. 1. 28.&gt;</w:t>
      </w:r>
    </w:p>
    <w:p>
      <w:pPr>
        <w:pStyle w:val="24"/>
        <w:widowControl w:val="off"/>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위원의 임기는 임원선임에 따른 법인등기를 완료하여 임원선임절차가 종료될 때까지로 한다.</w:t>
      </w:r>
    </w:p>
    <w:p>
      <w:pPr>
        <w:pStyle w:val="23"/>
        <w:widowControl w:val="off"/>
      </w:pPr>
      <w:r>
        <w:rPr>
          <w:rFonts w:ascii="조선굵은고딕" w:eastAsia="조선굵은고딕"/>
          <w:shd w:val="clear" w:fill="ffffff"/>
        </w:rPr>
        <w:t>제6조(위원회의 직무)</w:t>
      </w:r>
      <w:r>
        <w:rPr>
          <w:rFonts w:ascii="조선신명조" w:eastAsia="조선신명조"/>
          <w:shd w:val="clear" w:fill="ffffff"/>
        </w:rPr>
        <w:t xml:space="preserve"> 위원회는 다음 각 호의 사무를 관장ㆍ처리한다.</w:t>
      </w:r>
    </w:p>
    <w:p>
      <w:pPr>
        <w:pStyle w:val="25"/>
        <w:widowControl w:val="off"/>
      </w:pPr>
      <w:r>
        <w:rPr>
          <w:rFonts w:ascii="조선신명조" w:eastAsia="조선신명조"/>
          <w:shd w:val="clear" w:fill="ffffff"/>
        </w:rPr>
        <w:t xml:space="preserve">  1. 선거인 명부의 작성</w:t>
      </w:r>
    </w:p>
    <w:p>
      <w:pPr>
        <w:pStyle w:val="25"/>
        <w:widowControl w:val="off"/>
      </w:pPr>
      <w:r>
        <w:rPr>
          <w:rFonts w:ascii="조선신명조" w:eastAsia="조선신명조"/>
          <w:shd w:val="clear" w:fill="ffffff"/>
        </w:rPr>
        <w:t xml:space="preserve">  2. 후보자등록사무</w:t>
      </w:r>
    </w:p>
    <w:p>
      <w:pPr>
        <w:pStyle w:val="25"/>
        <w:widowControl w:val="off"/>
      </w:pPr>
      <w:r>
        <w:rPr>
          <w:rFonts w:ascii="조선신명조" w:eastAsia="조선신명조"/>
          <w:shd w:val="clear" w:fill="ffffff"/>
        </w:rPr>
        <w:t xml:space="preserve">  3. 선거운동과 계도에 관한 사항</w:t>
      </w:r>
    </w:p>
    <w:p>
      <w:pPr>
        <w:pStyle w:val="25"/>
        <w:widowControl w:val="off"/>
      </w:pPr>
      <w:r>
        <w:rPr>
          <w:rFonts w:ascii="조선신명조" w:eastAsia="조선신명조"/>
          <w:shd w:val="clear" w:fill="ffffff"/>
        </w:rPr>
        <w:t xml:space="preserve">  4. 투표 및 개표관리에 관한 사항</w:t>
      </w:r>
    </w:p>
    <w:p>
      <w:pPr>
        <w:pStyle w:val="25"/>
        <w:widowControl w:val="off"/>
      </w:pPr>
      <w:r>
        <w:rPr>
          <w:rFonts w:ascii="조선신명조" w:eastAsia="조선신명조"/>
          <w:shd w:val="clear" w:fill="ffffff"/>
        </w:rPr>
        <w:t xml:space="preserve">  5. 당선인의 결정</w:t>
      </w:r>
    </w:p>
    <w:p>
      <w:pPr>
        <w:pStyle w:val="25"/>
        <w:widowControl w:val="off"/>
      </w:pPr>
      <w:r>
        <w:rPr>
          <w:rFonts w:ascii="조선신명조" w:eastAsia="조선신명조"/>
          <w:shd w:val="clear" w:fill="ffffff"/>
        </w:rPr>
        <w:t xml:space="preserve">  6. 선거에 대한 이의신청ㆍ기타의 심사ㆍ처분 및 규정의 유권해석</w:t>
      </w:r>
    </w:p>
    <w:p>
      <w:pPr>
        <w:pStyle w:val="25"/>
        <w:widowControl w:val="off"/>
        <w:ind w:left="489" w:hanging="489"/>
      </w:pPr>
      <w:r>
        <w:rPr>
          <w:rFonts w:ascii="조선신명조" w:eastAsia="조선신명조"/>
          <w:shd w:val="clear" w:fill="ffffff"/>
        </w:rPr>
        <w:t xml:space="preserve">  7. 선거관리에 관하여 이 규정에 정하지 아니한 사항의 최종결정권 행사</w:t>
      </w:r>
    </w:p>
    <w:p>
      <w:pPr>
        <w:pStyle w:val="25"/>
        <w:widowControl w:val="off"/>
      </w:pPr>
      <w:r>
        <w:rPr>
          <w:rFonts w:ascii="조선신명조" w:eastAsia="조선신명조"/>
          <w:shd w:val="clear" w:fill="ffffff"/>
        </w:rPr>
        <w:t xml:space="preserve">  8. 기타 선거관리에 필요한 세부사항</w:t>
      </w:r>
    </w:p>
    <w:p>
      <w:pPr>
        <w:pStyle w:val="23"/>
        <w:widowControl w:val="off"/>
        <w:ind w:left="254" w:hanging="254"/>
      </w:pPr>
      <w:r>
        <w:rPr>
          <w:rFonts w:ascii="조선굵은고딕" w:eastAsia="조선굵은고딕"/>
          <w:shd w:val="clear" w:fill="ffffff"/>
        </w:rPr>
        <w:t>제7조(위원회 운영)</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위원회는 위원장이 소집하며, 위원 3분의 1이상의 요구가 있을 때에는 위원장은 회의를 소집해야 한다.</w:t>
      </w:r>
    </w:p>
    <w:p>
      <w:pPr>
        <w:pStyle w:val="24"/>
        <w:widowControl w:val="off"/>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위원회는 이 규정에 특별히 정한 경우를 제외하고는 재적위원 과반수의 출석과 출석위원 과반수의 찬성으로 의결한다.</w:t>
      </w:r>
    </w:p>
    <w:p>
      <w:pPr>
        <w:pStyle w:val="24"/>
        <w:widowControl w:val="off"/>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위원장은 의결권을 가지며, 가부동수일 때에는 결정권을 갖는다.</w:t>
      </w:r>
    </w:p>
    <w:p>
      <w:pPr>
        <w:pStyle w:val="24"/>
        <w:widowControl w:val="off"/>
      </w:pPr>
      <w:r>
        <w:rPr>
          <w:rFonts w:ascii="조선신명조"/>
          <w:shd w:val="clear" w:fill="ffffff"/>
        </w:rPr>
        <w:t xml:space="preserve">  </w:t>
      </w:r>
      <w:r>
        <w:rPr>
          <w:rFonts w:ascii="조선신명조"/>
          <w:shd w:val="clear" w:fill="ffffff"/>
        </w:rPr>
        <w:t>④</w:t>
      </w:r>
      <w:r>
        <w:rPr>
          <w:rFonts w:ascii="조선신명조" w:eastAsia="조선신명조"/>
          <w:shd w:val="clear" w:fill="ffffff"/>
        </w:rPr>
        <w:t xml:space="preserve"> 위원장의 유고로 그 직무를 수행할 수 없는 경우에는 위원 중에서 임시위원장을 호선하여 직무를 대행케 한다.</w:t>
      </w:r>
    </w:p>
    <w:p>
      <w:pPr>
        <w:pStyle w:val="23"/>
        <w:widowControl w:val="off"/>
        <w:ind w:left="255" w:hanging="255"/>
      </w:pPr>
      <w:r>
        <w:rPr>
          <w:rFonts w:ascii="조선굵은고딕" w:eastAsia="조선굵은고딕"/>
          <w:shd w:val="clear" w:fill="ffffff"/>
        </w:rPr>
        <w:t>제8조(회원의 선거권)</w:t>
      </w:r>
      <w:r>
        <w:rPr>
          <w:rFonts w:ascii="조선신명조" w:eastAsia="조선신명조"/>
          <w:shd w:val="clear" w:fill="ffffff"/>
        </w:rPr>
        <w:t xml:space="preserve"> 정관 제7조에 따라 회원자격을 취득하고, 회원자격을 취득한 날로부터 계속하여 1년 이상 회원자격을 유지한 자에 한하여 선거권을 인정한다. </w:t>
      </w:r>
      <w:r>
        <w:rPr>
          <w:rFonts w:ascii="조선신명조" w:eastAsia="조선신명조"/>
          <w:color w:val="0000ff"/>
          <w:shd w:val="clear" w:fill="ffffff"/>
        </w:rPr>
        <w:t>&lt;개정 2025. 2. 14.&gt;</w:t>
      </w:r>
    </w:p>
    <w:p>
      <w:pPr>
        <w:pStyle w:val="23"/>
        <w:widowControl w:val="off"/>
        <w:ind w:left="255" w:hanging="255"/>
      </w:pPr>
      <w:r>
        <w:rPr>
          <w:rFonts w:ascii="조선굵은고딕" w:eastAsia="조선굵은고딕"/>
          <w:shd w:val="clear" w:fill="ffffff"/>
        </w:rPr>
        <w:t>제9조(회원의 피선거권)</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정관 제7조에 따라 회원자격을 취득하고, 회원자격을 취득한 날로부터 계속하여 1년 이상 회원자격을 유지한 자에 한하여 임원 피선거권을 인정한다.</w:t>
      </w:r>
    </w:p>
    <w:p>
      <w:pPr>
        <w:pStyle w:val="24"/>
        <w:widowControl w:val="off"/>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정관 제13조 제5항에 의거하여 학식과 덕망을 갖춘 외부인사로 이사에 선임된 이사도 이사회의 의결을 받아 원장피선거권을 가질 수 있다. </w:t>
      </w:r>
      <w:r>
        <w:br/>
      </w:r>
      <w:r>
        <w:rPr>
          <w:rFonts w:ascii="조선신명조" w:eastAsia="조선신명조"/>
          <w:color w:val="0000ff"/>
          <w:shd w:val="clear" w:fill="ffffff"/>
        </w:rPr>
        <w:t>&lt;개정 2020. 1. 6.&gt;</w:t>
      </w:r>
    </w:p>
    <w:p>
      <w:pPr>
        <w:pStyle w:val="23"/>
        <w:widowControl w:val="off"/>
        <w:ind w:left="254" w:hanging="254"/>
      </w:pPr>
      <w:r>
        <w:rPr>
          <w:rFonts w:ascii="조선굵은고딕" w:eastAsia="조선굵은고딕"/>
          <w:shd w:val="clear" w:fill="ffffff"/>
        </w:rPr>
        <w:t>제10조(선거공고)</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정관 제12조, 제13조 제1항 내지 제2항에 따라 종전 임원의 임기만료를 이유로 신규임원을 선임할 경우에는 총회일로부터 2주 전에 원장이 총회소집통지 및 공고를 하고, 이에 총회에서 임원선임안건을 상정할 것임을 포함하여야 한다.</w:t>
      </w:r>
    </w:p>
    <w:p>
      <w:pPr>
        <w:pStyle w:val="24"/>
        <w:widowControl w:val="off"/>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정관 제12조, 제13조 제3항에 따라 임원의 궐위에 따른 보궐임원을 선임할 경우에는 궐위상태가 발생한 날로부터 6주 이내에 원장이 보궐임원 선임을 위한 총회소집통지 및 공고를 하고, 이에 총회에서 보궐임원선임안건을 상정할 것임을 포함하되, 총회일은 총회소집통지 및 공고일로부터 2주 이내로 정하여야 한다.</w:t>
      </w:r>
    </w:p>
    <w:p>
      <w:pPr>
        <w:pStyle w:val="24"/>
        <w:widowControl w:val="off"/>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제1항 내지 제2항에 따른 원장의 총회소집 및 공고와 동시에 위원장은 임원선거를 공고한다.</w:t>
      </w:r>
    </w:p>
    <w:p>
      <w:pPr>
        <w:pStyle w:val="24"/>
        <w:widowControl w:val="off"/>
      </w:pPr>
      <w:r>
        <w:rPr>
          <w:rFonts w:ascii="조선신명조"/>
          <w:shd w:val="clear" w:fill="ffffff"/>
        </w:rPr>
        <w:t xml:space="preserve">  </w:t>
      </w:r>
      <w:r>
        <w:rPr>
          <w:rFonts w:ascii="조선신명조"/>
          <w:shd w:val="clear" w:fill="ffffff"/>
        </w:rPr>
        <w:t>④</w:t>
      </w:r>
      <w:r>
        <w:rPr>
          <w:rFonts w:ascii="조선신명조" w:eastAsia="조선신명조"/>
          <w:shd w:val="clear" w:fill="ffffff"/>
        </w:rPr>
        <w:t xml:space="preserve"> 종전 임원의 임기만료를 이유로 인한 총회소집일은 그 임기만료일 전 30일 이후 첫 번째 수요일로 한다. 단, 총회소집일이 법정공휴일인 경우에는 그 다음주의 수요일로 한다. </w:t>
      </w:r>
      <w:r>
        <w:rPr>
          <w:rFonts w:ascii="조선신명조" w:eastAsia="조선신명조"/>
          <w:color w:val="0000ff"/>
          <w:shd w:val="clear" w:fill="ffffff"/>
        </w:rPr>
        <w:t>&lt;신설 2022. 2. 21.&gt;</w:t>
      </w:r>
    </w:p>
    <w:p>
      <w:pPr>
        <w:pStyle w:val="24"/>
        <w:widowControl w:val="off"/>
      </w:pPr>
      <w:r>
        <w:rPr>
          <w:rFonts w:ascii="조선신명조"/>
          <w:shd w:val="clear" w:fill="ffffff"/>
        </w:rPr>
        <w:t xml:space="preserve">  </w:t>
      </w:r>
      <w:r>
        <w:rPr>
          <w:rFonts w:ascii="조선신명조" w:eastAsia="조선신명조"/>
          <w:color w:val="0000ff"/>
          <w:shd w:val="clear" w:fill="ffffff"/>
        </w:rPr>
        <w:t>[전문개정 2016. 1. 28]</w:t>
      </w:r>
    </w:p>
    <w:p>
      <w:pPr>
        <w:pStyle w:val="23"/>
        <w:widowControl w:val="off"/>
        <w:ind w:left="255" w:hanging="255"/>
      </w:pPr>
      <w:r>
        <w:rPr>
          <w:rFonts w:ascii="조선굵은고딕" w:eastAsia="조선굵은고딕"/>
          <w:shd w:val="clear" w:fill="ffffff"/>
        </w:rPr>
        <w:t>제11조(선거인명부)</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위원장은 회원명단을 바탕으로 제10조의 선거공고일을 기준일로 하여 제8조의 선거권을 가지는 회원의 명부(이하 “선거인명부”라 한다)를 작성하여야 한다. 선거인명부 작성업무의 처리에 필요한 경우 위원장은 문화원 사무국장에게 선거인명부 작성에 필요한 일부 사무를 위임할 수 있다.</w:t>
      </w:r>
    </w:p>
    <w:p>
      <w:pPr>
        <w:pStyle w:val="24"/>
        <w:widowControl w:val="off"/>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위원장은 전항에 따라 작성한 선거인명부를 총회일 7일 전까지 공고하고, 선거인명부 공고일로부터 3일간을 선거인명부에 대한 회원의 이의신청기간으로 부여하며, 이의신청기간이 만료일 익일에 확정된 선거인명부를 공고한다.</w:t>
      </w:r>
    </w:p>
    <w:p>
      <w:pPr>
        <w:pStyle w:val="23"/>
        <w:widowControl w:val="off"/>
        <w:ind w:left="255" w:hanging="255"/>
      </w:pPr>
      <w:r>
        <w:rPr>
          <w:rFonts w:ascii="조선굵은고딕" w:eastAsia="조선굵은고딕"/>
          <w:shd w:val="clear" w:fill="ffffff"/>
        </w:rPr>
        <w:t>제12조(후보자등록)</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제9조의 요건을 충족한 회원으로서 총회에서 임원(원장)에 선임되고자 하는 회원은 선거일로부터 소정 서류양식에 의거 2주 전까지 선거관리위원회에 후보자 등록을 신청하여야 한다. </w:t>
      </w:r>
      <w:r>
        <w:rPr>
          <w:rFonts w:ascii="조선신명조" w:eastAsia="조선신명조"/>
          <w:color w:val="0000ff"/>
          <w:shd w:val="clear" w:fill="ffffff"/>
        </w:rPr>
        <w:t>&lt;개정 2016. 1. 28.&gt;</w:t>
      </w:r>
      <w:r>
        <w:br/>
      </w:r>
      <w:r>
        <w:rPr>
          <w:rFonts w:ascii="조선신명조"/>
          <w:shd w:val="clear" w:fill="ffffff"/>
        </w:rPr>
        <w:t>②</w:t>
      </w:r>
      <w:r>
        <w:rPr>
          <w:rFonts w:ascii="조선신명조" w:eastAsia="조선신명조"/>
          <w:shd w:val="clear" w:fill="ffffff"/>
        </w:rPr>
        <w:t xml:space="preserve"> 후보자등록을 신청하는 사람은 등록신청시에 1,000만원의 등록금을 납부하여야 한다. </w:t>
      </w:r>
      <w:r>
        <w:rPr>
          <w:rFonts w:ascii="조선신명조" w:eastAsia="조선신명조"/>
          <w:color w:val="0000ff"/>
          <w:shd w:val="clear" w:fill="ffffff"/>
        </w:rPr>
        <w:t>&lt;신설 2025. 2. 14.&gt;</w:t>
      </w:r>
    </w:p>
    <w:p>
      <w:pPr>
        <w:pStyle w:val="23"/>
        <w:widowControl w:val="off"/>
        <w:ind w:left="255" w:hanging="255"/>
      </w:pPr>
      <w:r>
        <w:rPr>
          <w:rFonts w:ascii="조선굵은고딕" w:eastAsia="조선굵은고딕"/>
          <w:shd w:val="clear" w:fill="ffffff"/>
        </w:rPr>
        <w:t>제13조(후보자 공고 및 투개표 장소)</w:t>
      </w:r>
      <w:r>
        <w:rPr>
          <w:rFonts w:ascii="조선신명조" w:eastAsia="조선신명조"/>
          <w:shd w:val="clear" w:fill="ffffff"/>
        </w:rPr>
        <w:t xml:space="preserve"> 선거관리위원회는 임원선거에 입후보한 회원의 명단을 총회일 7일 전까지 본 문화원 사무국 게시판에 공고한다. </w:t>
      </w:r>
      <w:r>
        <w:br/>
      </w:r>
      <w:r>
        <w:rPr>
          <w:rFonts w:ascii="조선신명조" w:eastAsia="조선신명조"/>
          <w:color w:val="0000ff"/>
          <w:shd w:val="clear" w:fill="ffffff"/>
        </w:rPr>
        <w:t>&lt;개정 2016. 1. 28.&gt;</w:t>
      </w:r>
    </w:p>
    <w:p>
      <w:pPr>
        <w:pStyle w:val="23"/>
        <w:widowControl w:val="off"/>
        <w:ind w:left="255" w:hanging="255"/>
      </w:pPr>
      <w:r>
        <w:rPr>
          <w:rFonts w:ascii="조선굵은고딕" w:eastAsia="조선굵은고딕"/>
          <w:shd w:val="clear" w:fill="ffffff"/>
        </w:rPr>
        <w:t>제14조(투표방법)</w:t>
      </w:r>
      <w:r>
        <w:rPr>
          <w:rFonts w:ascii="조선신명조"/>
          <w:shd w:val="clear" w:fill="ffffff"/>
        </w:rPr>
        <w:t xml:space="preserve"> </w:t>
      </w:r>
      <w:r>
        <w:rPr>
          <w:rFonts w:ascii="조선신명조"/>
          <w:shd w:val="clear" w:fill="ffffff"/>
        </w:rPr>
        <w:t>①</w:t>
      </w:r>
      <w:r>
        <w:rPr>
          <w:rFonts w:ascii="조선신명조" w:eastAsia="조선신명조"/>
          <w:shd w:val="clear" w:fill="ffffff"/>
        </w:rPr>
        <w:t xml:space="preserve"> 임원(원장)선거 입후보자가 복수일 경우에는 무기명 비밀 투표에 의해 출석회원 1인이 1표의 의결권을 행사한다. 단, 정관 제24조 제3항에 따라 불참회원의 의결권은 위임할 수 없다. </w:t>
      </w:r>
      <w:r>
        <w:rPr>
          <w:rFonts w:ascii="조선신명조" w:eastAsia="조선신명조"/>
          <w:color w:val="0000ff"/>
          <w:shd w:val="clear" w:fill="ffffff"/>
        </w:rPr>
        <w:t>&lt;개정 2016. 1. 28.&gt;</w:t>
      </w:r>
    </w:p>
    <w:p>
      <w:pPr>
        <w:pStyle w:val="24"/>
        <w:widowControl w:val="off"/>
      </w:pPr>
      <w:r>
        <w:rPr>
          <w:rFonts w:ascii="조선신명조"/>
          <w:shd w:val="clear" w:fill="ffffff"/>
        </w:rPr>
        <w:t xml:space="preserve">  </w:t>
      </w:r>
      <w:r>
        <w:rPr>
          <w:rFonts w:ascii="조선신명조"/>
          <w:shd w:val="clear" w:fill="ffffff"/>
        </w:rPr>
        <w:t>②</w:t>
      </w:r>
      <w:r>
        <w:rPr>
          <w:rFonts w:ascii="조선신명조" w:eastAsia="조선신명조"/>
          <w:shd w:val="clear" w:fill="ffffff"/>
        </w:rPr>
        <w:t xml:space="preserve"> 전항에 따른 투표결과를 바탕으로 최다 득표자를 당선자로 하되, 후보자의 득표수가 동수일 경우에는 연장자순으로 당선자를 정한다.</w:t>
      </w:r>
    </w:p>
    <w:p>
      <w:pPr>
        <w:pStyle w:val="24"/>
        <w:widowControl w:val="off"/>
      </w:pPr>
      <w:r>
        <w:rPr>
          <w:rFonts w:ascii="조선신명조"/>
          <w:shd w:val="clear" w:fill="ffffff"/>
        </w:rPr>
        <w:t xml:space="preserve">  </w:t>
      </w:r>
      <w:r>
        <w:rPr>
          <w:rFonts w:ascii="조선신명조"/>
          <w:shd w:val="clear" w:fill="ffffff"/>
        </w:rPr>
        <w:t>③</w:t>
      </w:r>
      <w:r>
        <w:rPr>
          <w:rFonts w:ascii="조선신명조" w:eastAsia="조선신명조"/>
          <w:shd w:val="clear" w:fill="ffffff"/>
        </w:rPr>
        <w:t xml:space="preserve"> 임원선거 입후보자가 1인일 경우에는 총회에서 임원 선임의 승인여부만 결정한다.</w:t>
      </w:r>
    </w:p>
    <w:p>
      <w:pPr>
        <w:pStyle w:val="23"/>
        <w:widowControl w:val="off"/>
        <w:ind w:left="255" w:hanging="255"/>
      </w:pPr>
      <w:r>
        <w:rPr>
          <w:rFonts w:ascii="조선굵은고딕" w:eastAsia="조선굵은고딕"/>
          <w:shd w:val="clear" w:fill="ffffff"/>
        </w:rPr>
        <w:t>제15조(투표절차)</w:t>
      </w:r>
      <w:r>
        <w:rPr>
          <w:rFonts w:ascii="조선신명조" w:eastAsia="조선신명조"/>
          <w:shd w:val="clear" w:fill="ffffff"/>
        </w:rPr>
        <w:t xml:space="preserve"> 선거인은 투표참관인의 참여 하에 본인 또는 적법한 의결권 행사의 권한이 있음을 확인받은 후 선거인 명부에 날인 또는 무인하고 투표용지 1매를 받아 관례에 따라 기표한다.</w:t>
      </w:r>
    </w:p>
    <w:p>
      <w:pPr>
        <w:pStyle w:val="23"/>
        <w:widowControl w:val="off"/>
        <w:ind w:left="255" w:hanging="255"/>
      </w:pPr>
      <w:r>
        <w:rPr>
          <w:rFonts w:ascii="조선굵은고딕" w:eastAsia="조선굵은고딕"/>
          <w:shd w:val="clear" w:fill="ffffff"/>
        </w:rPr>
        <w:t>제16조(당선자 결정)</w:t>
      </w:r>
      <w:r>
        <w:rPr>
          <w:rFonts w:ascii="조선신명조" w:eastAsia="조선신명조"/>
          <w:shd w:val="clear" w:fill="ffffff"/>
        </w:rPr>
        <w:t xml:space="preserve"> 위원장은 개표완료 후 후보자별 득표현황을 발표하고 당선자가 확정되면 즉시 이를 공고하고 당선인에게 통지하여야 한다. </w:t>
      </w:r>
      <w:r>
        <w:br/>
      </w:r>
      <w:r>
        <w:rPr>
          <w:rFonts w:ascii="조선신명조" w:eastAsia="조선신명조"/>
          <w:color w:val="0000ff"/>
          <w:shd w:val="clear" w:fill="ffffff"/>
        </w:rPr>
        <w:t>&lt;개정 2016. 1. 28.&gt;</w:t>
      </w:r>
    </w:p>
    <w:p>
      <w:pPr>
        <w:pStyle w:val="23"/>
        <w:widowControl w:val="off"/>
        <w:ind w:left="255" w:hanging="255"/>
      </w:pPr>
      <w:r>
        <w:rPr>
          <w:rFonts w:ascii="조선굵은고딕" w:eastAsia="조선굵은고딕"/>
          <w:shd w:val="clear" w:fill="ffffff"/>
        </w:rPr>
        <w:t>제17조(규정의 개정)</w:t>
      </w:r>
      <w:r>
        <w:rPr>
          <w:rFonts w:ascii="조선신명조" w:eastAsia="조선신명조"/>
          <w:shd w:val="clear" w:fill="ffffff"/>
        </w:rPr>
        <w:t xml:space="preserve"> 이 규정은 정관 제30조에 따른 이사회의결로 변경할 수 있으며, 차기 총회에 보고하여야 한다. </w:t>
      </w:r>
      <w:r>
        <w:rPr>
          <w:rFonts w:ascii="조선신명조" w:eastAsia="조선신명조"/>
          <w:color w:val="0000ff"/>
          <w:shd w:val="clear" w:fill="ffffff"/>
        </w:rPr>
        <w:t>&lt;개정 2016. 1. 28.&gt;</w:t>
      </w:r>
    </w:p>
    <w:p>
      <w:pPr>
        <w:pStyle w:val="23"/>
        <w:widowControl w:val="off"/>
        <w:rPr>
          <w:rFonts w:ascii="조선신명조" w:eastAsia="조선신명조"/>
          <w:color w:val="000000"/>
          <w:shd w:val="clear" w:fill="ffffff"/>
        </w:rPr>
      </w:pPr>
    </w:p>
    <w:p>
      <w:pPr>
        <w:pStyle w:val="22"/>
        <w:widowControl w:val="off"/>
        <w:jc w:val="center"/>
      </w:pPr>
      <w:r>
        <w:rPr>
          <w:rFonts w:ascii="조선굵은고딕" w:eastAsia="조선굵은고딕"/>
          <w:shd w:val="clear" w:fill="ffffff"/>
        </w:rPr>
        <w:t>부      칙 (2006. 12. 15.)</w:t>
      </w:r>
    </w:p>
    <w:p>
      <w:pPr>
        <w:pStyle w:val="22"/>
        <w:widowControl w:val="off"/>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날부터 시행한다.</w:t>
      </w:r>
    </w:p>
    <w:p>
      <w:pPr>
        <w:pStyle w:val="23"/>
        <w:widowControl w:val="off"/>
        <w:rPr>
          <w:rFonts w:ascii="조선신명조" w:eastAsia="조선신명조"/>
          <w:color w:val="000000"/>
          <w:shd w:val="clear" w:fill="ffffff"/>
        </w:rPr>
      </w:pPr>
    </w:p>
    <w:p>
      <w:pPr>
        <w:pStyle w:val="22"/>
        <w:widowControl w:val="off"/>
        <w:jc w:val="center"/>
      </w:pPr>
      <w:r>
        <w:rPr>
          <w:rFonts w:ascii="조선굵은고딕" w:eastAsia="조선굵은고딕"/>
          <w:shd w:val="clear" w:fill="ffffff"/>
        </w:rPr>
        <w:t>부      칙 (2008. 10. 30.)</w:t>
      </w:r>
    </w:p>
    <w:p>
      <w:pPr>
        <w:pStyle w:val="22"/>
        <w:widowControl w:val="off"/>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날부터 시행한다.</w:t>
      </w:r>
    </w:p>
    <w:p>
      <w:pPr>
        <w:pStyle w:val="23"/>
        <w:widowControl w:val="off"/>
        <w:rPr>
          <w:rFonts w:ascii="조선신명조" w:eastAsia="조선신명조"/>
          <w:color w:val="000000"/>
          <w:shd w:val="clear" w:fill="ffffff"/>
        </w:rPr>
      </w:pPr>
    </w:p>
    <w:p>
      <w:pPr>
        <w:pStyle w:val="22"/>
        <w:widowControl w:val="off"/>
        <w:jc w:val="center"/>
      </w:pPr>
      <w:r>
        <w:rPr>
          <w:rFonts w:ascii="조선굵은고딕" w:eastAsia="조선굵은고딕"/>
          <w:shd w:val="clear" w:fill="ffffff"/>
        </w:rPr>
        <w:t>부      칙 (2015. 2. 13.)</w:t>
      </w:r>
    </w:p>
    <w:p>
      <w:pPr>
        <w:pStyle w:val="22"/>
        <w:widowControl w:val="off"/>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날부터 시행한다.</w:t>
      </w:r>
    </w:p>
    <w:p>
      <w:pPr>
        <w:pStyle w:val="23"/>
        <w:widowControl w:val="off"/>
        <w:rPr>
          <w:rFonts w:ascii="조선신명조" w:eastAsia="조선신명조"/>
          <w:color w:val="000000"/>
          <w:shd w:val="clear" w:fill="ffffff"/>
        </w:rPr>
      </w:pPr>
    </w:p>
    <w:p>
      <w:pPr>
        <w:pStyle w:val="22"/>
        <w:widowControl w:val="off"/>
        <w:jc w:val="center"/>
      </w:pPr>
      <w:r>
        <w:rPr>
          <w:rFonts w:ascii="조선굵은고딕" w:eastAsia="조선굵은고딕"/>
          <w:shd w:val="clear" w:fill="ffffff"/>
        </w:rPr>
        <w:t>부      칙 (2016. 1. 28.)</w:t>
      </w:r>
    </w:p>
    <w:p>
      <w:pPr>
        <w:pStyle w:val="22"/>
        <w:widowControl w:val="off"/>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날부터 시행한다.</w:t>
      </w:r>
    </w:p>
    <w:p>
      <w:pPr>
        <w:pStyle w:val="23"/>
        <w:widowControl w:val="off"/>
        <w:rPr>
          <w:rFonts w:ascii="조선신명조" w:eastAsia="조선신명조"/>
          <w:color w:val="000000"/>
          <w:shd w:val="clear" w:fill="ffffff"/>
        </w:rPr>
      </w:pPr>
    </w:p>
    <w:p>
      <w:pPr>
        <w:pStyle w:val="22"/>
        <w:widowControl w:val="off"/>
        <w:jc w:val="center"/>
      </w:pPr>
      <w:r>
        <w:rPr>
          <w:rFonts w:ascii="조선굵은고딕" w:eastAsia="조선굵은고딕"/>
          <w:shd w:val="clear" w:fill="ffffff"/>
        </w:rPr>
        <w:t>부      칙 (2020. 1. 6.)</w:t>
      </w:r>
    </w:p>
    <w:p>
      <w:pPr>
        <w:pStyle w:val="22"/>
        <w:widowControl w:val="off"/>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날부터 시행한다.</w:t>
      </w:r>
    </w:p>
    <w:p>
      <w:pPr>
        <w:pStyle w:val="23"/>
        <w:widowControl w:val="off"/>
        <w:rPr>
          <w:rFonts w:ascii="조선신명조" w:eastAsia="조선신명조"/>
          <w:color w:val="000000"/>
          <w:shd w:val="clear" w:fill="ffffff"/>
        </w:rPr>
      </w:pPr>
    </w:p>
    <w:p>
      <w:pPr>
        <w:pStyle w:val="22"/>
        <w:widowControl w:val="off"/>
        <w:jc w:val="center"/>
      </w:pPr>
      <w:r>
        <w:rPr>
          <w:rFonts w:ascii="조선굵은고딕" w:eastAsia="조선굵은고딕"/>
          <w:shd w:val="clear" w:fill="ffffff"/>
        </w:rPr>
        <w:t>부      칙 (2022. 2. 21.)</w:t>
      </w:r>
    </w:p>
    <w:p>
      <w:pPr>
        <w:pStyle w:val="22"/>
        <w:widowControl w:val="off"/>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날부터 시행한다.</w:t>
      </w:r>
    </w:p>
    <w:p>
      <w:pPr>
        <w:pStyle w:val="22"/>
        <w:widowControl w:val="off"/>
        <w:rPr>
          <w:rFonts w:ascii="조선신명조" w:eastAsia="조선신명조"/>
          <w:color w:val="000000"/>
          <w:shd w:val="clear" w:fill="ffffff"/>
        </w:rPr>
      </w:pPr>
    </w:p>
    <w:p>
      <w:pPr>
        <w:pStyle w:val="23"/>
        <w:widowControl w:val="off"/>
        <w:rPr>
          <w:rFonts w:ascii="조선신명조" w:eastAsia="조선신명조"/>
          <w:color w:val="000000"/>
          <w:shd w:val="clear" w:fill="ffffff"/>
        </w:rPr>
      </w:pPr>
    </w:p>
    <w:p>
      <w:pPr>
        <w:pStyle w:val="22"/>
        <w:widowControl w:val="off"/>
        <w:jc w:val="center"/>
      </w:pPr>
      <w:r>
        <w:rPr>
          <w:rFonts w:ascii="조선굵은고딕" w:eastAsia="조선굵은고딕"/>
          <w:shd w:val="clear" w:fill="ffffff"/>
        </w:rPr>
        <w:t>부      칙 (2025. 2. 14.)</w:t>
      </w:r>
    </w:p>
    <w:p>
      <w:pPr>
        <w:pStyle w:val="22"/>
        <w:widowControl w:val="off"/>
      </w:pPr>
      <w:r>
        <w:rPr>
          <w:rFonts w:ascii="조선굵은고딕" w:eastAsia="조선굵은고딕"/>
          <w:shd w:val="clear" w:fill="ffffff"/>
        </w:rPr>
        <w:t>제1조(시행일)</w:t>
      </w:r>
      <w:r>
        <w:rPr>
          <w:rFonts w:ascii="조선신명조" w:eastAsia="조선신명조"/>
          <w:shd w:val="clear" w:fill="ffffff"/>
        </w:rPr>
        <w:t xml:space="preserve"> 이 규정은 이사회의 승인을 받은 날부터 시행한다.</w:t>
      </w:r>
    </w:p>
    <w:p>
      <w:pPr>
        <w:pStyle w:val="22"/>
        <w:widowControl w:val="off"/>
        <w:rPr>
          <w:rFonts w:ascii="조선신명조" w:eastAsia="조선신명조"/>
          <w:color w:val="000000"/>
          <w:shd w:val="clear" w:fill="ffffff"/>
        </w:rPr>
      </w:pPr>
    </w:p>
    <w:p>
      <w:pPr>
        <w:pStyle w:val="0"/>
        <w:widowControl w:val="off"/>
        <w:wordWrap w:val="1"/>
        <w:ind w:left="260" w:hanging="260"/>
        <w:jc w:val="center"/>
        <w:rPr>
          <w:rFonts w:ascii="조선가는고딕" w:eastAsia="조선가는고딕"/>
          <w:color w:val="000000"/>
          <w:sz w:val="24"/>
          <w:shd w:val="clear" w:color="000000"/>
        </w:rPr>
      </w:pPr>
    </w:p>
    <w:sectPr>
      <w:headerReference r:id="rId1" w:type="default"/>
      <w:headerReference r:id="rId2" w:type="even"/>
      <w:headerReference r:id="rId4" w:type="even"/>
      <w:footerReference r:id="rId3" w:type="even"/>
      <w:footerReference r:id="rId5" w:type="even"/>
      <w:footnotePr>
        <w:numFmt w:val="decimal"/>
        <w:numRestart w:val="continuous"/>
      </w:footnotePr>
      <w:endnotePr>
        <w:pos w:val="docEnd"/>
        <w:numFmt w:val="decimal"/>
        <w:numRestart w:val="continuous"/>
      </w:endnotePr>
      <w:pgSz w:w="11906" w:h="16837"/>
      <w:pgMar w:top="1627" w:right="1417" w:bottom="1627" w:left="1417" w:header="720" w:footer="907" w:gutter="0"/>
      <w:cols w:space="0"/>
      <w:type w:val="continuous"/>
    </w:sectPr>
  </w:body>
</w:document>
</file>

<file path=word/footer1.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ftr>
</file>

<file path=word/footer2.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pPr>
  </w:p>
  <w:tbl>
    <w:tblPr>
      <w:tblOverlap w:val="never"/>
      <w:tblW w:w="9071"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571"/>
      <w:gridCol w:w="1929"/>
      <w:gridCol w:w="6571"/>
    </w:tblGrid>
    <w:tr>
      <w:trPr>
        <w:trHeight w:val="56"/>
      </w:trPr>
      <w:tc>
        <w:tcPr>
          <w:tcW w:w="571" w:type="dxa"/>
          <w:vMerge w:val="restart"/>
          <w:tcBorders>
            <w:top w:val="none" w:color="000000" w:sz="3"/>
            <w:left w:val="none" w:color="000000" w:sz="3"/>
            <w:bottom w:val="none" w:color="000000" w:sz="3"/>
            <w:right w:val="none" w:color="000000" w:sz="3"/>
          </w:tcBorders>
          <w:vAlign w:val="center"/>
        </w:tcPr>
        <w:p>
          <w:pPr>
            <w:pStyle w:val="0"/>
            <w:widowControl w:val="off"/>
          </w:pPr>
          <w:fldSimple w:instr="PAGE  \* ARABIC">
            <w:r>
              <w:rPr/>
              <w:t>1</w:t>
            </w:r>
          </w:fldSimple>
        </w:p>
      </w:tc>
      <w:tc>
        <w:tcPr>
          <w:tcW w:w="1929" w:type="dxa"/>
          <w:vMerge w:val="restart"/>
          <w:tcBorders>
            <w:top w:val="none" w:color="000000" w:sz="3"/>
            <w:left w:val="none" w:color="000000" w:sz="3"/>
            <w:bottom w:val="none" w:color="000000" w:sz="3"/>
            <w:right w:val="none" w:color="000000" w:sz="3"/>
          </w:tcBorders>
          <w:tcMar>
            <w:top w:w="28" w:type="dxa"/>
            <w:left w:w="102" w:type="dxa"/>
            <w:bottom w:w="28" w:type="dxa"/>
            <w:right w:w="0" w:type="dxa"/>
          </w:tcMar>
          <w:vAlign w:val="center"/>
        </w:tcPr>
        <w:p>
          <w:pPr>
            <w:pStyle w:val="0"/>
            <w:widowControl w:val="off"/>
          </w:pPr>
          <w:r>
            <w:rPr>
              <w:rFonts w:ascii="조선굵은명조" w:eastAsia="조선굵은명조"/>
            </w:rPr>
            <w:t>춘천문화원 제규정집</w:t>
          </w:r>
        </w:p>
      </w:tc>
      <w:tc>
        <w:tcPr>
          <w:tcW w:w="6571" w:type="dxa"/>
          <w:tcBorders>
            <w:top w:val="none" w:color="000000" w:sz="3"/>
            <w:left w:val="none" w:color="000000" w:sz="3"/>
            <w:bottom w:val="single" w:color="d3d2d2" w:sz="3"/>
            <w:right w:val="none" w:color="000000" w:sz="3"/>
          </w:tcBorders>
          <w:vAlign w:val="center"/>
        </w:tcPr>
        <w:p>
          <w:pPr>
            <w:pStyle w:val="0"/>
            <w:widowControl w:val="off"/>
            <w:rPr>
              <w:color w:val="000000"/>
              <w:sz w:val="12"/>
            </w:rPr>
          </w:pPr>
        </w:p>
      </w:tc>
    </w:tr>
    <w:tr>
      <w:trPr>
        <w:trHeight w:val="176"/>
      </w:trPr>
      <w:tc>
        <w:tcPr>
          <w:tcW w:w="571" w:type="dxa"/>
          <w:vMerge/>
          <w:tcBorders>
            <w:top w:val="none" w:color="000000" w:sz="3"/>
            <w:left w:val="none" w:color="000000" w:sz="3"/>
            <w:bottom w:val="none" w:color="000000" w:sz="3"/>
            <w:right w:val="none" w:color="000000" w:sz="3"/>
          </w:tcBorders>
        </w:tcPr>
        <w:p/>
      </w:tc>
      <w:tc>
        <w:tcPr>
          <w:tcW w:w="1929" w:type="dxa"/>
          <w:vMerge/>
          <w:tcBorders>
            <w:top w:val="none" w:color="000000" w:sz="3"/>
            <w:left w:val="none" w:color="000000" w:sz="3"/>
            <w:bottom w:val="none" w:color="000000" w:sz="3"/>
            <w:right w:val="none" w:color="000000" w:sz="3"/>
          </w:tcBorders>
        </w:tcPr>
        <w:p/>
      </w:tc>
      <w:tc>
        <w:tcPr>
          <w:tcW w:w="6571" w:type="dxa"/>
          <w:tcBorders>
            <w:top w:val="single" w:color="d3d2d2" w:sz="3"/>
            <w:left w:val="none" w:color="000000" w:sz="3"/>
            <w:bottom w:val="none" w:color="000000" w:sz="3"/>
            <w:right w:val="none" w:color="000000" w:sz="3"/>
          </w:tcBorders>
          <w:vAlign w:val="center"/>
        </w:tcPr>
        <w:p>
          <w:pPr>
            <w:pStyle w:val="0"/>
            <w:widowControl w:val="off"/>
            <w:rPr>
              <w:color w:val="000000"/>
              <w:sz w:val="12"/>
            </w:rPr>
          </w:pPr>
        </w:p>
      </w:tc>
    </w:tr>
  </w:tbl>
  <w:p>
    <w:pPr>
      <w:pStyle w:val="13"/>
      <w:widowControl w:val="off"/>
    </w:pPr>
  </w:p>
  <w:p>
    <w:pPr>
      <w:pStyle w:val="13"/>
      <w:widowControl w:val="off"/>
      <w:rPr/>
    </w:pPr>
  </w:p>
</w:ftr>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3.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9049"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47"/>
      <w:gridCol w:w="147"/>
      <w:gridCol w:w="2881"/>
      <w:gridCol w:w="5873"/>
    </w:tblGrid>
    <w:tr>
      <w:trPr>
        <w:trHeight w:val="142"/>
      </w:trPr>
      <w:tc>
        <w:tcPr>
          <w:tcW w:w="147" w:type="dxa"/>
          <w:tcBorders>
            <w:top w:val="none" w:color="000000" w:sz="3"/>
            <w:left w:val="none" w:color="000000" w:sz="3"/>
            <w:bottom w:val="none" w:color="000000" w:sz="3"/>
            <w:right w:val="none" w:color="000000" w:sz="3"/>
          </w:tcBorders>
          <w:shd w:val="clear" w:fill="d3d2d2"/>
          <w:tcMar>
            <w:top w:w="0" w:type="dxa"/>
            <w:left w:w="0" w:type="dxa"/>
            <w:bottom w:w="0" w:type="dxa"/>
            <w:right w:w="0" w:type="dxa"/>
          </w:tcMar>
          <w:vAlign w:val="center"/>
        </w:tcPr>
        <w:p>
          <w:pPr>
            <w:pStyle w:val="0"/>
            <w:widowControl w:val="off"/>
            <w:rPr>
              <w:color w:val="000000"/>
              <w:sz w:val="10"/>
            </w:rPr>
          </w:pPr>
        </w:p>
      </w:tc>
      <w:tc>
        <w:tcPr>
          <w:tcW w:w="147" w:type="dxa"/>
          <w:tcBorders>
            <w:top w:val="none" w:color="000000" w:sz="3"/>
            <w:left w:val="none" w:color="000000" w:sz="3"/>
            <w:bottom w:val="none" w:color="000000" w:sz="3"/>
            <w:right w:val="none" w:color="000000" w:sz="3"/>
          </w:tcBorders>
          <w:tcMar>
            <w:top w:w="0" w:type="dxa"/>
            <w:left w:w="0" w:type="dxa"/>
            <w:bottom w:w="0" w:type="dxa"/>
            <w:right w:w="0" w:type="dxa"/>
          </w:tcMar>
          <w:vAlign w:val="center"/>
        </w:tcPr>
        <w:p>
          <w:pPr>
            <w:pStyle w:val="0"/>
            <w:widowControl w:val="off"/>
            <w:rPr>
              <w:color w:val="000000"/>
              <w:sz w:val="10"/>
            </w:rPr>
          </w:pPr>
        </w:p>
      </w:tc>
      <w:tc>
        <w:tcPr>
          <w:tcW w:w="2881" w:type="dxa"/>
          <w:vMerge w:val="restart"/>
          <w:tcBorders>
            <w:top w:val="none" w:color="000000" w:sz="3"/>
            <w:left w:val="none" w:color="000000" w:sz="3"/>
            <w:bottom w:val="none" w:color="000000" w:sz="3"/>
            <w:right w:val="none" w:color="000000" w:sz="3"/>
          </w:tcBorders>
          <w:tcMar>
            <w:top w:w="28" w:type="dxa"/>
            <w:left w:w="0" w:type="dxa"/>
            <w:bottom w:w="28" w:type="dxa"/>
            <w:right w:w="57" w:type="dxa"/>
          </w:tcMar>
          <w:vAlign w:val="center"/>
        </w:tcPr>
        <w:p>
          <w:pPr>
            <w:pStyle w:val="0"/>
            <w:widowControl w:val="off"/>
          </w:pPr>
          <w:r>
            <w:rPr>
              <w:rFonts w:ascii="조선굵은명조"/>
            </w:rPr>
            <w:t>04</w:t>
          </w:r>
        </w:p>
      </w:tc>
      <w:tc>
        <w:tcPr>
          <w:tcW w:w="5873" w:type="dxa"/>
          <w:vMerge w:val="restart"/>
          <w:tcBorders>
            <w:top w:val="none" w:color="000000" w:sz="3"/>
            <w:left w:val="none" w:color="000000" w:sz="3"/>
            <w:bottom w:val="single" w:color="d3d2d2" w:sz="3"/>
            <w:right w:val="none" w:color="000000" w:sz="3"/>
          </w:tcBorders>
          <w:tcMar>
            <w:top w:w="0" w:type="dxa"/>
            <w:left w:w="102" w:type="dxa"/>
            <w:bottom w:w="0" w:type="dxa"/>
            <w:right w:w="102" w:type="dxa"/>
          </w:tcMar>
          <w:vAlign w:val="center"/>
        </w:tcPr>
        <w:p>
          <w:pPr>
            <w:pStyle w:val="0"/>
            <w:widowControl w:val="off"/>
            <w:rPr>
              <w:color w:val="000000"/>
              <w:sz w:val="4"/>
            </w:rPr>
          </w:pPr>
        </w:p>
      </w:tc>
    </w:tr>
    <w:tr>
      <w:trPr>
        <w:trHeight w:val="142"/>
      </w:trPr>
      <w:tc>
        <w:tcPr>
          <w:tcW w:w="147" w:type="dxa"/>
          <w:tcBorders>
            <w:top w:val="none" w:color="000000" w:sz="3"/>
            <w:left w:val="none" w:color="000000" w:sz="3"/>
            <w:bottom w:val="none" w:color="000000" w:sz="3"/>
            <w:right w:val="none" w:color="000000" w:sz="3"/>
          </w:tcBorders>
          <w:shd w:val="clear" w:fill="c486c5"/>
          <w:tcMar>
            <w:top w:w="0" w:type="dxa"/>
            <w:left w:w="0" w:type="dxa"/>
            <w:bottom w:w="0" w:type="dxa"/>
            <w:right w:w="0" w:type="dxa"/>
          </w:tcMar>
          <w:vAlign w:val="center"/>
        </w:tcPr>
        <w:p>
          <w:pPr>
            <w:pStyle w:val="0"/>
            <w:widowControl w:val="off"/>
            <w:rPr>
              <w:color w:val="000000"/>
              <w:sz w:val="10"/>
            </w:rPr>
          </w:pPr>
        </w:p>
      </w:tc>
      <w:tc>
        <w:tcPr>
          <w:tcW w:w="147" w:type="dxa"/>
          <w:tcBorders>
            <w:top w:val="none" w:color="000000" w:sz="3"/>
            <w:left w:val="none" w:color="000000" w:sz="3"/>
            <w:bottom w:val="none" w:color="000000" w:sz="3"/>
            <w:right w:val="none" w:color="000000" w:sz="3"/>
          </w:tcBorders>
          <w:tcMar>
            <w:top w:w="0" w:type="dxa"/>
            <w:left w:w="0" w:type="dxa"/>
            <w:bottom w:w="0" w:type="dxa"/>
            <w:right w:w="0" w:type="dxa"/>
          </w:tcMar>
          <w:vAlign w:val="center"/>
        </w:tcPr>
        <w:p>
          <w:pPr>
            <w:pStyle w:val="0"/>
            <w:widowControl w:val="off"/>
            <w:rPr>
              <w:color w:val="000000"/>
              <w:sz w:val="10"/>
            </w:rPr>
          </w:pPr>
        </w:p>
      </w:tc>
      <w:tc>
        <w:tcPr>
          <w:tcW w:w="2881" w:type="dxa"/>
          <w:vMerge/>
          <w:tcBorders>
            <w:top w:val="none" w:color="000000" w:sz="3"/>
            <w:left w:val="none" w:color="000000" w:sz="3"/>
            <w:bottom w:val="none" w:color="000000" w:sz="3"/>
            <w:right w:val="none" w:color="000000" w:sz="3"/>
          </w:tcBorders>
        </w:tcPr>
        <w:p/>
      </w:tc>
      <w:tc>
        <w:tcPr>
          <w:tcW w:w="5873" w:type="dxa"/>
          <w:vMerge/>
          <w:tcBorders>
            <w:top w:val="none" w:color="000000" w:sz="3"/>
            <w:left w:val="none" w:color="000000" w:sz="3"/>
            <w:bottom w:val="single" w:color="d3d2d2" w:sz="3"/>
            <w:right w:val="none" w:color="000000" w:sz="3"/>
          </w:tcBorders>
        </w:tcPr>
        <w:p/>
      </w:tc>
    </w:tr>
    <w:tr>
      <w:trPr>
        <w:trHeight w:val="142"/>
      </w:trPr>
      <w:tc>
        <w:tcPr>
          <w:tcW w:w="147" w:type="dxa"/>
          <w:tcBorders>
            <w:top w:val="none" w:color="000000" w:sz="3"/>
            <w:left w:val="none" w:color="000000" w:sz="3"/>
            <w:bottom w:val="none" w:color="000000" w:sz="3"/>
            <w:right w:val="none" w:color="000000" w:sz="3"/>
          </w:tcBorders>
          <w:shd w:val="clear" w:fill="d3d2d2"/>
          <w:tcMar>
            <w:top w:w="0" w:type="dxa"/>
            <w:left w:w="0" w:type="dxa"/>
            <w:bottom w:w="0" w:type="dxa"/>
            <w:right w:w="0" w:type="dxa"/>
          </w:tcMar>
          <w:vAlign w:val="center"/>
        </w:tcPr>
        <w:p>
          <w:pPr>
            <w:pStyle w:val="0"/>
            <w:widowControl w:val="off"/>
            <w:rPr>
              <w:color w:val="000000"/>
              <w:sz w:val="10"/>
            </w:rPr>
          </w:pPr>
        </w:p>
      </w:tc>
      <w:tc>
        <w:tcPr>
          <w:tcW w:w="147" w:type="dxa"/>
          <w:tcBorders>
            <w:top w:val="none" w:color="000000" w:sz="3"/>
            <w:left w:val="none" w:color="000000" w:sz="3"/>
            <w:bottom w:val="none" w:color="000000" w:sz="3"/>
            <w:right w:val="none" w:color="000000" w:sz="3"/>
          </w:tcBorders>
          <w:tcMar>
            <w:top w:w="0" w:type="dxa"/>
            <w:left w:w="0" w:type="dxa"/>
            <w:bottom w:w="0" w:type="dxa"/>
            <w:right w:w="0" w:type="dxa"/>
          </w:tcMar>
          <w:vAlign w:val="center"/>
        </w:tcPr>
        <w:p>
          <w:pPr>
            <w:pStyle w:val="0"/>
            <w:widowControl w:val="off"/>
            <w:rPr>
              <w:color w:val="000000"/>
              <w:sz w:val="10"/>
            </w:rPr>
          </w:pPr>
        </w:p>
      </w:tc>
      <w:tc>
        <w:tcPr>
          <w:tcW w:w="2881" w:type="dxa"/>
          <w:vMerge w:val="restart"/>
          <w:tcBorders>
            <w:top w:val="none" w:color="000000" w:sz="3"/>
            <w:left w:val="none" w:color="000000" w:sz="3"/>
            <w:bottom w:val="none" w:color="000000" w:sz="3"/>
            <w:right w:val="none" w:color="000000" w:sz="3"/>
          </w:tcBorders>
          <w:tcMar>
            <w:top w:w="28" w:type="dxa"/>
            <w:left w:w="0" w:type="dxa"/>
            <w:bottom w:w="28" w:type="dxa"/>
            <w:right w:w="57" w:type="dxa"/>
          </w:tcMar>
          <w:vAlign w:val="center"/>
        </w:tcPr>
        <w:p>
          <w:pPr>
            <w:pStyle w:val="0"/>
            <w:widowControl w:val="off"/>
          </w:pPr>
          <w:r>
            <w:rPr>
              <w:rFonts w:ascii="조선굵은명조" w:eastAsia="조선굵은명조"/>
            </w:rPr>
            <w:t>임원선출에 관한 총회 운영 규정</w:t>
          </w:r>
        </w:p>
      </w:tc>
      <w:tc>
        <w:tcPr>
          <w:tcW w:w="5873" w:type="dxa"/>
          <w:vMerge/>
          <w:tcBorders>
            <w:top w:val="none" w:color="000000" w:sz="3"/>
            <w:left w:val="none" w:color="000000" w:sz="3"/>
            <w:bottom w:val="single" w:color="d3d2d2" w:sz="3"/>
            <w:right w:val="none" w:color="000000" w:sz="3"/>
          </w:tcBorders>
        </w:tcPr>
        <w:p/>
      </w:tc>
    </w:tr>
    <w:tr>
      <w:trPr>
        <w:trHeight w:val="142"/>
      </w:trPr>
      <w:tc>
        <w:tcPr>
          <w:tcW w:w="147" w:type="dxa"/>
          <w:tcBorders>
            <w:top w:val="none" w:color="000000" w:sz="3"/>
            <w:left w:val="none" w:color="000000" w:sz="3"/>
            <w:bottom w:val="none" w:color="000000" w:sz="3"/>
            <w:right w:val="none" w:color="000000" w:sz="3"/>
          </w:tcBorders>
          <w:shd w:val="clear" w:fill="92f0dd"/>
          <w:tcMar>
            <w:top w:w="0" w:type="dxa"/>
            <w:left w:w="0" w:type="dxa"/>
            <w:bottom w:w="0" w:type="dxa"/>
            <w:right w:w="0" w:type="dxa"/>
          </w:tcMar>
          <w:vAlign w:val="center"/>
        </w:tcPr>
        <w:p>
          <w:pPr>
            <w:pStyle w:val="0"/>
            <w:widowControl w:val="off"/>
            <w:rPr>
              <w:color w:val="000000"/>
              <w:sz w:val="10"/>
            </w:rPr>
          </w:pPr>
        </w:p>
      </w:tc>
      <w:tc>
        <w:tcPr>
          <w:tcW w:w="147" w:type="dxa"/>
          <w:tcBorders>
            <w:top w:val="none" w:color="000000" w:sz="3"/>
            <w:left w:val="none" w:color="000000" w:sz="3"/>
            <w:bottom w:val="none" w:color="000000" w:sz="3"/>
            <w:right w:val="none" w:color="000000" w:sz="3"/>
          </w:tcBorders>
          <w:tcMar>
            <w:top w:w="0" w:type="dxa"/>
            <w:left w:w="0" w:type="dxa"/>
            <w:bottom w:w="0" w:type="dxa"/>
            <w:right w:w="0" w:type="dxa"/>
          </w:tcMar>
          <w:vAlign w:val="center"/>
        </w:tcPr>
        <w:p>
          <w:pPr>
            <w:pStyle w:val="0"/>
            <w:widowControl w:val="off"/>
            <w:rPr>
              <w:color w:val="000000"/>
              <w:sz w:val="10"/>
            </w:rPr>
          </w:pPr>
        </w:p>
      </w:tc>
      <w:tc>
        <w:tcPr>
          <w:tcW w:w="2881" w:type="dxa"/>
          <w:vMerge/>
          <w:tcBorders>
            <w:top w:val="none" w:color="000000" w:sz="3"/>
            <w:left w:val="none" w:color="000000" w:sz="3"/>
            <w:bottom w:val="none" w:color="000000" w:sz="3"/>
            <w:right w:val="none" w:color="000000" w:sz="3"/>
          </w:tcBorders>
        </w:tcPr>
        <w:p/>
      </w:tc>
      <w:tc>
        <w:tcPr>
          <w:tcW w:w="5873" w:type="dxa"/>
          <w:tcBorders>
            <w:top w:val="single" w:color="d3d2d2" w:sz="3"/>
            <w:left w:val="none" w:color="000000" w:sz="3"/>
            <w:bottom w:val="none" w:color="000000" w:sz="3"/>
            <w:right w:val="none" w:color="000000" w:sz="3"/>
          </w:tcBorders>
          <w:tcMar>
            <w:top w:w="0" w:type="dxa"/>
            <w:left w:w="102" w:type="dxa"/>
            <w:bottom w:w="0" w:type="dxa"/>
            <w:right w:w="102" w:type="dxa"/>
          </w:tcMar>
          <w:vAlign w:val="center"/>
        </w:tcPr>
        <w:p>
          <w:pPr>
            <w:pStyle w:val="0"/>
            <w:widowControl w:val="off"/>
            <w:rPr>
              <w:color w:val="000000"/>
              <w:sz w:val="4"/>
            </w:rPr>
          </w:pPr>
        </w:p>
      </w:tc>
    </w:tr>
  </w:tbl>
  <w:p>
    <w:pPr>
      <w:pStyle w:val="13"/>
      <w:widowControl w:val="off"/>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evenAndOddHeaders/>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 w:type="paragraph" w:styleId="22">
    <w:name w:val="법령기본스타일"/>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23">
    <w:name w:val="조"/>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4">
    <w:name w:val="항"/>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5">
    <w:name w:val="호"/>
    <w:uiPriority w:val="2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488" w:right="0" w:hanging="488"/>
      <w:jc w:val="both"/>
      <w:textAlignment w:val="baseline"/>
    </w:pPr>
    <w:rPr>
      <w:rFonts w:ascii="한양신명조" w:eastAsia="한양신명조"/>
      <w:color w:val="000000"/>
      <w:sz w:val="28"/>
    </w:rPr>
  </w:style>
  <w:style w:type="paragraph" w:styleId="26">
    <w:name w:val="행간조정"/>
    <w:uiPriority w:val="2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240" w:lineRule="auto"/>
      <w:ind w:left="0" w:right="0" w:firstLine="0"/>
      <w:jc w:val="both"/>
      <w:textAlignment w:val="baseline"/>
    </w:pPr>
    <w:rPr>
      <w:rFonts w:ascii="HCI Poppy" w:eastAsia="휴먼명조"/>
      <w:color w:val="000000"/>
      <w:spacing w:val="-2"/>
      <w:w w:val="97"/>
      <w:sz w:val="14"/>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3" Type="http://schemas.openxmlformats.org/officeDocument/2006/relationships/footer" Target="footer1.xml"  /><Relationship Id="rId4" Type="http://schemas.openxmlformats.org/officeDocument/2006/relationships/header" Target="header3.xml"  /><Relationship Id="rId5" Type="http://schemas.openxmlformats.org/officeDocument/2006/relationships/footer" Target="footer2.xml"  /><Relationship Id="rId6" Type="http://schemas.openxmlformats.org/officeDocument/2006/relationships/settings" Target="settings.xml"  /><Relationship Id="rId7" Type="http://schemas.openxmlformats.org/officeDocument/2006/relationships/styles" Target="styles.xml"  /><Relationship Id="rId8"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지방문화원진흥법</dc:title>
  <dc:creator>김문겸</dc:creator>
  <cp:lastModifiedBy>김문겸</cp:lastModifiedBy>
  <dcterms:created xsi:type="dcterms:W3CDTF">2023-05-24T00:24:16.723</dcterms:created>
  <dcterms:modified xsi:type="dcterms:W3CDTF">2025-05-27T05:27:27.696</dcterms:modified>
  <cp:version>0501.0100.01</cp:version>
</cp:coreProperties>
</file>