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자문위원회 운영 규정"/>
      <w:r>
        <w:rPr>
          <w:rFonts w:ascii="조선견고딕" w:eastAsia="조선견고딕"/>
          <w:sz w:val="32"/>
          <w:shd w:val="clear" w:color="000000"/>
        </w:rPr>
        <w:t>자문위원회 운영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제27호)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 자문위원회의 구성과 운영에 관한 사항을 규정함을 목적으로 한다.</w:t>
      </w:r>
    </w:p>
    <w:p>
      <w:pPr>
        <w:pStyle w:val="23"/>
        <w:widowControl w:val="off"/>
        <w:ind w:left="254" w:hanging="254"/>
      </w:pPr>
      <w:r>
        <w:rPr>
          <w:rFonts w:ascii="조선굵은고딕" w:eastAsia="조선굵은고딕"/>
          <w:shd w:val="clear" w:fill="ffffff"/>
        </w:rPr>
        <w:t>제2조(기능)</w:t>
      </w:r>
      <w:r>
        <w:rPr>
          <w:rFonts w:ascii="조선신명조" w:eastAsia="조선신명조"/>
          <w:shd w:val="clear" w:fill="ffffff"/>
        </w:rPr>
        <w:t xml:space="preserve"> 자문위원회는 다음 각 호의 사항에 관하여 본원의 자문에 응한다.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지역문화의 발굴, 보존, 계승 및 보급에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지역문화행사의 개최에 관한 사항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기타 지역문화발전에 기여할 수 있는 사항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제3조(구성)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위원회의 위원은 학식과 덕망이 있는 자 중에서 이사회의 동의를 얻어 원장이 추대한다.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위원회 위원수는 30명 이내로 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제4조(간사)</w:t>
      </w:r>
      <w:r>
        <w:rPr>
          <w:rFonts w:ascii="조선신명조" w:eastAsia="조선신명조"/>
          <w:shd w:val="clear" w:fill="ffffff"/>
        </w:rPr>
        <w:t xml:space="preserve"> 위원회의 사무를 처리하기 위하여 간사를 둘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제5조(임기)</w:t>
      </w:r>
      <w:r>
        <w:rPr>
          <w:rFonts w:ascii="조선신명조" w:eastAsia="조선신명조"/>
          <w:shd w:val="clear" w:fill="ffffff"/>
        </w:rPr>
        <w:t xml:space="preserve"> 위원의 임기는 4년으로 하되 연임할 수 있다.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제6조(위원의 해촉)</w:t>
      </w:r>
      <w:r>
        <w:rPr>
          <w:rFonts w:ascii="조선신명조" w:eastAsia="조선신명조"/>
          <w:shd w:val="clear" w:fill="ffffff"/>
        </w:rPr>
        <w:t xml:space="preserve"> 위원이 다음 각 호에 해당하는 때에는 당해 위원을 해촉할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본인이 원하는 때</w:t>
      </w:r>
    </w:p>
    <w:p>
      <w:pPr>
        <w:pStyle w:val="25"/>
        <w:widowControl w:val="off"/>
        <w:ind w:left="489" w:hanging="489"/>
      </w:pPr>
      <w:r>
        <w:rPr>
          <w:rFonts w:ascii="조선신명조" w:eastAsia="조선신명조"/>
          <w:shd w:val="clear" w:fill="ffffff"/>
        </w:rPr>
        <w:t xml:space="preserve">  2. 질명, 장기출타 또는 품위손상 등으로 직무를 성실히 수행할 수 없는 때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제7조(소집)</w:t>
      </w:r>
      <w:r>
        <w:rPr>
          <w:rFonts w:ascii="조선신명조" w:eastAsia="조선신명조"/>
          <w:shd w:val="clear" w:fill="ffffff"/>
        </w:rPr>
        <w:t xml:space="preserve"> 원장은 각종 사업 및 문화원 운영의 자문을 위하여 필요에 따라 회의를 소집할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제8조(수당)</w:t>
      </w:r>
      <w:r>
        <w:rPr>
          <w:rFonts w:ascii="조선신명조" w:eastAsia="조선신명조"/>
          <w:shd w:val="clear" w:fill="ffffff"/>
        </w:rPr>
        <w:t xml:space="preserve"> 위원회 참석수당은 예산범위 내에서 지급할 수 있다.</w:t>
      </w:r>
    </w:p>
    <w:p>
      <w:pPr>
        <w:pStyle w:val="23"/>
        <w:widowControl w:val="off"/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얻은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 전에 개최된 자문위원회의 운영 등에 관해서는 이 규정에 의한 것으로 본다.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6571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6571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57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147"/>
      <w:gridCol w:w="147"/>
      <w:gridCol w:w="1919"/>
      <w:gridCol w:w="6835"/>
    </w:tblGrid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91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/>
            </w:rPr>
            <w:t>03</w:t>
          </w:r>
        </w:p>
      </w:tc>
      <w:tc>
        <w:tcPr>
          <w:tcW w:w="6835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91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83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91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자문위원회 운영 규정</w:t>
          </w:r>
        </w:p>
      </w:tc>
      <w:tc>
        <w:tcPr>
          <w:tcW w:w="683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91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835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</w:tbl>
  <w:p>
    <w:pPr>
      <w:pStyle w:val="1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header" Target="header2.xml"  /><Relationship Id="rId3" Type="http://schemas.openxmlformats.org/officeDocument/2006/relationships/footer" Target="footer1.xml"  /><Relationship Id="rId4" Type="http://schemas.openxmlformats.org/officeDocument/2006/relationships/header" Target="header3.xml"  /><Relationship Id="rId5" Type="http://schemas.openxmlformats.org/officeDocument/2006/relationships/footer" Target="footer2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2023-05-24T06:42:46.607</dcterms:modified>
  <cp:version>0501.0100.01</cp:version>
</cp:coreProperties>
</file>