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07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"/>
        <w:gridCol w:w="363"/>
        <w:gridCol w:w="8231"/>
        <w:gridCol w:w="364"/>
        <w:gridCol w:w="57"/>
      </w:tblGrid>
      <w:tr>
        <w:trPr>
          <w:trHeight w:val="4218"/>
        </w:trPr>
        <w:tc>
          <w:tcPr>
            <w:tcW w:w="9071" w:type="dxa"/>
            <w:gridSpan w:val="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049"/>
        </w:trPr>
        <w:tc>
          <w:tcPr>
            <w:tcW w:w="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60"/>
              </w:rPr>
            </w:pPr>
          </w:p>
        </w:tc>
        <w:tc>
          <w:tcPr>
            <w:tcW w:w="36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60"/>
              </w:rPr>
            </w:pPr>
          </w:p>
        </w:tc>
        <w:tc>
          <w:tcPr>
            <w:tcW w:w="823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60"/>
              </w:rPr>
              <w:t>제수당 지급 규정</w:t>
            </w:r>
          </w:p>
        </w:tc>
        <w:tc>
          <w:tcPr>
            <w:tcW w:w="364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60"/>
              </w:rPr>
            </w:pPr>
          </w:p>
        </w:tc>
        <w:tc>
          <w:tcPr>
            <w:tcW w:w="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60"/>
              </w:rPr>
            </w:pPr>
          </w:p>
        </w:tc>
      </w:tr>
      <w:tr>
        <w:trPr>
          <w:trHeight w:val="7388"/>
        </w:trPr>
        <w:tc>
          <w:tcPr>
            <w:tcW w:w="9071" w:type="dxa"/>
            <w:gridSpan w:val="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wordWrap w:val="1"/>
        <w:ind w:left="260" w:hanging="260"/>
        <w:jc w:val="center"/>
      </w:pPr>
      <w:bookmarkStart w:id="1" w:name="제수당 지급 규정"/>
      <w:r>
        <w:rPr>
          <w:rFonts w:ascii="조선견고딕" w:eastAsia="조선견고딕"/>
          <w:sz w:val="30"/>
          <w:shd w:val="clear" w:color="000000"/>
        </w:rPr>
        <w:t>제수당 지급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제29호)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2020.  6.  3. (규정 제39호)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한다)의 직원에게 지급하는 수당 등에 관한 사항을 규정함을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 w:eastAsia="조선신명조"/>
          <w:shd w:val="clear" w:fill="ffffff"/>
        </w:rPr>
        <w:t xml:space="preserve"> 직원에게 지급하는 수당의 종류ㆍ지급범위ㆍ지급액 및 지급방법에 관한 사항은 다른 규정에 특별한 규정이 있는 경우를 제외하고는 이 규정이 정하는 바에 의한다.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제3조(시간외근무수당)</w:t>
      </w:r>
      <w:r>
        <w:rPr>
          <w:rFonts w:ascii="조선신명조" w:eastAsia="조선신명조"/>
          <w:shd w:val="clear" w:fill="ffffff"/>
        </w:rPr>
        <w:t xml:space="preserve"> 근무명령에 의하여 규정된 근무시간외에 근무한 자에 대하여는 시간외근무수당을 예산의 범위 내에서 [별표 1]의 기준에 의하여 익월 5일까지 지급하되, 다만 12월분은 12월 말일까지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제4조(야간근무수당)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야간근무를 하는 자에 대하여는 예산의 범위 내에서 야간근무수당을 지급한다.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근무시간은 22시부터 익일 06시까지의 근무를 원칙으로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제5조(휴일근무수당)</w:t>
      </w:r>
      <w:r>
        <w:rPr>
          <w:rFonts w:ascii="조선신명조" w:eastAsia="조선신명조"/>
          <w:shd w:val="clear" w:fill="ffffff"/>
        </w:rPr>
        <w:t xml:space="preserve"> 휴일에 근무하는 자에 대하여는 예산의 범위 내에서 휴일근무수당을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제6조(연차수당)</w:t>
      </w:r>
      <w:r>
        <w:rPr>
          <w:rFonts w:ascii="조선신명조" w:eastAsia="조선신명조"/>
          <w:shd w:val="clear" w:fill="ffffff"/>
        </w:rPr>
        <w:t xml:space="preserve"> 문화원 복무 규정 제15조에 의거 잔여 연차 휴가가 발생한 직원에게는 예산의 범위 내에서 [별표 1]의 기준에 의하여 그해 12월 말일까지 지급한다. 다만, 근로기준법 제61조 규정을 이행하였음에도 불구하고 직원 본인의 귀책사유로 휴가를 실시하지 아니한 경우에는 연차수당을 지급하지 아니할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제7조(정근수당)</w:t>
      </w:r>
      <w:r>
        <w:rPr>
          <w:rFonts w:ascii="조선신명조" w:eastAsia="조선신명조"/>
          <w:shd w:val="clear" w:fill="ffffff"/>
        </w:rPr>
        <w:t xml:space="preserve"> 직원에게는 예산의 범위 안에서 근무연수에 따라 매년 1월과 7월 보수지급일에 [별표 1]의 기준에 의하여 다음과 같이 정근수당을 지급한다.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1월에 지급되는 정근수당은 1월 1일 현재 문화원 직원의 신분을 보유하고 봉급이 지급되는 자 중 지급대상기간인 전년도 7월 1일부터 12월 31일까지 1월 이상 봉급이 지급된 직원에게 지급한다.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7월에 지급되는 정근수당은 7월 1일 현재 문화원 직원의 신분을 보유하고 봉급이 지급되는 자 중 지급대상기간인 당해연도 1월 1일부터 6월 30일까지 1월 이상 봉급이 지급된 직원에게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제8조(가족수당)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직원으로서 부양가족이 있는 자에게는 가족수당을 [별표 1]의 기준에 의하여 지급한다. 다만, 동일한 부양가족에 대하여 다른 기관에서 가족수당을 지급받고 있는 자는 제외하며 자녀의 경우에는 부양가족의 수가 4인을 초과하더라도 가족수당을 지급한다.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의한 부양가족이라 함은 부양의무를 가진 직원과 주민등록표상 생계를 같이 하는 다음 각 호에 해당하는 자를 말한다. 다만, 취학, 요양 또는 주거의 형편이나 직원의 근무형편에 의하여 당해 직원과 별거하고 있는 가족은 부양가족에 포함한다.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배우자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본인 및 배우자의 60세(여자인 경우에는 55세)이상의 직계존속 및 60세 미만의 직계존속 중 장애의 정도가 심한 자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본인 및 배우자의 19세 미만의 직계비속 및 19세 이상의 직계비속 중 장애의 정도가 심한 자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4. 본인 및 배우자의 형제자매 중 장애의 정도가 심한 자와 본인 및 배우자의 부모가 사망하거나 장애의 정도가 심한 자인 경우 본인 및 배우자의 19세 미만의 형제 자매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제9조(겸임수당)</w:t>
      </w:r>
      <w:r>
        <w:rPr>
          <w:rFonts w:ascii="조선신명조" w:eastAsia="조선신명조"/>
          <w:shd w:val="clear" w:fill="ffffff"/>
        </w:rPr>
        <w:t xml:space="preserve"> 직원이 본직 외에 다른 직에 겸임되는 경우 예산의 범위 내에서 겸임수당을 지급할 수 있다.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제10조</w:t>
      </w:r>
      <w:r>
        <w:rPr>
          <w:rFonts w:ascii="조선신명조" w:eastAsia="조선신명조"/>
          <w:shd w:val="clear" w:fill="ffffff"/>
        </w:rPr>
        <w:t xml:space="preserve"> 삭제 </w:t>
      </w:r>
      <w:r>
        <w:rPr>
          <w:rFonts w:ascii="조선신명조"/>
          <w:color w:val="0000ff"/>
          <w:shd w:val="clear" w:fill="ffffff"/>
        </w:rPr>
        <w:t>&lt;2020. 6. 3.&gt;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제11조(준용)</w:t>
      </w:r>
      <w:r>
        <w:rPr>
          <w:rFonts w:ascii="조선신명조" w:eastAsia="조선신명조"/>
          <w:shd w:val="clear" w:fill="ffffff"/>
        </w:rPr>
        <w:t xml:space="preserve"> 이 규정 및 문화원 제규정에 명시되지 않은 지급 기준 및 지급 방법은 지방공무원 보수규정 및 지방공무원 수당 등에 관한 규정에 따른다.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6. 3.)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제수당 지급 규정 [별표 1]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w w:val="90"/>
                <w:sz w:val="32"/>
                <w:u w:val="single"/>
              </w:rPr>
              <w:t>제수당 지급 기준표</w:t>
            </w:r>
            <w:r>
              <w:rPr>
                <w:rFonts w:ascii="조선굵은명조" w:eastAsia="조선굵은명조"/>
                <w:w w:val="90"/>
                <w:sz w:val="32"/>
              </w:rPr>
              <w:t xml:space="preserve"> (제3조, 제6조, 제7조 및 제8호 제1항 관련)</w:t>
            </w:r>
          </w:p>
        </w:tc>
      </w:tr>
    </w:tbl>
    <w:p>
      <w:pPr>
        <w:pStyle w:val="23"/>
        <w:widowControl w:val="off"/>
        <w:ind w:left="255" w:hanging="255"/>
      </w:pPr>
    </w:p>
    <w:tbl>
      <w:tblPr>
        <w:tblOverlap w:val="never"/>
        <w:tblW w:w="905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4"/>
        <w:gridCol w:w="4274"/>
        <w:gridCol w:w="1332"/>
        <w:gridCol w:w="1640"/>
      </w:tblGrid>
      <w:tr>
        <w:trPr>
          <w:trHeight w:val="523"/>
        </w:trPr>
        <w:tc>
          <w:tcPr>
            <w:tcW w:w="1804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가는고딕" w:eastAsia="조선가는고딕"/>
                <w:b/>
                <w:sz w:val="24"/>
                <w:shd w:val="clear" w:color="000000"/>
              </w:rPr>
              <w:t>수 당 명</w:t>
            </w:r>
          </w:p>
        </w:tc>
        <w:tc>
          <w:tcPr>
            <w:tcW w:w="4274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가는고딕" w:eastAsia="조선가는고딕"/>
                <w:b/>
                <w:sz w:val="24"/>
                <w:shd w:val="clear" w:color="000000"/>
              </w:rPr>
              <w:t>지 급 내 용</w:t>
            </w:r>
          </w:p>
        </w:tc>
        <w:tc>
          <w:tcPr>
            <w:tcW w:w="1332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b/>
                <w:sz w:val="24"/>
                <w:shd w:val="clear" w:color="000000"/>
              </w:rPr>
              <w:t>지급대상</w:t>
            </w:r>
          </w:p>
        </w:tc>
        <w:tc>
          <w:tcPr>
            <w:tcW w:w="1640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가는고딕" w:eastAsia="조선가는고딕"/>
                <w:b/>
                <w:sz w:val="24"/>
                <w:shd w:val="clear" w:color="000000"/>
              </w:rPr>
              <w:t>비  고</w:t>
            </w:r>
          </w:p>
        </w:tc>
      </w:tr>
      <w:tr>
        <w:trPr>
          <w:trHeight w:val="907"/>
        </w:trPr>
        <w:tc>
          <w:tcPr>
            <w:tcW w:w="180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시 간 외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근무수당</w:t>
            </w:r>
          </w:p>
        </w:tc>
        <w:tc>
          <w:tcPr>
            <w:tcW w:w="42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통상임금×1.5/209×시간</w:t>
            </w: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해당자</w:t>
            </w:r>
          </w:p>
        </w:tc>
        <w:tc>
          <w:tcPr>
            <w:tcW w:w="1640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100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1일 12시간</w:t>
            </w:r>
            <w:r>
              <w:rPr>
                <w:rFonts w:ascii="조선가는고딕"/>
                <w:spacing w:val="-12"/>
                <w:sz w:val="24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wordWrap w:val="1"/>
              <w:ind w:left="100"/>
            </w:pPr>
            <w:r>
              <w:rPr>
                <w:rFonts w:ascii="조선가는고딕" w:eastAsia="조선가는고딕"/>
                <w:spacing w:val="-12"/>
                <w:sz w:val="24"/>
                <w:shd w:val="clear" w:color="000000"/>
              </w:rPr>
              <w:t xml:space="preserve">이상 근로할 수 </w:t>
            </w:r>
          </w:p>
          <w:p>
            <w:pPr>
              <w:pStyle w:val="0"/>
              <w:widowControl w:val="off"/>
              <w:wordWrap w:val="1"/>
              <w:ind w:left="100"/>
            </w:pPr>
            <w:r>
              <w:rPr>
                <w:rFonts w:eastAsia="조선가는고딕"/>
                <w:spacing w:val="-12"/>
                <w:sz w:val="24"/>
                <w:shd w:val="clear" w:color="000000"/>
              </w:rPr>
              <w:t>없음</w:t>
            </w:r>
          </w:p>
        </w:tc>
      </w:tr>
      <w:tr>
        <w:trPr>
          <w:trHeight w:val="907"/>
        </w:trPr>
        <w:tc>
          <w:tcPr>
            <w:tcW w:w="180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야    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근무수당</w:t>
            </w:r>
          </w:p>
        </w:tc>
        <w:tc>
          <w:tcPr>
            <w:tcW w:w="42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51" w:hanging="451"/>
            </w:pPr>
            <w:r>
              <w:rPr>
                <w:rFonts w:ascii="조선가는고딕"/>
                <w:spacing w:val="-7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7"/>
                <w:sz w:val="24"/>
                <w:shd w:val="clear" w:color="000000"/>
              </w:rPr>
              <w:t>◦</w:t>
            </w:r>
            <w:r>
              <w:rPr>
                <w:rFonts w:ascii="조선가는고딕"/>
                <w:spacing w:val="-7"/>
                <w:sz w:val="24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sz w:val="24"/>
                <w:shd w:val="clear" w:color="000000"/>
              </w:rPr>
              <w:t>통상임금×0.5/209×시간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12"/>
                <w:sz w:val="24"/>
                <w:shd w:val="clear" w:color="000000"/>
              </w:rPr>
              <w:t xml:space="preserve">    (</w:t>
            </w:r>
            <w:r>
              <w:rPr>
                <w:rFonts w:ascii="조선가는고딕" w:eastAsia="조선가는고딕"/>
                <w:spacing w:val="-12"/>
                <w:sz w:val="24"/>
                <w:shd w:val="clear" w:color="000000"/>
              </w:rPr>
              <w:t>오후 10시부터 익일 6시 사이의 근로)</w:t>
            </w: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해당자</w:t>
            </w:r>
          </w:p>
        </w:tc>
        <w:tc>
          <w:tcPr>
            <w:tcW w:w="164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907"/>
        </w:trPr>
        <w:tc>
          <w:tcPr>
            <w:tcW w:w="180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휴    일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근무수당</w:t>
            </w:r>
          </w:p>
        </w:tc>
        <w:tc>
          <w:tcPr>
            <w:tcW w:w="42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통상임금×1.5/209×8시간×일수</w:t>
            </w: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해당자</w:t>
            </w:r>
          </w:p>
        </w:tc>
        <w:tc>
          <w:tcPr>
            <w:tcW w:w="164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23"/>
        </w:trPr>
        <w:tc>
          <w:tcPr>
            <w:tcW w:w="180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연차수당</w:t>
            </w:r>
          </w:p>
        </w:tc>
        <w:tc>
          <w:tcPr>
            <w:tcW w:w="42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통상임금×1/209×8시간×일수</w:t>
            </w: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해당자</w:t>
            </w:r>
          </w:p>
        </w:tc>
        <w:tc>
          <w:tcPr>
            <w:tcW w:w="164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4363"/>
        </w:trPr>
        <w:tc>
          <w:tcPr>
            <w:tcW w:w="180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정근수당</w:t>
            </w:r>
          </w:p>
        </w:tc>
        <w:tc>
          <w:tcPr>
            <w:tcW w:w="42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1년 미만 : 미지급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2년 미만 : 월봉급액의 5% 해당금액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3년 미만 : 월봉급액의 10% 해당금액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4년 미만 : 월봉급액의 15% 해당금액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5년 미만 : 월봉급액의 20% 해당금액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6년 미만 : 월봉급액의 25% 해당금액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7년 미만 : 월봉급액의 30% 해당금액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8년 미만 : 월봉급액의 35% 해당금액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9년 미만 : 월봉급액의 40% 해당금액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10년 미만 : 월봉급액의 45% 해당금액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10년 이상 : 월봉급액의 50% 해당금액</w:t>
            </w: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해당자</w:t>
            </w:r>
          </w:p>
        </w:tc>
        <w:tc>
          <w:tcPr>
            <w:tcW w:w="164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2443"/>
        </w:trPr>
        <w:tc>
          <w:tcPr>
            <w:tcW w:w="180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가족수당</w:t>
            </w:r>
          </w:p>
        </w:tc>
        <w:tc>
          <w:tcPr>
            <w:tcW w:w="42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배우자 : 월 40,000원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첫째자녀 : 월 20,000원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둘째자녀 : 월 60,000원</w:t>
            </w:r>
          </w:p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셋째 이후 자녀 : 1명당 월 100,000원</w:t>
            </w:r>
          </w:p>
          <w:p>
            <w:pPr>
              <w:pStyle w:val="0"/>
              <w:widowControl w:val="off"/>
              <w:ind w:left="492" w:hanging="492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배우자와 자녀를 제외한 부양가족 :</w:t>
            </w:r>
            <w:r>
              <w:br/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>1명당 월 20,000원</w:t>
            </w: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해당자</w:t>
            </w:r>
          </w:p>
        </w:tc>
        <w:tc>
          <w:tcPr>
            <w:tcW w:w="164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23"/>
        </w:trPr>
        <w:tc>
          <w:tcPr>
            <w:tcW w:w="1804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겸임수당</w:t>
            </w:r>
          </w:p>
        </w:tc>
        <w:tc>
          <w:tcPr>
            <w:tcW w:w="42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pacing w:val="-22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pacing w:val="-22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pacing w:val="-22"/>
                <w:sz w:val="24"/>
                <w:shd w:val="clear" w:color="000000"/>
              </w:rPr>
              <w:t xml:space="preserve">  기본급의 10%내</w:t>
            </w: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해당자</w:t>
            </w:r>
          </w:p>
        </w:tc>
        <w:tc>
          <w:tcPr>
            <w:tcW w:w="164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</w:pPr>
    </w:p>
    <w:sectPr>
      <w:headerReference r:id="rId1" w:type="default"/>
      <w:headerReference r:id="rId2" w:type="even"/>
      <w:headerReference r:id="rId4" w:type="even"/>
      <w:headerReference r:id="rId5" w:type="even"/>
      <w:headerReference r:id="rId7" w:type="default"/>
      <w:footerReference r:id="rId3" w:type="even"/>
      <w:footerReference r:id="rId6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2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26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4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4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4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4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4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42.xml"  /><Relationship Id="rId10" Type="http://schemas.openxmlformats.org/officeDocument/2006/relationships/numbering" Target="numbering.xml"  /><Relationship Id="rId2" Type="http://schemas.openxmlformats.org/officeDocument/2006/relationships/header" Target="header43.xml"  /><Relationship Id="rId3" Type="http://schemas.openxmlformats.org/officeDocument/2006/relationships/footer" Target="footer25.xml"  /><Relationship Id="rId4" Type="http://schemas.openxmlformats.org/officeDocument/2006/relationships/header" Target="header44.xml"  /><Relationship Id="rId5" Type="http://schemas.openxmlformats.org/officeDocument/2006/relationships/header" Target="header45.xml"  /><Relationship Id="rId6" Type="http://schemas.openxmlformats.org/officeDocument/2006/relationships/footer" Target="footer26.xml"  /><Relationship Id="rId7" Type="http://schemas.openxmlformats.org/officeDocument/2006/relationships/header" Target="header46.xml"  /><Relationship Id="rId8" Type="http://schemas.openxmlformats.org/officeDocument/2006/relationships/settings" Target="settings.xml"  /><Relationship Id="rId9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2023-05-24T06:44:43.564</dcterms:modified>
  <cp:version>0501.0100.01</cp:version>
</cp:coreProperties>
</file>