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header103.xml" ContentType="application/vnd.openxmlformats-officedocument.wordprocessingml.head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wordWrap w:val="1"/>
        <w:ind w:left="260" w:hanging="260"/>
        <w:jc w:val="center"/>
      </w:pPr>
      <w:bookmarkStart w:id="1" w:name="춘천문화원 민속예술단 운영 규칙"/>
      <w:bookmarkEnd w:id="1"/>
      <w:r>
        <w:rPr>
          <w:rFonts w:ascii="조선견고딕" w:eastAsia="조선견고딕"/>
          <w:sz w:val="30"/>
        </w:rPr>
        <w:t>춘천문화원 민속예술단 운영 규칙</w:t>
      </w:r>
    </w:p>
    <w:p>
      <w:pPr>
        <w:pStyle w:val="0"/>
        <w:widowControl w:val="off"/>
        <w:spacing w:line="552" w:lineRule="auto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wordWrap w:val="1"/>
        <w:spacing w:line="552" w:lineRule="auto"/>
        <w:jc w:val="right"/>
      </w:pPr>
      <w:r>
        <w:rPr>
          <w:rFonts w:ascii="조선신명조" w:eastAsia="조선신명조"/>
          <w:sz w:val="28"/>
        </w:rPr>
        <w:t>제정  2024. 7. 30. (규칙 제11호)</w:t>
      </w:r>
    </w:p>
    <w:p>
      <w:pPr>
        <w:pStyle w:val="0"/>
        <w:widowControl w:val="off"/>
        <w:spacing w:line="552" w:lineRule="auto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제1조(목적)</w:t>
      </w:r>
      <w:r>
        <w:rPr>
          <w:rFonts w:ascii="조선신명조" w:eastAsia="조선신명조"/>
          <w:sz w:val="28"/>
        </w:rPr>
        <w:t xml:space="preserve"> 이 규칙은 춘천문화원 민속예술단(이하 "예술단"이라 한다)의 조직 및 운영에 관한 사항을 규정함으로써 지역 고유의 민속문화 발굴 및 전승, 민속예술의 보존과 발전 그리고 예술단의 체계적 관리와 효율적인 운영을 도모함을 그 목적으로 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제2조(종류)</w:t>
      </w:r>
      <w:r>
        <w:rPr>
          <w:rFonts w:ascii="조선신명조" w:eastAsia="조선신명조"/>
          <w:sz w:val="28"/>
        </w:rPr>
        <w:t xml:space="preserve"> 예술단은 농악, 소리, 판소리, 무용, 미래전승의 분과(이하 “분과”)를 둔다.</w:t>
      </w:r>
    </w:p>
    <w:p>
      <w:pPr>
        <w:pStyle w:val="0"/>
        <w:widowControl w:val="off"/>
        <w:spacing w:line="552" w:lineRule="auto"/>
      </w:pPr>
      <w:r>
        <w:rPr>
          <w:rFonts w:ascii="조선굵은고딕" w:eastAsia="조선굵은고딕"/>
          <w:sz w:val="28"/>
        </w:rPr>
        <w:t>제3조(기능)</w:t>
      </w:r>
      <w:r>
        <w:rPr>
          <w:rFonts w:ascii="조선신명조" w:eastAsia="조선신명조"/>
          <w:sz w:val="28"/>
        </w:rPr>
        <w:t xml:space="preserve"> 예술단의 기능은 다음 각 호와 같다.</w:t>
      </w:r>
    </w:p>
    <w:p>
      <w:pPr>
        <w:pStyle w:val="0"/>
        <w:widowControl w:val="off"/>
        <w:spacing w:line="552" w:lineRule="auto"/>
      </w:pPr>
      <w:r>
        <w:rPr>
          <w:rFonts w:ascii="조선신명조" w:eastAsia="조선신명조"/>
          <w:sz w:val="28"/>
        </w:rPr>
        <w:t xml:space="preserve">  1. 지역 고유문화의 보존 및 전승</w:t>
      </w:r>
    </w:p>
    <w:p>
      <w:pPr>
        <w:pStyle w:val="0"/>
        <w:widowControl w:val="off"/>
        <w:spacing w:line="552" w:lineRule="auto"/>
        <w:ind w:left="488" w:hanging="488"/>
      </w:pPr>
      <w:r>
        <w:rPr>
          <w:rFonts w:ascii="조선신명조" w:eastAsia="조선신명조"/>
          <w:sz w:val="28"/>
        </w:rPr>
        <w:t xml:space="preserve">  2. 무형유산 등재 및 가치 확산</w:t>
      </w:r>
    </w:p>
    <w:p>
      <w:pPr>
        <w:pStyle w:val="0"/>
        <w:widowControl w:val="off"/>
        <w:spacing w:line="552" w:lineRule="auto"/>
        <w:ind w:left="487" w:hanging="487"/>
      </w:pPr>
      <w:r>
        <w:rPr>
          <w:rFonts w:ascii="조선신명조" w:eastAsia="조선신명조"/>
          <w:sz w:val="28"/>
        </w:rPr>
        <w:t xml:space="preserve">  3. 각종 공연과 경연대회 참가를 통한 춘천문화원(이하 “문화원”이라 한다) 홍보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제4조(조직)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예술단은 분과장, 전승강사를 포함하여 120명 이내로 구성한다.</w:t>
      </w:r>
    </w:p>
    <w:p>
      <w:pPr>
        <w:pStyle w:val="0"/>
        <w:widowControl w:val="off"/>
        <w:spacing w:line="552" w:lineRule="auto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예술단 분과별 단원의 정원은 [별표 1]과 같다.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굵은고딕" w:eastAsia="조선굵은고딕"/>
          <w:sz w:val="28"/>
        </w:rPr>
        <w:t>제5조(단장)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단장은 예술단을 대표하고 예술단의 운영을 총괄한다.</w:t>
      </w:r>
    </w:p>
    <w:p>
      <w:pPr>
        <w:pStyle w:val="0"/>
        <w:widowControl w:val="off"/>
        <w:spacing w:line="552" w:lineRule="auto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단장은 춘천문화원장(이하 “원장”이라 한다)으로 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제6조(분과장)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분과장은 해당 분과를 대표하고 각 분과의 운영을 책임진다.</w:t>
      </w:r>
    </w:p>
    <w:p>
      <w:pPr>
        <w:pStyle w:val="0"/>
        <w:widowControl w:val="off"/>
        <w:spacing w:line="552" w:lineRule="auto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분과장은 각 분과의 분야별 전문가 중 원장이 위촉한다.</w:t>
      </w:r>
    </w:p>
    <w:p>
      <w:pPr>
        <w:pStyle w:val="0"/>
        <w:widowControl w:val="off"/>
        <w:spacing w:line="552" w:lineRule="auto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③</w:t>
      </w:r>
      <w:r>
        <w:rPr>
          <w:rFonts w:ascii="조선신명조" w:eastAsia="조선신명조"/>
          <w:sz w:val="28"/>
        </w:rPr>
        <w:t xml:space="preserve"> 분과장의 임기는 2년으로 하며, 연임할 수 있다.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제7조(단원의 위촉)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단원은 공개모집을 통해 원장이 위촉한다. 다만, 국내에서 활동한 실적 등 특별한 경력이 인정되는 자는 특별모집에 의하여 위촉할 수 있다.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공개모집은 서류전형 및 실기전형으로 구분하여 실시하고, 특별모집은 경력 및 실력을 입증할 수 있는 서류전형의 방법에 의한다.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③</w:t>
      </w:r>
      <w:r>
        <w:rPr>
          <w:rFonts w:ascii="조선신명조" w:eastAsia="조선신명조"/>
          <w:sz w:val="28"/>
        </w:rPr>
        <w:t xml:space="preserve"> 단원은 문화원 회원이어야 하며, 단원마다 하나의 분과에만 소속된다. 단, 분과장 각각의 동의가 있는 경우에는 복수의 분과에 소속될 수 있다.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④</w:t>
      </w:r>
      <w:r>
        <w:rPr>
          <w:rFonts w:ascii="조선신명조" w:eastAsia="조선신명조"/>
          <w:sz w:val="28"/>
        </w:rPr>
        <w:t xml:space="preserve"> 단원의 임기는 2년으로 하되, 위촉기간이 끝난 후 운영위원회 심사를 거쳐 재위촉할 수 있다.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제8조(단원의 해촉)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단장은 단원이 다음 각 호의 어느 하나에 해당하는 경우, 운영위원회의 심의를 거쳐 해촉할 수 있다.</w:t>
      </w:r>
    </w:p>
    <w:p>
      <w:pPr>
        <w:pStyle w:val="0"/>
        <w:widowControl w:val="off"/>
        <w:spacing w:line="552" w:lineRule="auto"/>
      </w:pPr>
      <w:r>
        <w:rPr>
          <w:rFonts w:ascii="조선신명조" w:eastAsia="조선신명조"/>
          <w:sz w:val="28"/>
        </w:rPr>
        <w:t xml:space="preserve">  1. 단원으로서의 품위를 현저히 손상한 경우</w:t>
      </w:r>
    </w:p>
    <w:p>
      <w:pPr>
        <w:pStyle w:val="0"/>
        <w:widowControl w:val="off"/>
        <w:spacing w:line="552" w:lineRule="auto"/>
      </w:pPr>
      <w:r>
        <w:rPr>
          <w:rFonts w:ascii="조선신명조" w:eastAsia="조선신명조"/>
          <w:sz w:val="28"/>
        </w:rPr>
        <w:t xml:space="preserve">  2. 예술단의 규칙 및 결정 사항을 위반하는 경우</w:t>
      </w:r>
    </w:p>
    <w:p>
      <w:pPr>
        <w:pStyle w:val="0"/>
        <w:widowControl w:val="off"/>
        <w:spacing w:line="552" w:lineRule="auto"/>
      </w:pPr>
      <w:r>
        <w:rPr>
          <w:rFonts w:ascii="조선신명조" w:eastAsia="조선신명조"/>
          <w:sz w:val="28"/>
        </w:rPr>
        <w:t xml:space="preserve">  3. 예술단의 화합을 저해하는 행동을 하거나 선동하는 경우</w:t>
      </w:r>
    </w:p>
    <w:p>
      <w:pPr>
        <w:pStyle w:val="0"/>
        <w:widowControl w:val="off"/>
        <w:spacing w:line="552" w:lineRule="auto"/>
        <w:ind w:left="487" w:hanging="487"/>
      </w:pPr>
      <w:r>
        <w:rPr>
          <w:rFonts w:ascii="조선신명조" w:eastAsia="조선신명조"/>
          <w:sz w:val="28"/>
        </w:rPr>
        <w:t xml:space="preserve">  4. 예술단 연습 및 공연 등 예술단 활동 참여 태도가 불성실하거나 기량이 현저히 부족한 경우</w:t>
      </w:r>
    </w:p>
    <w:p>
      <w:pPr>
        <w:pStyle w:val="0"/>
        <w:widowControl w:val="off"/>
        <w:spacing w:line="552" w:lineRule="auto"/>
      </w:pPr>
      <w:r>
        <w:rPr>
          <w:rFonts w:ascii="조선신명조" w:eastAsia="조선신명조"/>
          <w:sz w:val="28"/>
        </w:rPr>
        <w:t xml:space="preserve">  5. 본인이 예술단 탈퇴를 원하는 경우</w:t>
      </w:r>
    </w:p>
    <w:p>
      <w:pPr>
        <w:pStyle w:val="0"/>
        <w:widowControl w:val="off"/>
        <w:spacing w:line="552" w:lineRule="auto"/>
      </w:pPr>
      <w:r>
        <w:rPr>
          <w:rFonts w:ascii="조선신명조" w:eastAsia="조선신명조"/>
          <w:sz w:val="28"/>
        </w:rPr>
        <w:t xml:space="preserve">  6. 기타 단원으로서 자격이 부적합하다고 단장이 인정하는 경우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제1항에 따라 해촉된 단원은 해촉된 날로부터 2년간 단원으로 재위촉될 수 없다.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제9조(단원의 의무)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분과장 및 전승강사는 예술단이 설립 목적을 달성할 수 있도록 단원의 기량 향상과 최상의 성과를 창출할 수 있도록 맡은 바 최선의 노력을 다한다.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단원은 분과별로 정해진 시간과 장소에서 연습을 해야 하며, 연 1회 이상 공연 또는 경연 활동에 성실히 참여해야 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③</w:t>
      </w:r>
      <w:r>
        <w:rPr>
          <w:rFonts w:ascii="조선신명조" w:eastAsia="조선신명조"/>
          <w:sz w:val="28"/>
        </w:rPr>
        <w:t xml:space="preserve"> 단원은 문화원의 제반 방침과 예술단 운영 규칙을 성실히 준수하여야 하며, 분과장 및 전승강사의 지도에 충실히 따를 의무를 진다.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제10조(운영위원회 설치)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예술단의 체계적 관리 및 운영을 위하여 춘천문화원 민속예술단 운영위원회(이하 “운영위원회”라 한다)를 둔다.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운영위원회는 위원장 1명을 포함하여 9인 이내로 당연직 위원과 위촉직 위원으로 구성한다.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③</w:t>
      </w:r>
      <w:r>
        <w:rPr>
          <w:rFonts w:ascii="조선신명조" w:eastAsia="조선신명조"/>
          <w:sz w:val="28"/>
        </w:rPr>
        <w:t xml:space="preserve"> 당연직 위원은 단장과 분과장이 되고, 위촉직 위원은 다음 각 호의 사람 중에서 원장이 위촉한다.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1. 문화·예술 관련 분야 종사자 또는 전문가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2. 예술단체의 대표 또는 단장(급)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④</w:t>
      </w:r>
      <w:r>
        <w:rPr>
          <w:rFonts w:ascii="조선신명조" w:eastAsia="조선신명조"/>
          <w:sz w:val="28"/>
        </w:rPr>
        <w:t xml:space="preserve"> 위원장은 단장으로 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⑤</w:t>
      </w:r>
      <w:r>
        <w:rPr>
          <w:rFonts w:ascii="조선신명조" w:eastAsia="조선신명조"/>
          <w:sz w:val="28"/>
        </w:rPr>
        <w:t xml:space="preserve"> 위촉직 위원의 임기는 2년으로 하되, 연임할 수 있다.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제11조(운영위원회 기능)</w:t>
      </w:r>
      <w:r>
        <w:rPr>
          <w:rFonts w:ascii="조선신명조" w:eastAsia="조선신명조"/>
          <w:sz w:val="28"/>
        </w:rPr>
        <w:t xml:space="preserve"> 운영위원회는 다음 각 호의 사항을 심의·의결한다.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1. 예술단 연간 운영계획 수립 및 시행에 관한 사항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2. 강원민속예술축제 출전 계획 수립에 관한 사항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3. 단원의 위·해촉에 관한 사항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4. 단원의 재위촉 심사에 관한 사항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5. 그 밖에 위원장이 회의에 부치는 사항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굵은고딕" w:eastAsia="조선굵은고딕"/>
          <w:sz w:val="28"/>
        </w:rPr>
        <w:t>제12조(운영위원회 소집)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운영위원회는 정기회의와 임시회의로 구분한다.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정기회의는 기본계획 수립 등을 위하여 연 1회 개최하고, 임시회의는 위원장이 필요하다고 인정되는 경우 또는 재적위원 2/3 이상의 요청이 있는 경우 위원장이 소집한다.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③</w:t>
      </w:r>
      <w:r>
        <w:rPr>
          <w:rFonts w:ascii="조선신명조" w:eastAsia="조선신명조"/>
          <w:sz w:val="28"/>
        </w:rPr>
        <w:t xml:space="preserve"> 회의는 재적위원 과반수의 출석으로 개의하고, 출석위원 과반수의 찬성으로 의결한다.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제13조(평정)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단원의 기량 관리와 체계적인 예술단 운영을 위하여 단원을 대상으로 평정을 실시한다.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전항의 단원 평정은 제7조 제4항에 의한 임기 만료 후 실시한다.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③</w:t>
      </w:r>
      <w:r>
        <w:rPr>
          <w:rFonts w:ascii="조선신명조" w:eastAsia="조선신명조"/>
          <w:sz w:val="28"/>
        </w:rPr>
        <w:t xml:space="preserve"> 평정의 세부방법 등에 관한 사항은 원장이 따로 정한다.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제14조(포상 및 징계)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단원 중 예술단 활동에 크게 기여한 자에 대하여는 포상할 수 있다.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단원의 의무를 다하지 않거나 규정을 위반한 자에 대하여는 징계를 할 수 있다.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③</w:t>
      </w:r>
      <w:r>
        <w:rPr>
          <w:rFonts w:ascii="조선신명조" w:eastAsia="조선신명조"/>
          <w:sz w:val="28"/>
        </w:rPr>
        <w:t xml:space="preserve"> 포상 및 징계에 관한 사항은 운영위원회의 심의를 거쳐 단장이 결정한다.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제15조(수당)</w:t>
      </w:r>
      <w:r>
        <w:rPr>
          <w:rFonts w:ascii="조선신명조" w:eastAsia="조선신명조"/>
          <w:sz w:val="28"/>
        </w:rPr>
        <w:t xml:space="preserve"> 운영위원회에 출석하는 위원에게는 예산의 범위에서 </w:t>
      </w:r>
      <w:r>
        <w:rPr>
          <w:rFonts w:ascii="조선신명조" w:eastAsia="조선신명조"/>
          <w:sz w:val="28"/>
        </w:rPr>
        <w:t>｢춘천문화원</w:t>
      </w:r>
      <w:r>
        <w:rPr>
          <w:rFonts w:ascii="조선신명조" w:eastAsia="조선신명조"/>
          <w:sz w:val="28"/>
        </w:rPr>
        <w:t xml:space="preserve"> 사업 집행을 위한 단가 지침</w:t>
      </w:r>
      <w:r>
        <w:rPr>
          <w:rFonts w:ascii="조선신명조" w:eastAsia="조선신명조"/>
          <w:sz w:val="28"/>
        </w:rPr>
        <w:t>｣에</w:t>
      </w:r>
      <w:r>
        <w:rPr>
          <w:rFonts w:ascii="조선신명조" w:eastAsia="조선신명조"/>
          <w:sz w:val="28"/>
        </w:rPr>
        <w:t xml:space="preserve"> 따라 수당을 지급할 수 있다.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제16조(지침)</w:t>
      </w:r>
      <w:r>
        <w:rPr>
          <w:rFonts w:ascii="조선신명조" w:eastAsia="조선신명조"/>
          <w:sz w:val="28"/>
        </w:rPr>
        <w:t xml:space="preserve"> 이 규칙의 시행에 필요한 세부 사항은 별도의 지침으로 정한다.</w:t>
      </w:r>
    </w:p>
    <w:p>
      <w:pPr>
        <w:pStyle w:val="0"/>
        <w:widowControl w:val="off"/>
        <w:spacing w:line="552" w:lineRule="auto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wordWrap w:val="1"/>
        <w:spacing w:line="552" w:lineRule="auto"/>
        <w:ind w:left="280" w:hanging="280"/>
        <w:jc w:val="center"/>
      </w:pPr>
      <w:r>
        <w:rPr>
          <w:rFonts w:ascii="조선굵은고딕" w:eastAsia="조선굵은고딕"/>
          <w:sz w:val="28"/>
        </w:rPr>
        <w:t>부      칙 (2024. 7. 30.)</w:t>
      </w:r>
    </w:p>
    <w:p>
      <w:pPr>
        <w:pStyle w:val="0"/>
        <w:widowControl w:val="off"/>
        <w:spacing w:line="552" w:lineRule="auto"/>
      </w:pPr>
      <w:r>
        <w:rPr>
          <w:rFonts w:ascii="조선굵은고딕" w:eastAsia="조선굵은고딕"/>
          <w:sz w:val="28"/>
        </w:rPr>
        <w:t>제1조(시행일)</w:t>
      </w:r>
      <w:r>
        <w:rPr>
          <w:rFonts w:ascii="조선신명조" w:eastAsia="조선신명조"/>
          <w:sz w:val="28"/>
        </w:rPr>
        <w:t xml:space="preserve"> 이 규칙은 원장의 승인을 받은 날부터 시행한다.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제2조(경과 조치)</w:t>
      </w:r>
      <w:r>
        <w:rPr>
          <w:rFonts w:ascii="조선신명조" w:eastAsia="조선신명조"/>
          <w:sz w:val="28"/>
        </w:rPr>
        <w:t xml:space="preserve"> 이 규칙 시행 전 위촉된 분과장 및 단원은 이 규칙에 의하여 위촉된 것으로 본다.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제3조(분과장 및 단원의 위촉기간에 관한 적용례)</w:t>
      </w:r>
      <w:r>
        <w:rPr>
          <w:rFonts w:ascii="조선신명조" w:eastAsia="조선신명조"/>
          <w:sz w:val="28"/>
        </w:rPr>
        <w:t xml:space="preserve"> 이 규칙 시행 전 위촉된 분과장과 단원에 대하여는 2024. 1. 1.을 임기 시작일로 본다.</w:t>
      </w:r>
    </w:p>
    <w:p>
      <w:pPr>
        <w:pStyle w:val="0"/>
        <w:widowControl w:val="off"/>
        <w:spacing w:line="552" w:lineRule="auto"/>
        <w:ind w:left="489" w:hanging="489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spacing w:line="552" w:lineRule="auto"/>
        <w:ind w:left="489" w:hanging="489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spacing w:line="552" w:lineRule="auto"/>
        <w:ind w:left="489" w:hanging="489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spacing w:line="552" w:lineRule="auto"/>
        <w:ind w:left="489" w:hanging="489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spacing w:line="552" w:lineRule="auto"/>
        <w:ind w:left="489" w:hanging="489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spacing w:line="552" w:lineRule="auto"/>
        <w:ind w:left="489" w:hanging="489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spacing w:line="552" w:lineRule="auto"/>
        <w:ind w:left="489" w:hanging="489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spacing w:line="552" w:lineRule="auto"/>
        <w:ind w:left="489" w:hanging="489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spacing w:line="552" w:lineRule="auto"/>
        <w:ind w:left="489" w:hanging="489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spacing w:line="552" w:lineRule="auto"/>
        <w:ind w:left="489" w:hanging="489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spacing w:line="552" w:lineRule="auto"/>
        <w:ind w:left="489" w:hanging="489"/>
        <w:rPr>
          <w:rFonts w:ascii="조선신명조" w:eastAsia="조선신명조"/>
          <w:color w:val="000000"/>
          <w:sz w:val="28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춘천문화원 민속예술단 운영 규칙 [별표 1]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돋움" w:eastAsia="돋움"/>
                <w:color w:val="000000"/>
                <w:w w:val="95"/>
                <w:sz w:val="18"/>
              </w:rPr>
            </w:pPr>
          </w:p>
        </w:tc>
      </w:tr>
      <w:tr>
        <w:trPr>
          <w:trHeight w:val="506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굵은명조" w:eastAsia="조선굵은명조"/>
                <w:sz w:val="32"/>
              </w:rPr>
              <w:t>민속예술단 분과별 정원 (제4조 관련)</w:t>
            </w:r>
          </w:p>
        </w:tc>
      </w:tr>
    </w:tbl>
    <w:p>
      <w:pPr>
        <w:pStyle w:val="0"/>
        <w:widowControl w:val="off"/>
        <w:spacing w:line="552" w:lineRule="auto"/>
        <w:ind w:left="489" w:hanging="489"/>
      </w:pPr>
    </w:p>
    <w:p>
      <w:pPr>
        <w:pStyle w:val="0"/>
        <w:widowControl w:val="off"/>
        <w:wordWrap w:val="1"/>
        <w:spacing w:line="552" w:lineRule="auto"/>
        <w:ind w:left="489" w:hanging="489"/>
        <w:jc w:val="center"/>
        <w:rPr>
          <w:rFonts w:ascii="조선신명조" w:eastAsia="조선신명조"/>
          <w:color w:val="000000"/>
          <w:sz w:val="28"/>
        </w:rPr>
      </w:pPr>
    </w:p>
    <w:tbl>
      <w:tblPr>
        <w:tblOverlap w:val="never"/>
        <w:tblW w:w="697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41"/>
        <w:gridCol w:w="3532"/>
      </w:tblGrid>
      <w:tr>
        <w:trPr>
          <w:trHeight w:val="599"/>
        </w:trPr>
        <w:tc>
          <w:tcPr>
            <w:tcW w:w="34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신명조"/>
                <w:sz w:val="26"/>
                <w:shd w:val="clear" w:color="000000"/>
              </w:rPr>
              <w:t>분과명</w:t>
            </w:r>
          </w:p>
        </w:tc>
        <w:tc>
          <w:tcPr>
            <w:tcW w:w="35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정  원</w:t>
            </w:r>
          </w:p>
        </w:tc>
      </w:tr>
      <w:tr>
        <w:trPr>
          <w:trHeight w:val="599"/>
        </w:trPr>
        <w:tc>
          <w:tcPr>
            <w:tcW w:w="34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신명조"/>
                <w:sz w:val="26"/>
                <w:shd w:val="clear" w:color="000000"/>
              </w:rPr>
              <w:t>농악</w:t>
            </w:r>
          </w:p>
        </w:tc>
        <w:tc>
          <w:tcPr>
            <w:tcW w:w="35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45명</w:t>
            </w:r>
          </w:p>
        </w:tc>
      </w:tr>
      <w:tr>
        <w:trPr>
          <w:trHeight w:val="599"/>
        </w:trPr>
        <w:tc>
          <w:tcPr>
            <w:tcW w:w="34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신명조"/>
                <w:sz w:val="26"/>
                <w:shd w:val="clear" w:color="000000"/>
              </w:rPr>
              <w:t>소리</w:t>
            </w:r>
          </w:p>
        </w:tc>
        <w:tc>
          <w:tcPr>
            <w:tcW w:w="35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20명</w:t>
            </w:r>
          </w:p>
        </w:tc>
      </w:tr>
      <w:tr>
        <w:trPr>
          <w:trHeight w:val="599"/>
        </w:trPr>
        <w:tc>
          <w:tcPr>
            <w:tcW w:w="34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신명조"/>
                <w:sz w:val="26"/>
                <w:shd w:val="clear" w:color="000000"/>
              </w:rPr>
              <w:t>판소리</w:t>
            </w:r>
          </w:p>
        </w:tc>
        <w:tc>
          <w:tcPr>
            <w:tcW w:w="35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20명</w:t>
            </w:r>
          </w:p>
        </w:tc>
      </w:tr>
      <w:tr>
        <w:trPr>
          <w:trHeight w:val="599"/>
        </w:trPr>
        <w:tc>
          <w:tcPr>
            <w:tcW w:w="34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신명조"/>
                <w:sz w:val="26"/>
                <w:shd w:val="clear" w:color="000000"/>
              </w:rPr>
              <w:t>무용</w:t>
            </w:r>
          </w:p>
        </w:tc>
        <w:tc>
          <w:tcPr>
            <w:tcW w:w="35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15명</w:t>
            </w:r>
          </w:p>
        </w:tc>
      </w:tr>
      <w:tr>
        <w:trPr>
          <w:trHeight w:val="599"/>
        </w:trPr>
        <w:tc>
          <w:tcPr>
            <w:tcW w:w="34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신명조"/>
                <w:sz w:val="26"/>
                <w:shd w:val="clear" w:color="000000"/>
              </w:rPr>
              <w:t>미래전승</w:t>
            </w:r>
          </w:p>
        </w:tc>
        <w:tc>
          <w:tcPr>
            <w:tcW w:w="35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신명조" w:eastAsia="조선신명조"/>
                <w:sz w:val="26"/>
                <w:shd w:val="clear" w:color="000000"/>
              </w:rPr>
              <w:t>20명</w:t>
            </w:r>
          </w:p>
        </w:tc>
      </w:tr>
    </w:tbl>
    <w:p>
      <w:pPr>
        <w:pStyle w:val="0"/>
        <w:widowControl w:val="off"/>
        <w:wordWrap w:val="1"/>
        <w:spacing w:line="552" w:lineRule="auto"/>
        <w:ind w:left="489" w:hanging="489"/>
        <w:jc w:val="center"/>
      </w:pPr>
    </w:p>
    <w:sectPr>
      <w:headerReference r:id="rId1" w:type="default"/>
      <w:headerReference r:id="rId2" w:type="even"/>
      <w:headerReference r:id="rId4" w:type="even"/>
      <w:footerReference r:id="rId3" w:type="even"/>
      <w:footerReference r:id="rId5" w:type="even"/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627" w:right="1417" w:bottom="1627" w:left="1417" w:header="720" w:footer="907" w:gutter="0"/>
      <w:cols w:space="0"/>
      <w:type w:val="continuous"/>
    </w:sectPr>
  </w:body>
</w:document>
</file>

<file path=word/footer65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ftr>
</file>

<file path=word/footer66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</w:pPr>
  </w:p>
  <w:tbl>
    <w:tblPr>
      <w:tblOverlap w:val="never"/>
      <w:tblW w:w="9071" w:type="dxa"/>
      <w:tblBorders>
        <w:top w:val="single" w:color="000000" w:sz="3"/>
        <w:left w:val="single" w:color="000000" w:sz="3"/>
        <w:bottom w:val="single" w:color="000000" w:sz="3"/>
        <w:right w:val="single" w:color="000000" w:sz="3"/>
      </w:tblBorders>
      <w:tblLayout w:type="fixed"/>
      <w:tblCellMar>
        <w:top w:w="28" w:type="dxa"/>
        <w:left w:w="102" w:type="dxa"/>
        <w:bottom w:w="28" w:type="dxa"/>
        <w:right w:w="102" w:type="dxa"/>
      </w:tblCellMar>
    </w:tblPr>
    <w:tblGrid>
      <w:gridCol w:w="571"/>
      <w:gridCol w:w="1929"/>
      <w:gridCol w:w="6571"/>
    </w:tblGrid>
    <w:tr>
      <w:trPr>
        <w:trHeight w:val="56"/>
      </w:trPr>
      <w:tc>
        <w:tcPr>
          <w:tcW w:w="571" w:type="dxa"/>
          <w:vMerge w:val="restart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vAlign w:val="center"/>
        </w:tcPr>
        <w:p>
          <w:pPr>
            <w:pStyle w:val="0"/>
            <w:widowControl w:val="off"/>
          </w:pPr>
          <w:fldSimple w:instr="PAGE  \* ARABIC">
            <w:r>
              <w:rPr/>
              <w:t>1</w:t>
            </w:r>
          </w:fldSimple>
        </w:p>
      </w:tc>
      <w:tc>
        <w:tcPr>
          <w:tcW w:w="1929" w:type="dxa"/>
          <w:vMerge w:val="restart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tcMar>
            <w:top w:w="28" w:type="dxa"/>
            <w:left w:w="102" w:type="dxa"/>
            <w:bottom w:w="28" w:type="dxa"/>
            <w:right w:w="0" w:type="dxa"/>
          </w:tcMar>
          <w:vAlign w:val="center"/>
        </w:tcPr>
        <w:p>
          <w:pPr>
            <w:pStyle w:val="0"/>
            <w:widowControl w:val="off"/>
          </w:pPr>
          <w:r>
            <w:rPr>
              <w:rFonts w:ascii="조선굵은명조" w:eastAsia="조선굵은명조"/>
            </w:rPr>
            <w:t>춘천문화원 제규정집</w:t>
          </w:r>
        </w:p>
      </w:tc>
      <w:tc>
        <w:tcPr>
          <w:tcW w:w="6571" w:type="dxa"/>
          <w:tcBorders>
            <w:top w:val="none" w:color="000000" w:sz="3"/>
            <w:left w:val="none" w:color="000000" w:sz="3"/>
            <w:bottom w:val="single" w:color="d3d2d2" w:sz="3"/>
            <w:right w:val="none" w:color="000000" w:sz="3"/>
          </w:tcBorders>
          <w:vAlign w:val="center"/>
        </w:tcPr>
        <w:p>
          <w:pPr>
            <w:pStyle w:val="0"/>
            <w:widowControl w:val="off"/>
            <w:rPr>
              <w:color w:val="000000"/>
              <w:sz w:val="12"/>
            </w:rPr>
          </w:pPr>
        </w:p>
      </w:tc>
    </w:tr>
    <w:tr>
      <w:trPr>
        <w:trHeight w:val="176"/>
      </w:trPr>
      <w:tc>
        <w:tcPr>
          <w:tcW w:w="571" w:type="dxa"/>
          <w:vMerge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</w:tcPr>
        <w:p/>
      </w:tc>
      <w:tc>
        <w:tcPr>
          <w:tcW w:w="1929" w:type="dxa"/>
          <w:vMerge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</w:tcPr>
        <w:p/>
      </w:tc>
      <w:tc>
        <w:tcPr>
          <w:tcW w:w="6571" w:type="dxa"/>
          <w:tcBorders>
            <w:top w:val="single" w:color="d3d2d2" w:sz="3"/>
            <w:left w:val="none" w:color="000000" w:sz="3"/>
            <w:bottom w:val="none" w:color="000000" w:sz="3"/>
            <w:right w:val="none" w:color="000000" w:sz="3"/>
          </w:tcBorders>
          <w:vAlign w:val="center"/>
        </w:tcPr>
        <w:p>
          <w:pPr>
            <w:pStyle w:val="0"/>
            <w:widowControl w:val="off"/>
            <w:rPr>
              <w:color w:val="000000"/>
              <w:sz w:val="12"/>
            </w:rPr>
          </w:pPr>
        </w:p>
      </w:tc>
    </w:tr>
  </w:tbl>
  <w:p>
    <w:pPr>
      <w:pStyle w:val="13"/>
      <w:widowControl w:val="off"/>
    </w:pPr>
  </w:p>
  <w:p>
    <w:pPr>
      <w:pStyle w:val="13"/>
      <w:widowControl w:val="off"/>
      <w:rPr/>
    </w:pPr>
  </w:p>
</w:ftr>
</file>

<file path=word/header103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header104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header105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evenAndOddHeaders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2">
    <w:name w:val="법령기본스타일"/>
    <w:uiPriority w:val="2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3">
    <w:name w:val="조"/>
    <w:uiPriority w:val="2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header" Target="header103.xml"  /><Relationship Id="rId2" Type="http://schemas.openxmlformats.org/officeDocument/2006/relationships/header" Target="header104.xml"  /><Relationship Id="rId3" Type="http://schemas.openxmlformats.org/officeDocument/2006/relationships/footer" Target="footer65.xml"  /><Relationship Id="rId4" Type="http://schemas.openxmlformats.org/officeDocument/2006/relationships/header" Target="header105.xml"  /><Relationship Id="rId5" Type="http://schemas.openxmlformats.org/officeDocument/2006/relationships/footer" Target="footer66.xml"  /><Relationship Id="rId6" Type="http://schemas.openxmlformats.org/officeDocument/2006/relationships/settings" Target="settings.xml"  /><Relationship Id="rId7" Type="http://schemas.openxmlformats.org/officeDocument/2006/relationships/styles" Target="styles.xml"  /><Relationship Id="rId8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지방문화원진흥법</dc:title>
  <dc:creator>김문겸</dc:creator>
  <cp:lastModifiedBy>김문겸</cp:lastModifiedBy>
  <dcterms:created xsi:type="dcterms:W3CDTF">2023-05-24T00:24:16.723</dcterms:created>
  <dcterms:modified xsi:type="dcterms:W3CDTF">2025-05-27T05:53:32.562</dcterms:modified>
  <cp:version>0501.0100.01</cp:version>
</cp:coreProperties>
</file>