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56.png" ContentType="image/png"/>
  <Override PartName="/word/media/rId53.png" ContentType="image/png"/>
  <Override PartName="/word/media/rId48.png" ContentType="image/png"/>
  <Override PartName="/word/media/rId60.png" ContentType="image/png"/>
  <Override PartName="/word/media/rId62.png" ContentType="image/png"/>
  <Override PartName="/word/media/rId46.png" ContentType="image/png"/>
  <Override PartName="/word/media/rId44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Riesgo</w:t>
      </w:r>
      <w:r>
        <w:t xml:space="preserve"> </w:t>
      </w:r>
      <w:r>
        <w:t xml:space="preserve">de</w:t>
      </w:r>
      <w:r>
        <w:t xml:space="preserve"> </w:t>
      </w:r>
      <w:r>
        <w:t xml:space="preserve">automatización</w:t>
      </w:r>
      <w:r>
        <w:t xml:space="preserve"> </w:t>
      </w:r>
      <w:r>
        <w:t xml:space="preserve">laboral</w:t>
      </w:r>
      <w:r>
        <w:t xml:space="preserve"> </w:t>
      </w:r>
      <w:r>
        <w:t xml:space="preserve">por</w:t>
      </w:r>
      <w:r>
        <w:t xml:space="preserve"> </w:t>
      </w:r>
      <w:r>
        <w:t xml:space="preserve">inteligencia</w:t>
      </w:r>
      <w:r>
        <w:t xml:space="preserve"> </w:t>
      </w:r>
      <w:r>
        <w:t xml:space="preserve">artificial</w:t>
      </w:r>
      <w:r>
        <w:t xml:space="preserve"> </w:t>
      </w:r>
      <w:r>
        <w:t xml:space="preserve">en</w:t>
      </w:r>
      <w:r>
        <w:t xml:space="preserve"> </w:t>
      </w:r>
      <w:r>
        <w:t xml:space="preserve">Jalisco</w:t>
      </w:r>
    </w:p>
    <w:p>
      <w:pPr>
        <w:pStyle w:val="Subtitle"/>
      </w:pPr>
      <w:r>
        <w:t xml:space="preserve">Exposición</w:t>
      </w:r>
      <w:r>
        <w:t xml:space="preserve"> </w:t>
      </w:r>
      <w:r>
        <w:t xml:space="preserve">cognitiva</w:t>
      </w:r>
      <w:r>
        <w:t xml:space="preserve"> </w:t>
      </w:r>
      <w:r>
        <w:t xml:space="preserve">y</w:t>
      </w:r>
      <w:r>
        <w:t xml:space="preserve"> </w:t>
      </w:r>
      <w:r>
        <w:t xml:space="preserve">encarnada,</w:t>
      </w:r>
      <w:r>
        <w:t xml:space="preserve"> </w:t>
      </w:r>
      <w:r>
        <w:t xml:space="preserve">incentivo</w:t>
      </w:r>
      <w:r>
        <w:t xml:space="preserve"> </w:t>
      </w:r>
      <w:r>
        <w:t xml:space="preserve">económico</w:t>
      </w:r>
      <w:r>
        <w:t xml:space="preserve"> </w:t>
      </w:r>
      <w:r>
        <w:t xml:space="preserve">y</w:t>
      </w:r>
      <w:r>
        <w:t xml:space="preserve"> </w:t>
      </w:r>
      <w:r>
        <w:t xml:space="preserve">proyección</w:t>
      </w:r>
      <w:r>
        <w:t xml:space="preserve"> </w:t>
      </w:r>
      <w:r>
        <w:t xml:space="preserve">2025–2030</w:t>
      </w:r>
    </w:p>
    <w:p>
      <w:pPr>
        <w:pStyle w:val="Author"/>
      </w:pPr>
      <w:r>
        <w:t xml:space="preserve">Carlos</w:t>
      </w:r>
      <w:r>
        <w:t xml:space="preserve"> </w:t>
      </w:r>
      <w:r>
        <w:t xml:space="preserve">Pulido</w:t>
      </w:r>
      <w:r>
        <w:t xml:space="preserve"> </w:t>
      </w:r>
      <w:r>
        <w:t xml:space="preserve">Rosas</w:t>
      </w:r>
      <w:r>
        <w:t xml:space="preserve"> </w:t>
      </w:r>
      <w:r>
        <w:t xml:space="preserve">—</w:t>
      </w:r>
      <w:r>
        <w:t xml:space="preserve"> </w:t>
      </w:r>
      <w:r>
        <w:t xml:space="preserve">Maestría</w:t>
      </w:r>
      <w:r>
        <w:t xml:space="preserve"> </w:t>
      </w:r>
      <w:r>
        <w:t xml:space="preserve">en</w:t>
      </w:r>
      <w:r>
        <w:t xml:space="preserve"> </w:t>
      </w:r>
      <w:r>
        <w:t xml:space="preserve">Ciencias</w:t>
      </w:r>
      <w:r>
        <w:t xml:space="preserve"> </w:t>
      </w:r>
      <w:r>
        <w:t xml:space="preserve">de</w:t>
      </w:r>
      <w:r>
        <w:t xml:space="preserve"> </w:t>
      </w:r>
      <w:r>
        <w:t xml:space="preserve">los</w:t>
      </w:r>
      <w:r>
        <w:t xml:space="preserve"> </w:t>
      </w:r>
      <w:r>
        <w:t xml:space="preserve">Datos,</w:t>
      </w:r>
      <w:r>
        <w:t xml:space="preserve"> </w:t>
      </w:r>
      <w:r>
        <w:t xml:space="preserve">CUCEA,</w:t>
      </w:r>
      <w:r>
        <w:t xml:space="preserve"> </w:t>
      </w:r>
      <w:r>
        <w:t xml:space="preserve">Universidad</w:t>
      </w:r>
      <w:r>
        <w:t xml:space="preserve"> </w:t>
      </w:r>
      <w:r>
        <w:t xml:space="preserve">de</w:t>
      </w:r>
      <w:r>
        <w:t xml:space="preserve"> </w:t>
      </w:r>
      <w:r>
        <w:t xml:space="preserve">Guadalajara</w:t>
      </w:r>
    </w:p>
    <w:p>
      <w:pPr>
        <w:pStyle w:val="Date"/>
      </w:pPr>
      <w:r>
        <w:t xml:space="preserve">BORRADOR</w:t>
      </w:r>
      <w:r>
        <w:t xml:space="preserve"> </w:t>
      </w:r>
      <w:r>
        <w:t xml:space="preserve">PARA</w:t>
      </w:r>
      <w:r>
        <w:t xml:space="preserve"> </w:t>
      </w:r>
      <w:r>
        <w:t xml:space="preserve">REVISIÓN</w:t>
      </w:r>
      <w:r>
        <w:t xml:space="preserve"> </w:t>
      </w:r>
      <w:r>
        <w:t xml:space="preserve">—</w:t>
      </w:r>
      <w:r>
        <w:t xml:space="preserve"> </w:t>
      </w:r>
      <w:r>
        <w:t xml:space="preserve">junio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Cs/>
          <w:i/>
        </w:rPr>
        <w:t xml:space="preserve">Repositorio: github.com/Carpuro/ai-automation-risk-jalisco — todos los</w:t>
      </w:r>
      <w:r>
        <w:rPr>
          <w:iCs/>
          <w:i/>
        </w:rPr>
        <w:t xml:space="preserve"> </w:t>
      </w:r>
      <w:r>
        <w:rPr>
          <w:iCs/>
          <w:i/>
        </w:rPr>
        <w:t xml:space="preserve">resultados son reproducibles; cada cifra proviene de una tabla generada por</w:t>
      </w:r>
      <w:r>
        <w:rPr>
          <w:iCs/>
          <w:i/>
        </w:rPr>
        <w:t xml:space="preserve"> </w:t>
      </w:r>
      <w:r>
        <w:rPr>
          <w:iCs/>
          <w:i/>
        </w:rPr>
        <w:t xml:space="preserve">un script versionado.</w:t>
      </w:r>
    </w:p>
    <w:bookmarkStart w:id="25" w:name="capítulo-1.-introducción"/>
    <w:p>
      <w:pPr>
        <w:pStyle w:val="Heading1"/>
      </w:pPr>
      <w:r>
        <w:t xml:space="preserve">Capítulo 1. Introducción</w:t>
      </w:r>
    </w:p>
    <w:bookmarkStart w:id="20" w:name="el-problema"/>
    <w:p>
      <w:pPr>
        <w:pStyle w:val="Heading2"/>
      </w:pPr>
      <w:r>
        <w:t xml:space="preserve">1.1 El problema</w:t>
      </w:r>
    </w:p>
    <w:p>
      <w:pPr>
        <w:pStyle w:val="FirstParagraph"/>
      </w:pPr>
      <w:r>
        <w:t xml:space="preserve">El debate público sobre la automatización por inteligencia artificial trata</w:t>
      </w:r>
      <w:r>
        <w:t xml:space="preserve"> </w:t>
      </w:r>
      <w:r>
        <w:t xml:space="preserve">al fenómeno como un riesgo único:</w:t>
      </w:r>
      <w:r>
        <w:t xml:space="preserve"> </w:t>
      </w:r>
      <w:r>
        <w:t xml:space="preserve">“</w:t>
      </w:r>
      <w:r>
        <w:t xml:space="preserve">la IA</w:t>
      </w:r>
      <w:r>
        <w:t xml:space="preserve">”</w:t>
      </w:r>
      <w:r>
        <w:t xml:space="preserve"> </w:t>
      </w:r>
      <w:r>
        <w:t xml:space="preserve">amenaza</w:t>
      </w:r>
      <w:r>
        <w:t xml:space="preserve"> </w:t>
      </w:r>
      <w:r>
        <w:t xml:space="preserve">“</w:t>
      </w:r>
      <w:r>
        <w:t xml:space="preserve">los empleos</w:t>
      </w:r>
      <w:r>
        <w:t xml:space="preserve">”</w:t>
      </w:r>
      <w:r>
        <w:t xml:space="preserve">. Esta tesis</w:t>
      </w:r>
      <w:r>
        <w:t xml:space="preserve"> </w:t>
      </w:r>
      <w:r>
        <w:t xml:space="preserve">parte de una observación que ese debate omite y que cambia sus conclusiones:</w:t>
      </w:r>
      <w:r>
        <w:t xml:space="preserve"> </w:t>
      </w:r>
      <w:r>
        <w:t xml:space="preserve">la inteligencia artificial no es una tecnología sino</w:t>
      </w:r>
      <w:r>
        <w:t xml:space="preserve"> </w:t>
      </w:r>
      <w:r>
        <w:rPr>
          <w:bCs/>
          <w:b/>
        </w:rPr>
        <w:t xml:space="preserve">dos fronteras</w:t>
      </w:r>
      <w:r>
        <w:rPr>
          <w:bCs/>
          <w:b/>
        </w:rPr>
        <w:t xml:space="preserve"> </w:t>
      </w:r>
      <w:r>
        <w:rPr>
          <w:bCs/>
          <w:b/>
        </w:rPr>
        <w:t xml:space="preserve">distintas</w:t>
      </w:r>
      <w:r>
        <w:t xml:space="preserve"> </w:t>
      </w:r>
      <w:r>
        <w:t xml:space="preserve">— la cognitiva, encabezada por los modelos de lenguaje, y la</w:t>
      </w:r>
      <w:r>
        <w:t xml:space="preserve"> </w:t>
      </w:r>
      <w:r>
        <w:t xml:space="preserve">encarnada, materializada en robots, drones y máquinas autónomas — con física</w:t>
      </w:r>
      <w:r>
        <w:t xml:space="preserve"> </w:t>
      </w:r>
      <w:r>
        <w:t xml:space="preserve">distinta, curvas de costo distintas, canales de difusión distintos y, como</w:t>
      </w:r>
      <w:r>
        <w:t xml:space="preserve"> </w:t>
      </w:r>
      <w:r>
        <w:t xml:space="preserve">esta tesis demuestra,</w:t>
      </w:r>
      <w:r>
        <w:t xml:space="preserve"> </w:t>
      </w:r>
      <w:r>
        <w:rPr>
          <w:bCs/>
          <w:b/>
        </w:rPr>
        <w:t xml:space="preserve">víctimas distintas</w:t>
      </w:r>
      <w:r>
        <w:t xml:space="preserve">. Las ocupaciones más expuestas</w:t>
      </w:r>
      <w:r>
        <w:t xml:space="preserve"> </w:t>
      </w:r>
      <w:r>
        <w:t xml:space="preserve">a una frontera son, sistemáticamente, las menos expuestas a la otra.</w:t>
      </w:r>
    </w:p>
    <w:p>
      <w:pPr>
        <w:pStyle w:val="BodyText"/>
      </w:pPr>
      <w:r>
        <w:t xml:space="preserve">La omisión es especialmente costosa para un mercado laboral como el de</w:t>
      </w:r>
      <w:r>
        <w:t xml:space="preserve"> </w:t>
      </w:r>
      <w:r>
        <w:t xml:space="preserve">Jalisco. El estado combina, en una escala que ningún otro reproduce, un polo</w:t>
      </w:r>
      <w:r>
        <w:t xml:space="preserve"> </w:t>
      </w:r>
      <w:r>
        <w:t xml:space="preserve">de servicios modernos —el sector tecnológico de Guadalajara— y un corredor</w:t>
      </w:r>
      <w:r>
        <w:t xml:space="preserve"> </w:t>
      </w:r>
      <w:r>
        <w:t xml:space="preserve">industrial y agroalimentario que el nearshoring expande; emplea a 3.9</w:t>
      </w:r>
      <w:r>
        <w:t xml:space="preserve"> </w:t>
      </w:r>
      <w:r>
        <w:t xml:space="preserve">millones de personas de las cuales más de la mitad trabaja en la</w:t>
      </w:r>
      <w:r>
        <w:t xml:space="preserve"> </w:t>
      </w:r>
      <w:r>
        <w:t xml:space="preserve">informalidad, sin red de protección; y recibe la inversión extranjera que</w:t>
      </w:r>
      <w:r>
        <w:t xml:space="preserve"> </w:t>
      </w:r>
      <w:r>
        <w:t xml:space="preserve">trae consigo la frontera global de automatización. Preguntar</w:t>
      </w:r>
      <w:r>
        <w:t xml:space="preserve"> </w:t>
      </w:r>
      <w:r>
        <w:t xml:space="preserve">“</w:t>
      </w:r>
      <w:r>
        <w:t xml:space="preserve">¿cuántos</w:t>
      </w:r>
      <w:r>
        <w:t xml:space="preserve"> </w:t>
      </w:r>
      <w:r>
        <w:t xml:space="preserve">empleos están en riesgo?</w:t>
      </w:r>
      <w:r>
        <w:t xml:space="preserve">”</w:t>
      </w:r>
      <w:r>
        <w:t xml:space="preserve"> </w:t>
      </w:r>
      <w:r>
        <w:t xml:space="preserve">sin distinguir frontera, incentivo económico y</w:t>
      </w:r>
      <w:r>
        <w:t xml:space="preserve"> </w:t>
      </w:r>
      <w:r>
        <w:t xml:space="preserve">protección social produce respuestas que no sirven para decidir nada.</w:t>
      </w:r>
    </w:p>
    <w:p>
      <w:pPr>
        <w:pStyle w:val="BodyText"/>
      </w:pPr>
      <w:r>
        <w:t xml:space="preserve">A esa pregunta mal planteada esta tesis opone tres bien planteadas: ¿cómo se</w:t>
      </w:r>
      <w:r>
        <w:t xml:space="preserve"> </w:t>
      </w:r>
      <w:r>
        <w:t xml:space="preserve">distribuye la exposición a cada frontera entre las ocupaciones, las personas</w:t>
      </w:r>
      <w:r>
        <w:t xml:space="preserve"> </w:t>
      </w:r>
      <w:r>
        <w:t xml:space="preserve">y el territorio de Jalisco? ¿El mercado efectivamente automatiza donde la</w:t>
      </w:r>
      <w:r>
        <w:t xml:space="preserve"> </w:t>
      </w:r>
      <w:r>
        <w:t xml:space="preserve">exposición existe — o solo donde además es rentable? Y ¿qué dimensión tiene</w:t>
      </w:r>
      <w:r>
        <w:t xml:space="preserve"> </w:t>
      </w:r>
      <w:r>
        <w:t xml:space="preserve">la presión que las trayectorias tecnológicas actuales implican hacia 2030?</w:t>
      </w:r>
    </w:p>
    <w:bookmarkEnd w:id="20"/>
    <w:bookmarkStart w:id="21" w:name="pregunta-de-investigación-e-hipótesis"/>
    <w:p>
      <w:pPr>
        <w:pStyle w:val="Heading2"/>
      </w:pPr>
      <w:r>
        <w:t xml:space="preserve">1.2 Pregunta de investigación e hipótesis</w:t>
      </w:r>
    </w:p>
    <w:p>
      <w:pPr>
        <w:pStyle w:val="BlockText"/>
      </w:pPr>
      <w:r>
        <w:rPr>
          <w:bCs/>
          <w:b/>
        </w:rPr>
        <w:t xml:space="preserve">¿Cómo se distribuye el riesgo de automatización por inteligencia</w:t>
      </w:r>
      <w:r>
        <w:rPr>
          <w:bCs/>
          <w:b/>
        </w:rPr>
        <w:t xml:space="preserve"> </w:t>
      </w:r>
      <w:r>
        <w:rPr>
          <w:bCs/>
          <w:b/>
        </w:rPr>
        <w:t xml:space="preserve">artificial en el mercado laboral de Jalisco entre la frontera cognitiva y</w:t>
      </w:r>
      <w:r>
        <w:rPr>
          <w:bCs/>
          <w:b/>
        </w:rPr>
        <w:t xml:space="preserve"> </w:t>
      </w:r>
      <w:r>
        <w:rPr>
          <w:bCs/>
          <w:b/>
        </w:rPr>
        <w:t xml:space="preserve">la encarnada, y qué determina cuál de las dos domina en cada ocupación,</w:t>
      </w:r>
      <w:r>
        <w:rPr>
          <w:bCs/>
          <w:b/>
        </w:rPr>
        <w:t xml:space="preserve"> </w:t>
      </w:r>
      <w:r>
        <w:rPr>
          <w:bCs/>
          <w:b/>
        </w:rPr>
        <w:t xml:space="preserve">sector y territorio?</w:t>
      </w:r>
    </w:p>
    <w:p>
      <w:pPr>
        <w:pStyle w:val="FirstParagraph"/>
      </w:pPr>
      <w:r>
        <w:t xml:space="preserve">Del marco teórico (capítulo 2) se derivan cuatro hipótesis.</w:t>
      </w:r>
      <w:r>
        <w:t xml:space="preserve"> </w:t>
      </w:r>
      <w:r>
        <w:rPr>
          <w:bCs/>
          <w:b/>
        </w:rPr>
        <w:t xml:space="preserve">H1</w:t>
      </w:r>
      <w:r>
        <w:t xml:space="preserve">: la</w:t>
      </w:r>
      <w:r>
        <w:t xml:space="preserve"> </w:t>
      </w:r>
      <w:r>
        <w:t xml:space="preserve">exposición a los modelos de lenguaje sigue la jerarquía ocupacional —máxima</w:t>
      </w:r>
      <w:r>
        <w:t xml:space="preserve"> </w:t>
      </w:r>
      <w:r>
        <w:t xml:space="preserve">en el trabajo directivo y profesional, mínima en el elemental—, invirtiendo</w:t>
      </w:r>
      <w:r>
        <w:t xml:space="preserve"> </w:t>
      </w:r>
      <w:r>
        <w:t xml:space="preserve">la zona segura de Frey-Osborne.</w:t>
      </w:r>
      <w:r>
        <w:t xml:space="preserve"> </w:t>
      </w:r>
      <w:r>
        <w:rPr>
          <w:bCs/>
          <w:b/>
        </w:rPr>
        <w:t xml:space="preserve">H2</w:t>
      </w:r>
      <w:r>
        <w:t xml:space="preserve">: las dos exposiciones no son riesgos</w:t>
      </w:r>
      <w:r>
        <w:t xml:space="preserve"> </w:t>
      </w:r>
      <w:r>
        <w:t xml:space="preserve">independientes sino polos opuestos de una dimensión dominante.</w:t>
      </w:r>
      <w:r>
        <w:t xml:space="preserve"> </w:t>
      </w:r>
      <w:r>
        <w:rPr>
          <w:bCs/>
          <w:b/>
        </w:rPr>
        <w:t xml:space="preserve">H3</w:t>
      </w:r>
      <w:r>
        <w:t xml:space="preserve">: la</w:t>
      </w:r>
      <w:r>
        <w:t xml:space="preserve"> </w:t>
      </w:r>
      <w:r>
        <w:t xml:space="preserve">composición del empleo de Jalisco lo sitúa por debajo del centro de la</w:t>
      </w:r>
      <w:r>
        <w:t xml:space="preserve"> </w:t>
      </w:r>
      <w:r>
        <w:t xml:space="preserve">frontera cognitiva y por encima del de la encarnada.</w:t>
      </w:r>
      <w:r>
        <w:t xml:space="preserve"> </w:t>
      </w:r>
      <w:r>
        <w:rPr>
          <w:bCs/>
          <w:b/>
        </w:rPr>
        <w:t xml:space="preserve">H4</w:t>
      </w:r>
      <w:r>
        <w:t xml:space="preserve">: la exposición</w:t>
      </w:r>
      <w:r>
        <w:t xml:space="preserve"> </w:t>
      </w:r>
      <w:r>
        <w:t xml:space="preserve">técnica se convierte en presión real solo donde la relación entre salario y</w:t>
      </w:r>
      <w:r>
        <w:t xml:space="preserve"> </w:t>
      </w:r>
      <w:r>
        <w:t xml:space="preserve">costo de capital hace rentable la sustitución.</w:t>
      </w:r>
    </w:p>
    <w:bookmarkEnd w:id="21"/>
    <w:bookmarkStart w:id="22" w:name="contribuciones"/>
    <w:p>
      <w:pPr>
        <w:pStyle w:val="Heading2"/>
      </w:pPr>
      <w:r>
        <w:t xml:space="preserve">1.3 Contribuciones</w:t>
      </w:r>
    </w:p>
    <w:p>
      <w:pPr>
        <w:pStyle w:val="FirstParagraph"/>
      </w:pPr>
      <w:r>
        <w:t xml:space="preserve">La tesis hace cuatro contribuciones verificables.</w:t>
      </w:r>
    </w:p>
    <w:p>
      <w:pPr>
        <w:pStyle w:val="BodyText"/>
      </w:pPr>
      <w:r>
        <w:rPr>
          <w:bCs/>
          <w:b/>
        </w:rPr>
        <w:t xml:space="preserve">Dos índices propios.</w:t>
      </w:r>
      <w:r>
        <w:t xml:space="preserve"> </w:t>
      </w:r>
      <w:r>
        <w:t xml:space="preserve">El DBOE (</w:t>
      </w:r>
      <w:r>
        <w:rPr>
          <w:iCs/>
          <w:i/>
        </w:rPr>
        <w:t xml:space="preserve">Dynamic Benchmark-based Occupational</w:t>
      </w:r>
      <w:r>
        <w:rPr>
          <w:iCs/>
          <w:i/>
        </w:rPr>
        <w:t xml:space="preserve"> </w:t>
      </w:r>
      <w:r>
        <w:rPr>
          <w:iCs/>
          <w:i/>
        </w:rPr>
        <w:t xml:space="preserve">Exposure</w:t>
      </w:r>
      <w:r>
        <w:t xml:space="preserve">) dota de dinámica temporal medida al índice de exposición de</w:t>
      </w:r>
      <w:r>
        <w:t xml:space="preserve"> </w:t>
      </w:r>
      <w:r>
        <w:t xml:space="preserve">Felten et al. (2021), reemplazando su capacidad constante por curvas anuales</w:t>
      </w:r>
      <w:r>
        <w:t xml:space="preserve"> </w:t>
      </w:r>
      <w:r>
        <w:t xml:space="preserve">de la frontera de modelos en benchmarks públicos; reproduce el índice</w:t>
      </w:r>
      <w:r>
        <w:t xml:space="preserve"> </w:t>
      </w:r>
      <w:r>
        <w:t xml:space="preserve">publicado con r = 0.94. El DEOE (</w:t>
      </w:r>
      <w:r>
        <w:rPr>
          <w:iCs/>
          <w:i/>
        </w:rPr>
        <w:t xml:space="preserve">Dynamic Embodied Occupational Exposure</w:t>
      </w:r>
      <w:r>
        <w:t xml:space="preserve">)</w:t>
      </w:r>
      <w:r>
        <w:t xml:space="preserve"> </w:t>
      </w:r>
      <w:r>
        <w:t xml:space="preserve">construye el eje encarnado que la literatura no tenía, validado contra la</w:t>
      </w:r>
      <w:r>
        <w:t xml:space="preserve"> </w:t>
      </w:r>
      <w:r>
        <w:t xml:space="preserve">exposición robótica por patentes de Webb (r = +0.76). En el proceso se</w:t>
      </w:r>
      <w:r>
        <w:t xml:space="preserve"> </w:t>
      </w:r>
      <w:r>
        <w:t xml:space="preserve">documenta que dos índices publicados como físicos son empíricamente</w:t>
      </w:r>
      <w:r>
        <w:t xml:space="preserve"> </w:t>
      </w:r>
      <w:r>
        <w:t xml:space="preserve">cognitivos — sin un eje encarnado propio, la batería disponible no podía</w:t>
      </w:r>
      <w:r>
        <w:t xml:space="preserve"> </w:t>
      </w:r>
      <w:r>
        <w:t xml:space="preserve">hablar de robots.</w:t>
      </w:r>
    </w:p>
    <w:p>
      <w:pPr>
        <w:pStyle w:val="BodyText"/>
      </w:pPr>
      <w:r>
        <w:rPr>
          <w:bCs/>
          <w:b/>
        </w:rPr>
        <w:t xml:space="preserve">La estructura bipolar con datos propios.</w:t>
      </w:r>
      <w:r>
        <w:t xml:space="preserve"> </w:t>
      </w:r>
      <w:r>
        <w:t xml:space="preserve">Análisis factorial exploratorio</w:t>
      </w:r>
      <w:r>
        <w:t xml:space="preserve"> </w:t>
      </w:r>
      <w:r>
        <w:t xml:space="preserve">y confirmatorio establecen que las dos exposiciones forman un eje bipolar</w:t>
      </w:r>
      <w:r>
        <w:t xml:space="preserve"> </w:t>
      </w:r>
      <w:r>
        <w:t xml:space="preserve">dominante (φ = −0.67), estructura que se reproduce desde las ocupaciones</w:t>
      </w:r>
      <w:r>
        <w:t xml:space="preserve"> </w:t>
      </w:r>
      <w:r>
        <w:t xml:space="preserve">hasta la geografía: los 32 estados del país se alinean sobre una sola recta</w:t>
      </w:r>
      <w:r>
        <w:t xml:space="preserve"> </w:t>
      </w:r>
      <w:r>
        <w:t xml:space="preserve">en el plano de las dos exposiciones.</w:t>
      </w:r>
    </w:p>
    <w:p>
      <w:pPr>
        <w:pStyle w:val="BodyText"/>
      </w:pPr>
      <w:r>
        <w:rPr>
          <w:bCs/>
          <w:b/>
        </w:rPr>
        <w:t xml:space="preserve">La moderación económica, evidenciada y no asumida.</w:t>
      </w:r>
      <w:r>
        <w:t xml:space="preserve"> </w:t>
      </w:r>
      <w:r>
        <w:t xml:space="preserve">Donde la literatura</w:t>
      </w:r>
      <w:r>
        <w:t xml:space="preserve"> </w:t>
      </w:r>
      <w:r>
        <w:t xml:space="preserve">de exposición se detiene en la factibilidad, esta tesis contrasta la</w:t>
      </w:r>
      <w:r>
        <w:t xml:space="preserve"> </w:t>
      </w:r>
      <w:r>
        <w:t xml:space="preserve">adopción: veinte años de censos económicos muestran que el mercado</w:t>
      </w:r>
      <w:r>
        <w:t xml:space="preserve"> </w:t>
      </w:r>
      <w:r>
        <w:t xml:space="preserve">jalisciense profundizó capital y redujo la participación laboral</w:t>
      </w:r>
      <w:r>
        <w:t xml:space="preserve"> </w:t>
      </w:r>
      <w:r>
        <w:t xml:space="preserve">precisamente donde automatizar era rentable (valores p por permutación de</w:t>
      </w:r>
      <w:r>
        <w:t xml:space="preserve"> </w:t>
      </w:r>
      <w:r>
        <w:t xml:space="preserve">0.013 y 0.004), con la forma de</w:t>
      </w:r>
      <w:r>
        <w:t xml:space="preserve"> </w:t>
      </w:r>
      <w:r>
        <w:t xml:space="preserve">“</w:t>
      </w:r>
      <w:r>
        <w:t xml:space="preserve">crecimiento perdido</w:t>
      </w:r>
      <w:r>
        <w:t xml:space="preserve">”</w:t>
      </w:r>
      <w:r>
        <w:t xml:space="preserve"> </w:t>
      </w:r>
      <w:r>
        <w:t xml:space="preserve">que la teoría de las</w:t>
      </w:r>
      <w:r>
        <w:t xml:space="preserve"> </w:t>
      </w:r>
      <w:r>
        <w:t xml:space="preserve">tecnologías mediocres predice.</w:t>
      </w:r>
    </w:p>
    <w:p>
      <w:pPr>
        <w:pStyle w:val="BodyText"/>
      </w:pPr>
      <w:r>
        <w:rPr>
          <w:bCs/>
          <w:b/>
        </w:rPr>
        <w:t xml:space="preserve">La cuantificación para Jalisco.</w:t>
      </w:r>
      <w:r>
        <w:t xml:space="preserve"> </w:t>
      </w:r>
      <w:r>
        <w:t xml:space="preserve">La síntesis de exposición, composición</w:t>
      </w:r>
      <w:r>
        <w:t xml:space="preserve"> </w:t>
      </w:r>
      <w:r>
        <w:t xml:space="preserve">del empleo, incentivo y curvas tecnológicas produce las cifras que el debate</w:t>
      </w:r>
      <w:r>
        <w:t xml:space="preserve"> </w:t>
      </w:r>
      <w:r>
        <w:t xml:space="preserve">estatal no tenía: 1.10 millones de trabajadores bajo presión alta hoy; entre</w:t>
      </w:r>
      <w:r>
        <w:t xml:space="preserve"> </w:t>
      </w:r>
      <w:r>
        <w:t xml:space="preserve">1.51 y 1.98 millones hacia 2030 según el escenario; 908 mil de ellos</w:t>
      </w:r>
      <w:r>
        <w:t xml:space="preserve"> </w:t>
      </w:r>
      <w:r>
        <w:t xml:space="preserve">informales —sin red alguna—; y una celda de triple vulnerabilidad de 348 mil</w:t>
      </w:r>
      <w:r>
        <w:t xml:space="preserve"> </w:t>
      </w:r>
      <w:r>
        <w:t xml:space="preserve">trabajadores que constituye el destinatario prioritario de cualquier</w:t>
      </w:r>
      <w:r>
        <w:t xml:space="preserve"> </w:t>
      </w:r>
      <w:r>
        <w:t xml:space="preserve">política derivada.</w:t>
      </w:r>
    </w:p>
    <w:p>
      <w:pPr>
        <w:pStyle w:val="BodyText"/>
      </w:pPr>
      <w:r>
        <w:t xml:space="preserve">A ellas se suma un resultado de temporalidad que organiza la lectura de</w:t>
      </w:r>
      <w:r>
        <w:t xml:space="preserve"> </w:t>
      </w:r>
      <w:r>
        <w:t xml:space="preserve">política: el choque de capacidad ya ocurrió y las expectativas ya se</w:t>
      </w:r>
      <w:r>
        <w:t xml:space="preserve"> </w:t>
      </w:r>
      <w:r>
        <w:t xml:space="preserve">movieron (+12.5 puntos en la expectativa personal de desplazamiento entre</w:t>
      </w:r>
      <w:r>
        <w:t xml:space="preserve"> </w:t>
      </w:r>
      <w:r>
        <w:t xml:space="preserve">2020 y 2023), pero el choque laboral aún no es detectable —ni en el empleo</w:t>
      </w:r>
      <w:r>
        <w:t xml:space="preserve"> </w:t>
      </w:r>
      <w:r>
        <w:t xml:space="preserve">formal, ni en el total, ni por absorción informal. Ese intervalo es la</w:t>
      </w:r>
      <w:r>
        <w:t xml:space="preserve"> </w:t>
      </w:r>
      <w:r>
        <w:rPr>
          <w:bCs/>
          <w:b/>
        </w:rPr>
        <w:t xml:space="preserve">ventana de política</w:t>
      </w:r>
      <w:r>
        <w:t xml:space="preserve"> </w:t>
      </w:r>
      <w:r>
        <w:t xml:space="preserve">que da título a la segunda mitad de la tesis.</w:t>
      </w:r>
    </w:p>
    <w:bookmarkEnd w:id="22"/>
    <w:bookmarkStart w:id="23" w:name="alcance-y-límites"/>
    <w:p>
      <w:pPr>
        <w:pStyle w:val="Heading2"/>
      </w:pPr>
      <w:r>
        <w:t xml:space="preserve">1.4 Alcance y límites</w:t>
      </w:r>
    </w:p>
    <w:p>
      <w:pPr>
        <w:pStyle w:val="FirstParagraph"/>
      </w:pPr>
      <w:r>
        <w:t xml:space="preserve">La tesis cubre el mercado laboral de Jalisco con contraste nacional; su</w:t>
      </w:r>
      <w:r>
        <w:t xml:space="preserve"> </w:t>
      </w:r>
      <w:r>
        <w:t xml:space="preserve">unidad de análisis va de la ocupación (678 ocupaciones SOC; 371 SINCO) al</w:t>
      </w:r>
      <w:r>
        <w:t xml:space="preserve"> </w:t>
      </w:r>
      <w:r>
        <w:t xml:space="preserve">trabajador (microdato ENOE), el sector (19 SCIAN) y el municipio (125). Sus</w:t>
      </w:r>
      <w:r>
        <w:t xml:space="preserve"> </w:t>
      </w:r>
      <w:r>
        <w:t xml:space="preserve">proyecciones son análisis de escenarios anclado en datos observados, no</w:t>
      </w:r>
      <w:r>
        <w:t xml:space="preserve"> </w:t>
      </w:r>
      <w:r>
        <w:t xml:space="preserve">pronósticos. Sus supuestos —el trasplante del contenido de tareas de O*NET,</w:t>
      </w:r>
      <w:r>
        <w:t xml:space="preserve"> </w:t>
      </w:r>
      <w:r>
        <w:t xml:space="preserve">la curva de adopción como proxy de la frontera robótica, el objetivo</w:t>
      </w:r>
      <w:r>
        <w:t xml:space="preserve"> </w:t>
      </w:r>
      <w:r>
        <w:t xml:space="preserve">estadounidense de uso observado— están declarados, contrastados donde</w:t>
      </w:r>
      <w:r>
        <w:t xml:space="preserve"> </w:t>
      </w:r>
      <w:r>
        <w:t xml:space="preserve">existe prueba posible (el perfil de uso de México correlaciona 0.97 con el</w:t>
      </w:r>
      <w:r>
        <w:t xml:space="preserve"> </w:t>
      </w:r>
      <w:r>
        <w:t xml:space="preserve">estadounidense) y acotados donde no. La frontera de datos del campo —no</w:t>
      </w:r>
      <w:r>
        <w:t xml:space="preserve"> </w:t>
      </w:r>
      <w:r>
        <w:t xml:space="preserve">existe panel ocupacional de empleo, ni encuesta mexicana de adopción de IA,</w:t>
      </w:r>
      <w:r>
        <w:t xml:space="preserve"> </w:t>
      </w:r>
      <w:r>
        <w:t xml:space="preserve">ni benchmarks de capacidad robótica— se documenta como agenda de</w:t>
      </w:r>
      <w:r>
        <w:t xml:space="preserve"> </w:t>
      </w:r>
      <w:r>
        <w:t xml:space="preserve">investigación, no se disimula.</w:t>
      </w:r>
    </w:p>
    <w:bookmarkEnd w:id="23"/>
    <w:bookmarkStart w:id="24" w:name="estructura-del-documento"/>
    <w:p>
      <w:pPr>
        <w:pStyle w:val="Heading2"/>
      </w:pPr>
      <w:r>
        <w:t xml:space="preserve">1.5 Estructura del documento</w:t>
      </w:r>
    </w:p>
    <w:p>
      <w:pPr>
        <w:pStyle w:val="FirstParagraph"/>
      </w:pPr>
      <w:r>
        <w:t xml:space="preserve">El capítulo 2 construye el marco teórico y deriva las hipótesis. El capítulo</w:t>
      </w:r>
      <w:r>
        <w:t xml:space="preserve"> </w:t>
      </w:r>
      <w:r>
        <w:t xml:space="preserve">3 documenta datos y métodos: los índices, la cadena de cruce, la</w:t>
      </w:r>
      <w:r>
        <w:t xml:space="preserve"> </w:t>
      </w:r>
      <w:r>
        <w:t xml:space="preserve">arquitectura de dos niveles y la estrategia de inferencia. Los capítulos de</w:t>
      </w:r>
      <w:r>
        <w:t xml:space="preserve"> </w:t>
      </w:r>
      <w:r>
        <w:t xml:space="preserve">resultados siguen la cadena causal: el 4 establece la estructura de la</w:t>
      </w:r>
      <w:r>
        <w:t xml:space="preserve"> </w:t>
      </w:r>
      <w:r>
        <w:t xml:space="preserve">exposición y su incidencia (H1, H2, H3); el 5 contrasta si el mercado actúa</w:t>
      </w:r>
      <w:r>
        <w:t xml:space="preserve"> </w:t>
      </w:r>
      <w:r>
        <w:t xml:space="preserve">sobre ella (H4) y documenta la ventana de política; el 6 proyecta la presión</w:t>
      </w:r>
      <w:r>
        <w:t xml:space="preserve"> </w:t>
      </w:r>
      <w:r>
        <w:t xml:space="preserve">2025–2030 y cuantifica la población en riesgo. El capítulo 7 discute los</w:t>
      </w:r>
      <w:r>
        <w:t xml:space="preserve"> </w:t>
      </w:r>
      <w:r>
        <w:t xml:space="preserve">hallazgos frente a la literatura, el estatus de los supuestos y las</w:t>
      </w:r>
      <w:r>
        <w:t xml:space="preserve"> </w:t>
      </w:r>
      <w:r>
        <w:t xml:space="preserve">condiciones de falsabilidad. El capítulo 8 concluye con la política pública</w:t>
      </w:r>
      <w:r>
        <w:t xml:space="preserve"> </w:t>
      </w:r>
      <w:r>
        <w:t xml:space="preserve">diferenciada por polo y la agenda de investigación.</w:t>
      </w:r>
    </w:p>
    <w:bookmarkEnd w:id="24"/>
    <w:bookmarkEnd w:id="25"/>
    <w:bookmarkStart w:id="34" w:name="capítulo-2.-marco-teórico"/>
    <w:p>
      <w:pPr>
        <w:pStyle w:val="Heading1"/>
      </w:pPr>
      <w:r>
        <w:t xml:space="preserve">Capítulo 2. Marco teórico</w:t>
      </w:r>
    </w:p>
    <w:p>
      <w:pPr>
        <w:pStyle w:val="FirstParagraph"/>
      </w:pPr>
      <w:r>
        <w:t xml:space="preserve">Este capítulo construye la base conceptual de la tesis. Su argumento puede</w:t>
      </w:r>
      <w:r>
        <w:t xml:space="preserve"> </w:t>
      </w:r>
      <w:r>
        <w:t xml:space="preserve">resumirse en una frase: el riesgo de automatización por inteligencia</w:t>
      </w:r>
      <w:r>
        <w:t xml:space="preserve"> </w:t>
      </w:r>
      <w:r>
        <w:t xml:space="preserve">artificial no es un fenómeno único sino la intersección de</w:t>
      </w:r>
      <w:r>
        <w:t xml:space="preserve"> </w:t>
      </w:r>
      <w:r>
        <w:rPr>
          <w:bCs/>
          <w:b/>
        </w:rPr>
        <w:t xml:space="preserve">dos fronteras</w:t>
      </w:r>
      <w:r>
        <w:rPr>
          <w:bCs/>
          <w:b/>
        </w:rPr>
        <w:t xml:space="preserve"> </w:t>
      </w:r>
      <w:r>
        <w:rPr>
          <w:bCs/>
          <w:b/>
        </w:rPr>
        <w:t xml:space="preserve">tecnológicas distintas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un mercado que decide adoptar solo cuando es</w:t>
      </w:r>
      <w:r>
        <w:rPr>
          <w:bCs/>
          <w:b/>
        </w:rPr>
        <w:t xml:space="preserve"> </w:t>
      </w:r>
      <w:r>
        <w:rPr>
          <w:bCs/>
          <w:b/>
        </w:rPr>
        <w:t xml:space="preserve">rentable</w:t>
      </w:r>
      <w:r>
        <w:t xml:space="preserve">, y ambas cosas —la exposición técnica y la decisión económica—</w:t>
      </w:r>
      <w:r>
        <w:t xml:space="preserve"> </w:t>
      </w:r>
      <w:r>
        <w:t xml:space="preserve">son medibles. Las secciones siguientes desarrollan los seis bloques teóricos</w:t>
      </w:r>
      <w:r>
        <w:t xml:space="preserve"> </w:t>
      </w:r>
      <w:r>
        <w:t xml:space="preserve">que sostienen ese argumento, y la sección final deriva de ellos las cuatro</w:t>
      </w:r>
      <w:r>
        <w:t xml:space="preserve"> </w:t>
      </w:r>
      <w:r>
        <w:t xml:space="preserve">hipótesis que el resto de la tesis somete a prueba.</w:t>
      </w:r>
    </w:p>
    <w:bookmarkStart w:id="26" w:name="Xc6e6cf63bccd78b6767d701d1907b39b45b7bd5"/>
    <w:p>
      <w:pPr>
        <w:pStyle w:val="Heading2"/>
      </w:pPr>
      <w:r>
        <w:t xml:space="preserve">2.1 El marco de tareas: la tecnología sustituye tareas, no empleos</w:t>
      </w:r>
    </w:p>
    <w:p>
      <w:pPr>
        <w:pStyle w:val="FirstParagraph"/>
      </w:pPr>
      <w:r>
        <w:t xml:space="preserve">La economía moderna de la automatización descansa sobre el modelo de tareas</w:t>
      </w:r>
      <w:r>
        <w:t xml:space="preserve"> </w:t>
      </w:r>
      <w:r>
        <w:t xml:space="preserve">introducido por Autor, Levy y Murnane (2003) y generalizado por Acemoglu y</w:t>
      </w:r>
      <w:r>
        <w:t xml:space="preserve"> </w:t>
      </w:r>
      <w:r>
        <w:t xml:space="preserve">Autor (2011). Su premisa central invierte la intuición popular: la unidad</w:t>
      </w:r>
      <w:r>
        <w:t xml:space="preserve"> </w:t>
      </w:r>
      <w:r>
        <w:t xml:space="preserve">relevante del análisis no es el empleo sino la</w:t>
      </w:r>
      <w:r>
        <w:t xml:space="preserve"> </w:t>
      </w:r>
      <w:r>
        <w:rPr>
          <w:bCs/>
          <w:b/>
        </w:rPr>
        <w:t xml:space="preserve">tarea</w:t>
      </w:r>
      <w:r>
        <w:t xml:space="preserve">. Una ocupación es un</w:t>
      </w:r>
      <w:r>
        <w:t xml:space="preserve"> </w:t>
      </w:r>
      <w:r>
        <w:t xml:space="preserve">paquete de tareas heterogéneas —cognitivas y manuales, rutinarias y no</w:t>
      </w:r>
      <w:r>
        <w:t xml:space="preserve"> </w:t>
      </w:r>
      <w:r>
        <w:t xml:space="preserve">rutinarias— y la tecnología no compite contra</w:t>
      </w:r>
      <w:r>
        <w:t xml:space="preserve"> </w:t>
      </w:r>
      <w:r>
        <w:t xml:space="preserve">“</w:t>
      </w:r>
      <w:r>
        <w:t xml:space="preserve">el contador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el soldador</w:t>
      </w:r>
      <w:r>
        <w:t xml:space="preserve">”</w:t>
      </w:r>
      <w:r>
        <w:t xml:space="preserve"> </w:t>
      </w:r>
      <w:r>
        <w:t xml:space="preserve">sino contra cada una de las tareas que componen su jornada.</w:t>
      </w:r>
    </w:p>
    <w:p>
      <w:pPr>
        <w:pStyle w:val="BodyText"/>
      </w:pPr>
      <w:r>
        <w:t xml:space="preserve">De esta premisa se siguen dos consecuencias que organizan el diseño completo</w:t>
      </w:r>
      <w:r>
        <w:t xml:space="preserve"> </w:t>
      </w:r>
      <w:r>
        <w:t xml:space="preserve">de esta tesis. La primera es metodológica: si la tecnología sustituye tareas,</w:t>
      </w:r>
      <w:r>
        <w:t xml:space="preserve"> </w:t>
      </w:r>
      <w:r>
        <w:t xml:space="preserve">la exposición a la automatización debe medirse a partir del</w:t>
      </w:r>
      <w:r>
        <w:t xml:space="preserve"> </w:t>
      </w:r>
      <w:r>
        <w:rPr>
          <w:bCs/>
          <w:b/>
        </w:rPr>
        <w:t xml:space="preserve">contenido de</w:t>
      </w:r>
      <w:r>
        <w:rPr>
          <w:bCs/>
          <w:b/>
        </w:rPr>
        <w:t xml:space="preserve"> </w:t>
      </w:r>
      <w:r>
        <w:rPr>
          <w:bCs/>
          <w:b/>
        </w:rPr>
        <w:t xml:space="preserve">tareas y habilidades</w:t>
      </w:r>
      <w:r>
        <w:t xml:space="preserve"> </w:t>
      </w:r>
      <w:r>
        <w:t xml:space="preserve">de cada ocupación, no de su título. Esto exige una</w:t>
      </w:r>
      <w:r>
        <w:t xml:space="preserve"> </w:t>
      </w:r>
      <w:r>
        <w:t xml:space="preserve">fuente que describa sistemáticamente qué hacen las ocupaciones; el estándar</w:t>
      </w:r>
      <w:r>
        <w:t xml:space="preserve"> </w:t>
      </w:r>
      <w:r>
        <w:t xml:space="preserve">internacional es la base O*NET del Departamento del Trabajo de Estados</w:t>
      </w:r>
      <w:r>
        <w:t xml:space="preserve"> </w:t>
      </w:r>
      <w:r>
        <w:t xml:space="preserve">Unidos, que descompone cada ocupación en habilidades, actividades y contextos</w:t>
      </w:r>
      <w:r>
        <w:t xml:space="preserve"> </w:t>
      </w:r>
      <w:r>
        <w:t xml:space="preserve">de trabajo con escalas de importancia y nivel. Toda la familia de índices de</w:t>
      </w:r>
      <w:r>
        <w:t xml:space="preserve"> </w:t>
      </w:r>
      <w:r>
        <w:t xml:space="preserve">exposición que la literatura ha producido —y los dos índices propios de esta</w:t>
      </w:r>
      <w:r>
        <w:t xml:space="preserve"> </w:t>
      </w:r>
      <w:r>
        <w:t xml:space="preserve">tesis— se construye sobre ese sustrato (la discusión sobre la portabilidad de</w:t>
      </w:r>
      <w:r>
        <w:t xml:space="preserve"> </w:t>
      </w:r>
      <w:r>
        <w:t xml:space="preserve">ese contenido a México se desarrolla en la sección 2.6).</w:t>
      </w:r>
    </w:p>
    <w:p>
      <w:pPr>
        <w:pStyle w:val="BodyText"/>
      </w:pPr>
      <w:r>
        <w:t xml:space="preserve">La segunda consecuencia es interpretativa: el</w:t>
      </w:r>
      <w:r>
        <w:t xml:space="preserve"> </w:t>
      </w:r>
      <w:r>
        <w:t xml:space="preserve">“</w:t>
      </w:r>
      <w:r>
        <w:t xml:space="preserve">riesgo de automatización</w:t>
      </w:r>
      <w:r>
        <w:t xml:space="preserve">”</w:t>
      </w:r>
      <w:r>
        <w:t xml:space="preserve"> </w:t>
      </w:r>
      <w:r>
        <w:t xml:space="preserve">no</w:t>
      </w:r>
      <w:r>
        <w:t xml:space="preserve"> </w:t>
      </w:r>
      <w:r>
        <w:t xml:space="preserve">equivale a destrucción binaria de empleos. Una ocupación puede ver</w:t>
      </w:r>
      <w:r>
        <w:t xml:space="preserve"> </w:t>
      </w:r>
      <w:r>
        <w:t xml:space="preserve">automatizada una fracción de su paquete de tareas con efectos sobre salarios,</w:t>
      </w:r>
      <w:r>
        <w:t xml:space="preserve"> </w:t>
      </w:r>
      <w:r>
        <w:t xml:space="preserve">composición del trabajo y contratación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que se observe efecto</w:t>
      </w:r>
      <w:r>
        <w:t xml:space="preserve"> </w:t>
      </w:r>
      <w:r>
        <w:t xml:space="preserve">alguno sobre el número de empleos. Esta observación, aparentemente menor,</w:t>
      </w:r>
      <w:r>
        <w:t xml:space="preserve"> </w:t>
      </w:r>
      <w:r>
        <w:t xml:space="preserve">restringe qué tipo de evidencia puede esperarse en las fases tempranas de una</w:t>
      </w:r>
      <w:r>
        <w:t xml:space="preserve"> </w:t>
      </w:r>
      <w:r>
        <w:t xml:space="preserve">tecnología —un punto al que la sección 2.5 regresa y que resulta decisivo</w:t>
      </w:r>
      <w:r>
        <w:t xml:space="preserve"> </w:t>
      </w:r>
      <w:r>
        <w:t xml:space="preserve">para interpretar los resultados del capítulo 5.</w:t>
      </w:r>
    </w:p>
    <w:bookmarkEnd w:id="26"/>
    <w:bookmarkStart w:id="27" w:name="X94ac95f1dfad2d08fbf25240dc331f4fb89e0d9"/>
    <w:p>
      <w:pPr>
        <w:pStyle w:val="Heading2"/>
      </w:pPr>
      <w:r>
        <w:t xml:space="preserve">2.2 Desplazamiento, reinstalación y la condición de rentabilidad</w:t>
      </w:r>
    </w:p>
    <w:p>
      <w:pPr>
        <w:pStyle w:val="FirstParagraph"/>
      </w:pPr>
      <w:r>
        <w:t xml:space="preserve">Si el marco de tareas dice</w:t>
      </w:r>
      <w:r>
        <w:t xml:space="preserve"> </w:t>
      </w:r>
      <w:r>
        <w:rPr>
          <w:iCs/>
          <w:i/>
        </w:rPr>
        <w:t xml:space="preserve">dónde</w:t>
      </w:r>
      <w:r>
        <w:t xml:space="preserve"> </w:t>
      </w:r>
      <w:r>
        <w:t xml:space="preserve">puede actuar la tecnología, el modelo de</w:t>
      </w:r>
      <w:r>
        <w:t xml:space="preserve"> </w:t>
      </w:r>
      <w:r>
        <w:t xml:space="preserve">Acemoglu y Restrepo (2018, 2019) dice</w:t>
      </w:r>
      <w:r>
        <w:t xml:space="preserve"> </w:t>
      </w:r>
      <w:r>
        <w:rPr>
          <w:iCs/>
          <w:i/>
        </w:rPr>
        <w:t xml:space="preserve">qué pasa después</w:t>
      </w:r>
      <w:r>
        <w:t xml:space="preserve">. La automatización</w:t>
      </w:r>
      <w:r>
        <w:t xml:space="preserve"> </w:t>
      </w:r>
      <w:r>
        <w:t xml:space="preserve">es una</w:t>
      </w:r>
      <w:r>
        <w:t xml:space="preserve"> </w:t>
      </w:r>
      <w:r>
        <w:rPr>
          <w:bCs/>
          <w:b/>
        </w:rPr>
        <w:t xml:space="preserve">carrera entre dos fuerzas</w:t>
      </w:r>
      <w:r>
        <w:t xml:space="preserve">: el efecto desplazamiento —las máquinas</w:t>
      </w:r>
      <w:r>
        <w:t xml:space="preserve"> </w:t>
      </w:r>
      <w:r>
        <w:t xml:space="preserve">toman tareas que realizaban personas— y el efecto reinstalación —el cambio</w:t>
      </w:r>
      <w:r>
        <w:t xml:space="preserve"> </w:t>
      </w:r>
      <w:r>
        <w:t xml:space="preserve">técnico crea tareas nuevas en las que el trabajo humano tiene ventaja</w:t>
      </w:r>
      <w:r>
        <w:t xml:space="preserve"> </w:t>
      </w:r>
      <w:r>
        <w:t xml:space="preserve">comparativa. El efecto neto sobre el empleo no está determinado por la</w:t>
      </w:r>
      <w:r>
        <w:t xml:space="preserve"> </w:t>
      </w:r>
      <w:r>
        <w:t xml:space="preserve">teoría: es una pregunta empírica, y una tesis creíble está obligada a buscar</w:t>
      </w:r>
      <w:r>
        <w:t xml:space="preserve"> </w:t>
      </w:r>
      <w:r>
        <w:t xml:space="preserve">evidencia de ambos lados de la carrera.</w:t>
      </w:r>
    </w:p>
    <w:p>
      <w:pPr>
        <w:pStyle w:val="BodyText"/>
      </w:pPr>
      <w:r>
        <w:t xml:space="preserve">Tres elementos de este modelo son constitutivos del diseño de esta</w:t>
      </w:r>
      <w:r>
        <w:t xml:space="preserve"> </w:t>
      </w:r>
      <w:r>
        <w:t xml:space="preserve">investigación. El primero es la distinción entre</w:t>
      </w:r>
      <w:r>
        <w:t xml:space="preserve"> </w:t>
      </w:r>
      <w:r>
        <w:rPr>
          <w:bCs/>
          <w:b/>
        </w:rPr>
        <w:t xml:space="preserve">factibilidad y adopción</w:t>
      </w:r>
      <w:r>
        <w:t xml:space="preserve">.</w:t>
      </w:r>
      <w:r>
        <w:t xml:space="preserve"> </w:t>
      </w:r>
      <w:r>
        <w:t xml:space="preserve">Que una tarea sea técnicamente automatizable no implica que se automatice: la</w:t>
      </w:r>
      <w:r>
        <w:t xml:space="preserve"> </w:t>
      </w:r>
      <w:r>
        <w:t xml:space="preserve">sustitución ocurre cuando el costo del capital que ejecuta la tarea es menor</w:t>
      </w:r>
      <w:r>
        <w:t xml:space="preserve"> </w:t>
      </w:r>
      <w:r>
        <w:t xml:space="preserve">que el costo del trabajador que la realiza. La adopción depende del cociente</w:t>
      </w:r>
      <w:r>
        <w:t xml:space="preserve"> </w:t>
      </w:r>
      <w:r>
        <w:t xml:space="preserve">entre el salario y el costo del capital, no de la capacidad técnica en</w:t>
      </w:r>
      <w:r>
        <w:t xml:space="preserve"> </w:t>
      </w:r>
      <w:r>
        <w:t xml:space="preserve">abstracto. Esta es la definición teórica del Índice de Rentabilidad de la</w:t>
      </w:r>
      <w:r>
        <w:t xml:space="preserve"> </w:t>
      </w:r>
      <w:r>
        <w:t xml:space="preserve">Automatización (IRA) que esta tesis construye a partir de los Censos</w:t>
      </w:r>
      <w:r>
        <w:t xml:space="preserve"> </w:t>
      </w:r>
      <w:r>
        <w:t xml:space="preserve">Económicos —costo laboral sobre proxies del costo de capital— y la razón de</w:t>
      </w:r>
      <w:r>
        <w:t xml:space="preserve"> </w:t>
      </w:r>
      <w:r>
        <w:t xml:space="preserve">ser de la hipótesis H4: la exposición técnica solo se convierte en presión</w:t>
      </w:r>
      <w:r>
        <w:t xml:space="preserve"> </w:t>
      </w:r>
      <w:r>
        <w:t xml:space="preserve">real de automatización donde el incentivo económico existe.</w:t>
      </w:r>
    </w:p>
    <w:p>
      <w:pPr>
        <w:pStyle w:val="BodyText"/>
      </w:pPr>
      <w:r>
        <w:t xml:space="preserve">El segundo elemento es el concepto de</w:t>
      </w:r>
      <w:r>
        <w:t xml:space="preserve"> </w:t>
      </w:r>
      <w:r>
        <w:rPr>
          <w:bCs/>
          <w:b/>
        </w:rPr>
        <w:t xml:space="preserve">tecnologías mediocres</w:t>
      </w:r>
      <w:r>
        <w:t xml:space="preserve"> </w:t>
      </w:r>
      <w:r>
        <w:t xml:space="preserve">(</w:t>
      </w:r>
      <w:r>
        <w:t xml:space="preserve">“</w:t>
      </w:r>
      <w:r>
        <w:t xml:space="preserve">so-so</w:t>
      </w:r>
      <w:r>
        <w:t xml:space="preserve"> </w:t>
      </w:r>
      <w:r>
        <w:t xml:space="preserve">technologies</w:t>
      </w:r>
      <w:r>
        <w:t xml:space="preserve">”</w:t>
      </w:r>
      <w:r>
        <w:t xml:space="preserve">, Acemoglu y Restrepo, 2019): automatización lo bastante</w:t>
      </w:r>
      <w:r>
        <w:t xml:space="preserve"> </w:t>
      </w:r>
      <w:r>
        <w:t xml:space="preserve">rentable para desplazar trabajo pero no lo bastante productiva para expandir</w:t>
      </w:r>
      <w:r>
        <w:t xml:space="preserve"> </w:t>
      </w:r>
      <w:r>
        <w:t xml:space="preserve">la demanda del sector. Es el peor escenario distributivo, y su firma empírica</w:t>
      </w:r>
      <w:r>
        <w:t xml:space="preserve"> </w:t>
      </w:r>
      <w:r>
        <w:t xml:space="preserve">no son los despidos masivos sino el</w:t>
      </w:r>
      <w:r>
        <w:t xml:space="preserve"> </w:t>
      </w:r>
      <w:r>
        <w:rPr>
          <w:bCs/>
          <w:b/>
        </w:rPr>
        <w:t xml:space="preserve">crecimiento perdido</w:t>
      </w:r>
      <w:r>
        <w:t xml:space="preserve">: sectores que</w:t>
      </w:r>
      <w:r>
        <w:t xml:space="preserve"> </w:t>
      </w:r>
      <w:r>
        <w:t xml:space="preserve">dejan de crear los empleos que habrían creado. Como mostrará el capítulo 5,</w:t>
      </w:r>
      <w:r>
        <w:t xml:space="preserve"> </w:t>
      </w:r>
      <w:r>
        <w:t xml:space="preserve">esa es exactamente la forma que la sustitución ha tomado en Jalisco durante</w:t>
      </w:r>
      <w:r>
        <w:t xml:space="preserve"> </w:t>
      </w:r>
      <w:r>
        <w:t xml:space="preserve">las últimas dos décadas.</w:t>
      </w:r>
    </w:p>
    <w:p>
      <w:pPr>
        <w:pStyle w:val="BodyText"/>
      </w:pPr>
      <w:r>
        <w:t xml:space="preserve">El tercer elemento es el lado de la reinstalación. La literatura empírica</w:t>
      </w:r>
      <w:r>
        <w:t xml:space="preserve"> </w:t>
      </w:r>
      <w:r>
        <w:t xml:space="preserve">sobre exposición rara vez lo mide; esta tesis lo aborda con el registro de</w:t>
      </w:r>
      <w:r>
        <w:t xml:space="preserve"> </w:t>
      </w:r>
      <w:r>
        <w:t xml:space="preserve">tareas emergentes de O*NET —ocupaciones que ganan tareas nuevas— como</w:t>
      </w:r>
      <w:r>
        <w:t xml:space="preserve"> </w:t>
      </w:r>
      <w:r>
        <w:t xml:space="preserve">indicador, imperfecto pero observable, de la capacidad de renovación de cada</w:t>
      </w:r>
      <w:r>
        <w:t xml:space="preserve"> </w:t>
      </w:r>
      <w:r>
        <w:t xml:space="preserve">ocupación.</w:t>
      </w:r>
    </w:p>
    <w:bookmarkEnd w:id="27"/>
    <w:bookmarkStart w:id="28" w:name="Xccbe496718be2a51bcbf340618bf26d681ae9a8"/>
    <w:p>
      <w:pPr>
        <w:pStyle w:val="Heading2"/>
      </w:pPr>
      <w:r>
        <w:t xml:space="preserve">2.3 Dos fronteras tecnológicas: la paradoja de Moravec como teoría de los dos ejes</w:t>
      </w:r>
    </w:p>
    <w:p>
      <w:pPr>
        <w:pStyle w:val="FirstParagraph"/>
      </w:pPr>
      <w:r>
        <w:t xml:space="preserve">La decisión de diseño más importante de esta tesis —medir la exposición en</w:t>
      </w:r>
      <w:r>
        <w:t xml:space="preserve"> </w:t>
      </w:r>
      <w:r>
        <w:t xml:space="preserve">dos ejes separados, cognitivo y encarnado— no es una preferencia taxonómica:</w:t>
      </w:r>
      <w:r>
        <w:t xml:space="preserve"> </w:t>
      </w:r>
      <w:r>
        <w:t xml:space="preserve">es una predicción teórica con raíz en la paradoja de Moravec (Moravec, 1988).</w:t>
      </w:r>
      <w:r>
        <w:t xml:space="preserve"> </w:t>
      </w:r>
      <w:r>
        <w:t xml:space="preserve">La observación es clásica en inteligencia artificial: el razonamiento</w:t>
      </w:r>
      <w:r>
        <w:t xml:space="preserve"> </w:t>
      </w:r>
      <w:r>
        <w:t xml:space="preserve">abstracto de alto nivel resulta computacionalmente barato, mientras que la</w:t>
      </w:r>
      <w:r>
        <w:t xml:space="preserve"> </w:t>
      </w:r>
      <w:r>
        <w:t xml:space="preserve">percepción y la destreza sensoriomotora —triviales para cualquier humano—</w:t>
      </w:r>
      <w:r>
        <w:t xml:space="preserve"> </w:t>
      </w:r>
      <w:r>
        <w:t xml:space="preserve">resultan extraordinariamente costosas.</w:t>
      </w:r>
      <w:r>
        <w:t xml:space="preserve"> </w:t>
      </w:r>
      <w:r>
        <w:t xml:space="preserve">“</w:t>
      </w:r>
      <w:r>
        <w:t xml:space="preserve">La inteligencia artificial</w:t>
      </w:r>
      <w:r>
        <w:t xml:space="preserve">”</w:t>
      </w:r>
      <w:r>
        <w:t xml:space="preserve"> </w:t>
      </w:r>
      <w:r>
        <w:t xml:space="preserve">no es,</w:t>
      </w:r>
      <w:r>
        <w:t xml:space="preserve"> </w:t>
      </w:r>
      <w:r>
        <w:t xml:space="preserve">por tanto, una tecnología sino</w:t>
      </w:r>
      <w:r>
        <w:t xml:space="preserve"> </w:t>
      </w:r>
      <w:r>
        <w:rPr>
          <w:bCs/>
          <w:b/>
        </w:rPr>
        <w:t xml:space="preserve">dos fronteras con física distinta, curvas de</w:t>
      </w:r>
      <w:r>
        <w:rPr>
          <w:bCs/>
          <w:b/>
        </w:rPr>
        <w:t xml:space="preserve"> </w:t>
      </w:r>
      <w:r>
        <w:rPr>
          <w:bCs/>
          <w:b/>
        </w:rPr>
        <w:t xml:space="preserve">costo distintas y adoptantes distintos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/>
        </w:tc>
        <w:tc>
          <w:p>
            <w:pPr>
              <w:pStyle w:val="Compact"/>
              <w:jc w:val="left"/>
            </w:pPr>
            <w:r>
              <w:t xml:space="preserve">Frontera cognitiva (LLMs)</w:t>
            </w:r>
          </w:p>
        </w:tc>
        <w:tc>
          <w:p>
            <w:pPr>
              <w:pStyle w:val="Compact"/>
              <w:jc w:val="left"/>
            </w:pPr>
            <w:r>
              <w:t xml:space="preserve">Frontera encarnada (robots)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Motor de capacidad</w:t>
            </w:r>
          </w:p>
        </w:tc>
        <w:tc>
          <w:p>
            <w:pPr>
              <w:pStyle w:val="Compact"/>
              <w:jc w:val="left"/>
            </w:pPr>
            <w:r>
              <w:t xml:space="preserve">desempeño de modelos de lenguaje y razonamiento</w:t>
            </w:r>
          </w:p>
        </w:tc>
        <w:tc>
          <w:p>
            <w:pPr>
              <w:pStyle w:val="Compact"/>
              <w:jc w:val="left"/>
            </w:pPr>
            <w:r>
              <w:t xml:space="preserve">manipulación, navegación, costo por robot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Capital requerido</w:t>
            </w:r>
          </w:p>
        </w:tc>
        <w:tc>
          <w:p>
            <w:pPr>
              <w:pStyle w:val="Compact"/>
              <w:jc w:val="left"/>
            </w:pPr>
            <w:r>
              <w:t xml:space="preserve">casi nulo (un teléfono, una suscripción)</w:t>
            </w:r>
          </w:p>
        </w:tc>
        <w:tc>
          <w:p>
            <w:pPr>
              <w:pStyle w:val="Compact"/>
              <w:jc w:val="left"/>
            </w:pPr>
            <w:r>
              <w:t xml:space="preserve">capital fijo formal (una empresa compra la máquina)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Canal de difusión</w:t>
            </w:r>
          </w:p>
        </w:tc>
        <w:tc>
          <w:p>
            <w:pPr>
              <w:pStyle w:val="Compact"/>
              <w:jc w:val="left"/>
            </w:pPr>
            <w:r>
              <w:t xml:space="preserve">persona por persona, instantáneo, cruza la informalidad</w:t>
            </w:r>
          </w:p>
        </w:tc>
        <w:tc>
          <w:p>
            <w:pPr>
              <w:pStyle w:val="Compact"/>
              <w:jc w:val="left"/>
            </w:pPr>
            <w:r>
              <w:t xml:space="preserve">inversión por inversión, lento, solo sector formal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Curva medida en esta tesis</w:t>
            </w:r>
          </w:p>
        </w:tc>
        <w:tc>
          <w:p>
            <w:pPr>
              <w:pStyle w:val="Compact"/>
              <w:jc w:val="left"/>
            </w:pPr>
            <w:r>
              <w:t xml:space="preserve">c_j(t), frontera de benchmarks</w:t>
            </w:r>
          </w:p>
        </w:tc>
        <w:tc>
          <w:p>
            <w:pPr>
              <w:pStyle w:val="Compact"/>
              <w:jc w:val="left"/>
            </w:pPr>
            <w:r>
              <w:t xml:space="preserve">r(t), acervo mundial operativo de robots (IFR)</w:t>
            </w:r>
          </w:p>
        </w:tc>
      </w:tr>
    </w:tbl>
    <w:p>
      <w:pPr>
        <w:pStyle w:val="BodyText"/>
      </w:pPr>
      <w:r>
        <w:t xml:space="preserve">De esta distinción se derivan dos predicciones no obvias. La primera: la</w:t>
      </w:r>
      <w:r>
        <w:t xml:space="preserve"> </w:t>
      </w:r>
      <w:r>
        <w:t xml:space="preserve">exposición ocupacional a ambas fronteras debe estar</w:t>
      </w:r>
      <w:r>
        <w:t xml:space="preserve"> </w:t>
      </w:r>
      <w:r>
        <w:rPr>
          <w:bCs/>
          <w:b/>
        </w:rPr>
        <w:t xml:space="preserve">negativamente</w:t>
      </w:r>
      <w:r>
        <w:rPr>
          <w:bCs/>
          <w:b/>
        </w:rPr>
        <w:t xml:space="preserve"> </w:t>
      </w:r>
      <w:r>
        <w:rPr>
          <w:bCs/>
          <w:b/>
        </w:rPr>
        <w:t xml:space="preserve">relacionada</w:t>
      </w:r>
      <w:r>
        <w:t xml:space="preserve">. Las habilidades baratas para el software son caras para los</w:t>
      </w:r>
      <w:r>
        <w:t xml:space="preserve"> </w:t>
      </w:r>
      <w:r>
        <w:t xml:space="preserve">robots y viceversa; las ocupaciones más expuestas a los modelos de lenguaje</w:t>
      </w:r>
      <w:r>
        <w:t xml:space="preserve"> </w:t>
      </w:r>
      <w:r>
        <w:t xml:space="preserve">deberían ser las menos expuestas a la robótica. Webb (2020) documentó esta</w:t>
      </w:r>
      <w:r>
        <w:t xml:space="preserve"> </w:t>
      </w:r>
      <w:r>
        <w:t xml:space="preserve">oposición con texto de patentes; esta tesis la formula como hipótesis H2 y la</w:t>
      </w:r>
      <w:r>
        <w:t xml:space="preserve"> </w:t>
      </w:r>
      <w:r>
        <w:t xml:space="preserve">somete a prueba con índices propios mediante análisis factorial exploratorio</w:t>
      </w:r>
      <w:r>
        <w:t xml:space="preserve"> </w:t>
      </w:r>
      <w:r>
        <w:t xml:space="preserve">y confirmatorio (capítulo 4).</w:t>
      </w:r>
    </w:p>
    <w:p>
      <w:pPr>
        <w:pStyle w:val="BodyText"/>
      </w:pPr>
      <w:r>
        <w:t xml:space="preserve">La segunda predicción es una exigencia de higiene metodológica:</w:t>
      </w:r>
      <w:r>
        <w:t xml:space="preserve"> </w:t>
      </w:r>
      <w:r>
        <w:rPr>
          <w:bCs/>
          <w:b/>
        </w:rPr>
        <w:t xml:space="preserve">todo índice</w:t>
      </w:r>
      <w:r>
        <w:rPr>
          <w:bCs/>
          <w:b/>
        </w:rPr>
        <w:t xml:space="preserve"> </w:t>
      </w:r>
      <w:r>
        <w:rPr>
          <w:bCs/>
          <w:b/>
        </w:rPr>
        <w:t xml:space="preserve">de exposición debe declarar su frontera</w:t>
      </w:r>
      <w:r>
        <w:t xml:space="preserve">. Un índice que se presenta como</w:t>
      </w:r>
      <w:r>
        <w:t xml:space="preserve"> </w:t>
      </w:r>
      <w:r>
        <w:t xml:space="preserve">medida de automatización física pero correlaciona con el contenido cognitivo</w:t>
      </w:r>
      <w:r>
        <w:t xml:space="preserve"> </w:t>
      </w:r>
      <w:r>
        <w:t xml:space="preserve">del trabajo está midiendo la frontera equivocada. El hallazgo de auditoría de</w:t>
      </w:r>
      <w:r>
        <w:t xml:space="preserve"> </w:t>
      </w:r>
      <w:r>
        <w:t xml:space="preserve">esta tesis —dos índices publicados como físicos (Moravec auto_w y la</w:t>
      </w:r>
      <w:r>
        <w:t xml:space="preserve"> </w:t>
      </w:r>
      <w:r>
        <w:t xml:space="preserve">factibilidad por aprendizaje por refuerzo) resultan empíricamente cognitivos,</w:t>
      </w:r>
      <w:r>
        <w:t xml:space="preserve"> </w:t>
      </w:r>
      <w:r>
        <w:t xml:space="preserve">con correlación negativa de −0.66 contra el contenido físico real del</w:t>
      </w:r>
      <w:r>
        <w:t xml:space="preserve"> </w:t>
      </w:r>
      <w:r>
        <w:t xml:space="preserve">trabajo— ilustra el costo de omitir esa verificación, y explica por qué fue</w:t>
      </w:r>
      <w:r>
        <w:t xml:space="preserve"> </w:t>
      </w:r>
      <w:r>
        <w:t xml:space="preserve">necesario construir un índice encarnado propio.</w:t>
      </w:r>
    </w:p>
    <w:p>
      <w:pPr>
        <w:pStyle w:val="BodyText"/>
      </w:pPr>
      <w:r>
        <w:t xml:space="preserve">La asimetría de capital de la tabla anterior tiene además una implicación</w:t>
      </w:r>
      <w:r>
        <w:t xml:space="preserve"> </w:t>
      </w:r>
      <w:r>
        <w:t xml:space="preserve">distributiva central para una economía como la mexicana: la frontera</w:t>
      </w:r>
      <w:r>
        <w:t xml:space="preserve"> </w:t>
      </w:r>
      <w:r>
        <w:t xml:space="preserve">encarnada solo puede llegar a través de la inversión formal, mientras que la</w:t>
      </w:r>
      <w:r>
        <w:t xml:space="preserve"> </w:t>
      </w:r>
      <w:r>
        <w:t xml:space="preserve">frontera cognitiva se difunde por teléfono y alcanza también al sector</w:t>
      </w:r>
      <w:r>
        <w:t xml:space="preserve"> </w:t>
      </w:r>
      <w:r>
        <w:t xml:space="preserve">informal. Los instrumentos estadísticos formales (censos, registros del</w:t>
      </w:r>
      <w:r>
        <w:t xml:space="preserve"> </w:t>
      </w:r>
      <w:r>
        <w:t xml:space="preserve">IMSS) miden bien el canal robótico y mal el canal cognitivo —una asimetría</w:t>
      </w:r>
      <w:r>
        <w:t xml:space="preserve"> </w:t>
      </w:r>
      <w:r>
        <w:t xml:space="preserve">que el diseño empírico de los capítulos 5 y 6 incorpora de manera explícita.</w:t>
      </w:r>
    </w:p>
    <w:bookmarkEnd w:id="28"/>
    <w:bookmarkStart w:id="29" w:name="X2faf82513fb45d858731f6f4c9b312dad76e821"/>
    <w:p>
      <w:pPr>
        <w:pStyle w:val="Heading2"/>
      </w:pPr>
      <w:r>
        <w:t xml:space="preserve">2.4 La medición de la exposición: linaje y posición de esta tesis</w:t>
      </w:r>
    </w:p>
    <w:p>
      <w:pPr>
        <w:pStyle w:val="FirstParagraph"/>
      </w:pPr>
      <w:r>
        <w:t xml:space="preserve">La literatura de medición puede leerse como una sucesión de respuestas a una</w:t>
      </w:r>
      <w:r>
        <w:t xml:space="preserve"> </w:t>
      </w:r>
      <w:r>
        <w:t xml:space="preserve">misma pregunta: ¿cómo sabemos qué ocupaciones toca la tecnología?</w:t>
      </w:r>
    </w:p>
    <w:p>
      <w:pPr>
        <w:pStyle w:val="BodyText"/>
      </w:pPr>
      <w:r>
        <w:rPr>
          <w:bCs/>
          <w:b/>
        </w:rPr>
        <w:t xml:space="preserve">Frey y Osborne (2017)</w:t>
      </w:r>
      <w:r>
        <w:t xml:space="preserve"> </w:t>
      </w:r>
      <w:r>
        <w:t xml:space="preserve">inauguraron el campo: un taller de expertos</w:t>
      </w:r>
      <w:r>
        <w:t xml:space="preserve"> </w:t>
      </w:r>
      <w:r>
        <w:t xml:space="preserve">etiquetó 70 ocupaciones como automatizables o no, y un clasificador de</w:t>
      </w:r>
      <w:r>
        <w:t xml:space="preserve"> </w:t>
      </w:r>
      <w:r>
        <w:t xml:space="preserve">procesos gaussianos extrapoló esas etiquetas a 702 ocupaciones a través de</w:t>
      </w:r>
      <w:r>
        <w:t xml:space="preserve"> </w:t>
      </w:r>
      <w:r>
        <w:t xml:space="preserve">nueve</w:t>
      </w:r>
      <w:r>
        <w:t xml:space="preserve"> </w:t>
      </w:r>
      <w:r>
        <w:t xml:space="preserve">“</w:t>
      </w:r>
      <w:r>
        <w:t xml:space="preserve">cuellos de botella de ingeniería</w:t>
      </w:r>
      <w:r>
        <w:t xml:space="preserve">”</w:t>
      </w:r>
      <w:r>
        <w:t xml:space="preserve">. Su célebre 47% de empleo en riesgo</w:t>
      </w:r>
      <w:r>
        <w:t xml:space="preserve"> </w:t>
      </w:r>
      <w:r>
        <w:t xml:space="preserve">fijó la agenda pública, pero el método recibió dos críticas duraderas: opera</w:t>
      </w:r>
      <w:r>
        <w:t xml:space="preserve"> </w:t>
      </w:r>
      <w:r>
        <w:t xml:space="preserve">sobre ocupaciones completas en lugar de tareas —Arntz, Gregory y Zierahn</w:t>
      </w:r>
      <w:r>
        <w:t xml:space="preserve"> </w:t>
      </w:r>
      <w:r>
        <w:t xml:space="preserve">(2016) muestran que el enfoque de tareas reduce el estimado a una fracción— y</w:t>
      </w:r>
      <w:r>
        <w:t xml:space="preserve"> </w:t>
      </w:r>
      <w:r>
        <w:t xml:space="preserve">sus anclas son juicios subjetivos de un grupo pequeño.</w:t>
      </w:r>
    </w:p>
    <w:p>
      <w:pPr>
        <w:pStyle w:val="BodyText"/>
      </w:pPr>
      <w:r>
        <w:rPr>
          <w:bCs/>
          <w:b/>
        </w:rPr>
        <w:t xml:space="preserve">Webb (2020)</w:t>
      </w:r>
      <w:r>
        <w:t xml:space="preserve"> </w:t>
      </w:r>
      <w:r>
        <w:t xml:space="preserve">sustituyó el juicio experto por texto: la superposición entre</w:t>
      </w:r>
      <w:r>
        <w:t xml:space="preserve"> </w:t>
      </w:r>
      <w:r>
        <w:t xml:space="preserve">el lenguaje de las patentes y el lenguaje de las descripciones de tareas</w:t>
      </w:r>
      <w:r>
        <w:t xml:space="preserve"> </w:t>
      </w:r>
      <w:r>
        <w:t xml:space="preserve">produce índices separados para software, robots e inteligencia artificial, y</w:t>
      </w:r>
      <w:r>
        <w:t xml:space="preserve"> </w:t>
      </w:r>
      <w:r>
        <w:t xml:space="preserve">con ellos la primera evidencia clara de que las fronteras apuntan a</w:t>
      </w:r>
      <w:r>
        <w:t xml:space="preserve"> </w:t>
      </w:r>
      <w:r>
        <w:t xml:space="preserve">ocupaciones diferentes.</w:t>
      </w:r>
    </w:p>
    <w:p>
      <w:pPr>
        <w:pStyle w:val="BodyText"/>
      </w:pPr>
      <w:r>
        <w:rPr>
          <w:bCs/>
          <w:b/>
        </w:rPr>
        <w:t xml:space="preserve">Felten, Raj y Seamans (2021)</w:t>
      </w:r>
      <w:r>
        <w:t xml:space="preserve"> </w:t>
      </w:r>
      <w:r>
        <w:t xml:space="preserve">sistematizaron la medición con el AIOE:</w:t>
      </w:r>
      <w:r>
        <w:t xml:space="preserve"> </w:t>
      </w:r>
      <w:r>
        <w:t xml:space="preserve">52 habilidades de O*NET cruzadas con 10 familias de aplicaciones de IA,</w:t>
      </w:r>
      <w:r>
        <w:t xml:space="preserve"> </w:t>
      </w:r>
      <w:r>
        <w:t xml:space="preserve">ponderadas por la importancia de cada habilidad en cada ocupación. El</w:t>
      </w:r>
      <w:r>
        <w:t xml:space="preserve"> </w:t>
      </w:r>
      <w:r>
        <w:t xml:space="preserve">resultado es reproducible y transparente, pero</w:t>
      </w:r>
      <w:r>
        <w:t xml:space="preserve"> </w:t>
      </w:r>
      <w:r>
        <w:rPr>
          <w:bCs/>
          <w:b/>
        </w:rPr>
        <w:t xml:space="preserve">estático</w:t>
      </w:r>
      <w:r>
        <w:t xml:space="preserve">: la capacidad de</w:t>
      </w:r>
      <w:r>
        <w:t xml:space="preserve"> </w:t>
      </w:r>
      <w:r>
        <w:t xml:space="preserve">la tecnología entra como una constante, como si la frontera de 2021 fuera la</w:t>
      </w:r>
      <w:r>
        <w:t xml:space="preserve"> </w:t>
      </w:r>
      <w:r>
        <w:t xml:space="preserve">de siempre.</w:t>
      </w:r>
    </w:p>
    <w:p>
      <w:pPr>
        <w:pStyle w:val="BodyText"/>
      </w:pPr>
      <w:r>
        <w:rPr>
          <w:bCs/>
          <w:b/>
        </w:rPr>
        <w:t xml:space="preserve">Eloundou, Manning, Mishkin y Rock (2023)</w:t>
      </w:r>
      <w:r>
        <w:t xml:space="preserve"> </w:t>
      </w:r>
      <w:r>
        <w:t xml:space="preserve">llevaron la medición al nivel de</w:t>
      </w:r>
      <w:r>
        <w:t xml:space="preserve"> </w:t>
      </w:r>
      <w:r>
        <w:t xml:space="preserve">tarea usando al propio modelo —GPT-4 califica qué tareas puede realizar— con</w:t>
      </w:r>
      <w:r>
        <w:t xml:space="preserve"> </w:t>
      </w:r>
      <w:r>
        <w:t xml:space="preserve">alto poder predictivo pero con la subjetividad trasladada del experto humano</w:t>
      </w:r>
      <w:r>
        <w:t xml:space="preserve"> </w:t>
      </w:r>
      <w:r>
        <w:t xml:space="preserve">al modelo, y de nuevo como fotografía de un instante.</w:t>
      </w:r>
    </w:p>
    <w:p>
      <w:pPr>
        <w:pStyle w:val="BodyText"/>
      </w:pPr>
      <w:r>
        <w:rPr>
          <w:bCs/>
          <w:b/>
        </w:rPr>
        <w:t xml:space="preserve">El Índice Económico de Anthropic (2025–2026)</w:t>
      </w:r>
      <w:r>
        <w:t xml:space="preserve"> </w:t>
      </w:r>
      <w:r>
        <w:t xml:space="preserve">añadió lo que faltaba en</w:t>
      </w:r>
      <w:r>
        <w:t xml:space="preserve"> </w:t>
      </w:r>
      <w:r>
        <w:t xml:space="preserve">toda la cadena: comportamiento observado. Millones de conversaciones reales</w:t>
      </w:r>
      <w:r>
        <w:t xml:space="preserve"> </w:t>
      </w:r>
      <w:r>
        <w:t xml:space="preserve">con un modelo de lenguaje, clasificadas por tarea y ocupación, producen la</w:t>
      </w:r>
      <w:r>
        <w:t xml:space="preserve"> </w:t>
      </w:r>
      <w:r>
        <w:t xml:space="preserve">primera medida de</w:t>
      </w:r>
      <w:r>
        <w:t xml:space="preserve"> </w:t>
      </w:r>
      <w:r>
        <w:rPr>
          <w:bCs/>
          <w:b/>
        </w:rPr>
        <w:t xml:space="preserve">uso efectivo</w:t>
      </w:r>
      <w:r>
        <w:t xml:space="preserve"> </w:t>
      </w:r>
      <w:r>
        <w:t xml:space="preserve">—no opinión sobre uso posible. Esta tesis</w:t>
      </w:r>
      <w:r>
        <w:t xml:space="preserve"> </w:t>
      </w:r>
      <w:r>
        <w:t xml:space="preserve">lo emplea como variable dependiente externa de su modelo de Nivel 1,</w:t>
      </w:r>
      <w:r>
        <w:t xml:space="preserve"> </w:t>
      </w:r>
      <w:r>
        <w:t xml:space="preserve">precisamente porque es el único eslabón del linaje que no fue construido por</w:t>
      </w:r>
      <w:r>
        <w:t xml:space="preserve"> </w:t>
      </w:r>
      <w:r>
        <w:t xml:space="preserve">investigadores calificando tareas.</w:t>
      </w:r>
    </w:p>
    <w:p>
      <w:pPr>
        <w:pStyle w:val="BodyText"/>
      </w:pPr>
      <w:r>
        <w:t xml:space="preserve">La posición de esta tesis en ese linaje es doble. Primero, el</w:t>
      </w:r>
      <w:r>
        <w:t xml:space="preserve"> </w:t>
      </w:r>
      <w:r>
        <w:rPr>
          <w:bCs/>
          <w:b/>
        </w:rPr>
        <w:t xml:space="preserve">DBOE</w:t>
      </w:r>
      <w:r>
        <w:t xml:space="preserve"> </w:t>
      </w:r>
      <w:r>
        <w:t xml:space="preserve">(Dynamic Benchmark-based Occupational Exposure) dota de dinámica al marco de</w:t>
      </w:r>
      <w:r>
        <w:t xml:space="preserve"> </w:t>
      </w:r>
      <w:r>
        <w:t xml:space="preserve">Felten: el vector de capacidades por aplicación deja de ser constante y se</w:t>
      </w:r>
      <w:r>
        <w:t xml:space="preserve"> </w:t>
      </w:r>
      <w:r>
        <w:t xml:space="preserve">convierte en una curva c_j(t) medida año a año sobre los resultados de la</w:t>
      </w:r>
      <w:r>
        <w:t xml:space="preserve"> </w:t>
      </w:r>
      <w:r>
        <w:t xml:space="preserve">frontera de modelos en benchmarks públicos (Epoch AI). La exposición adquiere</w:t>
      </w:r>
      <w:r>
        <w:t xml:space="preserve"> </w:t>
      </w:r>
      <w:r>
        <w:t xml:space="preserve">reloj, y su validez se establece reproduciendo el AIOE publicado con r = 0.94.</w:t>
      </w:r>
      <w:r>
        <w:t xml:space="preserve"> </w:t>
      </w:r>
      <w:r>
        <w:t xml:space="preserve">Segundo, el</w:t>
      </w:r>
      <w:r>
        <w:t xml:space="preserve"> </w:t>
      </w:r>
      <w:r>
        <w:rPr>
          <w:bCs/>
          <w:b/>
        </w:rPr>
        <w:t xml:space="preserve">DEOE</w:t>
      </w:r>
      <w:r>
        <w:t xml:space="preserve"> </w:t>
      </w:r>
      <w:r>
        <w:t xml:space="preserve">(Dynamic Embodied Occupational Exposure) construye el</w:t>
      </w:r>
      <w:r>
        <w:t xml:space="preserve"> </w:t>
      </w:r>
      <w:r>
        <w:t xml:space="preserve">espejo encarnado que el linaje no tenía: cinco subdominios físicos de O*NET</w:t>
      </w:r>
      <w:r>
        <w:t xml:space="preserve"> </w:t>
      </w:r>
      <w:r>
        <w:t xml:space="preserve">agregados con la misma lógica de ponderación, validados de manera convergente</w:t>
      </w:r>
      <w:r>
        <w:t xml:space="preserve"> </w:t>
      </w:r>
      <w:r>
        <w:t xml:space="preserve">contra el índice de patentes robóticas de Webb (r = +0.76) y discriminante</w:t>
      </w:r>
      <w:r>
        <w:t xml:space="preserve"> </w:t>
      </w:r>
      <w:r>
        <w:t xml:space="preserve">contra el bloque cognitivo (r ≈ 0). El par DBOE–DEOE, junto con la</w:t>
      </w:r>
      <w:r>
        <w:t xml:space="preserve"> </w:t>
      </w:r>
      <w:r>
        <w:t xml:space="preserve">estructura bipolar que revela, constituye la contribución metodológica de</w:t>
      </w:r>
      <w:r>
        <w:t xml:space="preserve"> </w:t>
      </w:r>
      <w:r>
        <w:t xml:space="preserve">esta tesis: un sistema de exposición de dos fronteras, indexado en el tiempo</w:t>
      </w:r>
      <w:r>
        <w:t xml:space="preserve"> </w:t>
      </w:r>
      <w:r>
        <w:t xml:space="preserve">y anclado en capacidades medidas, aplicado a un mercado laboral en</w:t>
      </w:r>
      <w:r>
        <w:t xml:space="preserve"> </w:t>
      </w:r>
      <w:r>
        <w:t xml:space="preserve">desarrollo.</w:t>
      </w:r>
    </w:p>
    <w:bookmarkEnd w:id="29"/>
    <w:bookmarkStart w:id="30" w:name="X5f6e793c7f5fd6abd8bba6e21c12ca60f691b97"/>
    <w:p>
      <w:pPr>
        <w:pStyle w:val="Heading2"/>
      </w:pPr>
      <w:r>
        <w:t xml:space="preserve">2.5 La adopción en el tiempo: la curva J y la ventana de política</w:t>
      </w:r>
    </w:p>
    <w:p>
      <w:pPr>
        <w:pStyle w:val="FirstParagraph"/>
      </w:pPr>
      <w:r>
        <w:t xml:space="preserve">Entre la capacidad de una tecnología y sus efectos económicos medibles media</w:t>
      </w:r>
      <w:r>
        <w:t xml:space="preserve"> </w:t>
      </w:r>
      <w:r>
        <w:t xml:space="preserve">un retraso sistemático. Brynjolfsson, Rock y Syverson (2021) lo formalizan</w:t>
      </w:r>
      <w:r>
        <w:t xml:space="preserve"> </w:t>
      </w:r>
      <w:r>
        <w:t xml:space="preserve">como la</w:t>
      </w:r>
      <w:r>
        <w:t xml:space="preserve"> </w:t>
      </w:r>
      <w:r>
        <w:rPr>
          <w:bCs/>
          <w:b/>
        </w:rPr>
        <w:t xml:space="preserve">curva J de la productividad</w:t>
      </w:r>
      <w:r>
        <w:t xml:space="preserve">: las tecnologías de propósito general</w:t>
      </w:r>
      <w:r>
        <w:t xml:space="preserve"> </w:t>
      </w:r>
      <w:r>
        <w:t xml:space="preserve">exigen inversión complementaria, reorganización de procesos y aprendizaje</w:t>
      </w:r>
      <w:r>
        <w:t xml:space="preserve"> </w:t>
      </w:r>
      <w:r>
        <w:t xml:space="preserve">antes de que sus efectos aparezcan en las estadísticas, y durante ese</w:t>
      </w:r>
      <w:r>
        <w:t xml:space="preserve"> </w:t>
      </w:r>
      <w:r>
        <w:t xml:space="preserve">intervalo los indicadores pueden incluso moverse en dirección contraria a la</w:t>
      </w:r>
      <w:r>
        <w:t xml:space="preserve"> </w:t>
      </w:r>
      <w:r>
        <w:t xml:space="preserve">esperada. La historia económica es consistente: la electrificación tardó</w:t>
      </w:r>
      <w:r>
        <w:t xml:space="preserve"> </w:t>
      </w:r>
      <w:r>
        <w:t xml:space="preserve">décadas en reorganizar la fábrica; el cómputo, en aparecer en la</w:t>
      </w:r>
      <w:r>
        <w:t xml:space="preserve"> </w:t>
      </w:r>
      <w:r>
        <w:t xml:space="preserve">productividad.</w:t>
      </w:r>
    </w:p>
    <w:p>
      <w:pPr>
        <w:pStyle w:val="BodyText"/>
      </w:pPr>
      <w:r>
        <w:t xml:space="preserve">Para una economía que adopta la frontera cognitiva a una fracción del ritmo</w:t>
      </w:r>
      <w:r>
        <w:t xml:space="preserve"> </w:t>
      </w:r>
      <w:r>
        <w:t xml:space="preserve">esperado —el Índice Económico de Anthropic sitúa el uso de México en 0.44</w:t>
      </w:r>
      <w:r>
        <w:t xml:space="preserve"> </w:t>
      </w:r>
      <w:r>
        <w:t xml:space="preserve">veces lo que predice su población conectada—, la teoría hace una predicción</w:t>
      </w:r>
      <w:r>
        <w:t xml:space="preserve"> </w:t>
      </w:r>
      <w:r>
        <w:t xml:space="preserve">precisa sobre el presente:</w:t>
      </w:r>
      <w:r>
        <w:t xml:space="preserve"> </w:t>
      </w:r>
      <w:r>
        <w:rPr>
          <w:bCs/>
          <w:b/>
        </w:rPr>
        <w:t xml:space="preserve">shock de capacidad sin shock laboral</w:t>
      </w:r>
      <w:r>
        <w:t xml:space="preserve">. Los</w:t>
      </w:r>
      <w:r>
        <w:t xml:space="preserve"> </w:t>
      </w:r>
      <w:r>
        <w:t xml:space="preserve">efectos tempranos, cuando lleguen, aparecerán primero en los márgenes que el</w:t>
      </w:r>
      <w:r>
        <w:t xml:space="preserve"> </w:t>
      </w:r>
      <w:r>
        <w:t xml:space="preserve">modelo de tareas señala (sección 2.1): flujos de contratación, vacantes de</w:t>
      </w:r>
      <w:r>
        <w:t xml:space="preserve"> </w:t>
      </w:r>
      <w:r>
        <w:t xml:space="preserve">nivel de entrada, composición de tareas dentro del empleo —márgenes</w:t>
      </w:r>
      <w:r>
        <w:t xml:space="preserve"> </w:t>
      </w:r>
      <w:r>
        <w:t xml:space="preserve">invisibles para los acervos de empleo sectorial que miden los registros</w:t>
      </w:r>
      <w:r>
        <w:t xml:space="preserve"> </w:t>
      </w:r>
      <w:r>
        <w:t xml:space="preserve">administrativos.</w:t>
      </w:r>
    </w:p>
    <w:p>
      <w:pPr>
        <w:pStyle w:val="BodyText"/>
      </w:pPr>
      <w:r>
        <w:t xml:space="preserve">De esta asimetría temporal nace el concepto organizador de la segunda mitad</w:t>
      </w:r>
      <w:r>
        <w:t xml:space="preserve"> </w:t>
      </w:r>
      <w:r>
        <w:t xml:space="preserve">de la tesis: la</w:t>
      </w:r>
      <w:r>
        <w:t xml:space="preserve"> </w:t>
      </w:r>
      <w:r>
        <w:rPr>
          <w:bCs/>
          <w:b/>
        </w:rPr>
        <w:t xml:space="preserve">ventana de política</w:t>
      </w:r>
      <w:r>
        <w:t xml:space="preserve">. Si el shock de capacidad ya ocurrió,</w:t>
      </w:r>
      <w:r>
        <w:t xml:space="preserve"> </w:t>
      </w:r>
      <w:r>
        <w:t xml:space="preserve">si las expectativas de los trabajadores ya se movieron, pero el shock laboral</w:t>
      </w:r>
      <w:r>
        <w:t xml:space="preserve"> </w:t>
      </w:r>
      <w:r>
        <w:t xml:space="preserve">realizado aún no llega, el intervalo entre ambos es tiempo utilizable —finito</w:t>
      </w:r>
      <w:r>
        <w:t xml:space="preserve"> </w:t>
      </w:r>
      <w:r>
        <w:t xml:space="preserve">y medible— para reconversión, protección social y política industrial. La</w:t>
      </w:r>
      <w:r>
        <w:t xml:space="preserve"> </w:t>
      </w:r>
      <w:r>
        <w:t xml:space="preserve">ventana no es una metáfora optimista: es la lectura que la curva J impone</w:t>
      </w:r>
      <w:r>
        <w:t xml:space="preserve"> </w:t>
      </w:r>
      <w:r>
        <w:t xml:space="preserve">sobre un resultado nulo bien establecido, y el capítulo 5 la documenta con</w:t>
      </w:r>
      <w:r>
        <w:t xml:space="preserve"> </w:t>
      </w:r>
      <w:r>
        <w:t xml:space="preserve">tres piezas de evidencia independientes.</w:t>
      </w:r>
    </w:p>
    <w:bookmarkEnd w:id="30"/>
    <w:bookmarkStart w:id="31" w:name="X4dc04648bff3d152f237e07388b87215743bf3f"/>
    <w:p>
      <w:pPr>
        <w:pStyle w:val="Heading2"/>
      </w:pPr>
      <w:r>
        <w:t xml:space="preserve">2.6 Mercados laborales en desarrollo: informalidad, contenido transplantado y nearshoring</w:t>
      </w:r>
    </w:p>
    <w:p>
      <w:pPr>
        <w:pStyle w:val="FirstParagraph"/>
      </w:pPr>
      <w:r>
        <w:t xml:space="preserve">Tres literaturas adaptan el marco anterior al caso mexicano.</w:t>
      </w:r>
    </w:p>
    <w:p>
      <w:pPr>
        <w:pStyle w:val="BodyText"/>
      </w:pPr>
      <w:r>
        <w:rPr>
          <w:bCs/>
          <w:b/>
        </w:rPr>
        <w:t xml:space="preserve">La informalidad como margen de ajuste.</w:t>
      </w:r>
      <w:r>
        <w:t xml:space="preserve"> </w:t>
      </w:r>
      <w:r>
        <w:t xml:space="preserve">En América Latina el trabajador</w:t>
      </w:r>
      <w:r>
        <w:t xml:space="preserve"> </w:t>
      </w:r>
      <w:r>
        <w:t xml:space="preserve">formal desplazado rara vez aparece como desempleado: reaparece como informal</w:t>
      </w:r>
      <w:r>
        <w:t xml:space="preserve"> </w:t>
      </w:r>
      <w:r>
        <w:t xml:space="preserve">(Maloney, 2004; Levy, 2008). Para esta tesis la implicación es doble. Por un</w:t>
      </w:r>
      <w:r>
        <w:t xml:space="preserve"> </w:t>
      </w:r>
      <w:r>
        <w:t xml:space="preserve">lado, metodológica: un resultado nulo medido solo sobre el empleo formal</w:t>
      </w:r>
      <w:r>
        <w:t xml:space="preserve"> </w:t>
      </w:r>
      <w:r>
        <w:t xml:space="preserve">puede enmascarar desplazamiento real; por ello la hipótesis de absorción</w:t>
      </w:r>
      <w:r>
        <w:t xml:space="preserve"> </w:t>
      </w:r>
      <w:r>
        <w:t xml:space="preserve">—¿crece la participación informal en los sectores expuestos?— se trata como</w:t>
      </w:r>
      <w:r>
        <w:t xml:space="preserve"> </w:t>
      </w:r>
      <w:r>
        <w:t xml:space="preserve">hipótesis a contrastar con microdatos de la ENOE, no como advertencia al pie.</w:t>
      </w:r>
      <w:r>
        <w:t xml:space="preserve"> </w:t>
      </w:r>
      <w:r>
        <w:t xml:space="preserve">Por otro lado, distributiva: la informalidad funciona como</w:t>
      </w:r>
      <w:r>
        <w:t xml:space="preserve"> </w:t>
      </w:r>
      <w:r>
        <w:rPr>
          <w:bCs/>
          <w:b/>
        </w:rPr>
        <w:t xml:space="preserve">multiplicador de</w:t>
      </w:r>
      <w:r>
        <w:rPr>
          <w:bCs/>
          <w:b/>
        </w:rPr>
        <w:t xml:space="preserve"> </w:t>
      </w:r>
      <w:r>
        <w:rPr>
          <w:bCs/>
          <w:b/>
        </w:rPr>
        <w:t xml:space="preserve">severidad</w:t>
      </w:r>
      <w:r>
        <w:t xml:space="preserve"> </w:t>
      </w:r>
      <w:r>
        <w:t xml:space="preserve">del mismo riesgo —idéntica exposición, cero red de protección</w:t>
      </w:r>
      <w:r>
        <w:t xml:space="preserve"> </w:t>
      </w:r>
      <w:r>
        <w:t xml:space="preserve">(sin IMSS, sin indemnización)— lo que convierte la composición formal/</w:t>
      </w:r>
      <w:r>
        <w:t xml:space="preserve"> </w:t>
      </w:r>
      <w:r>
        <w:t xml:space="preserve">informal de la población en riesgo en un dato de política de primer orden.</w:t>
      </w:r>
    </w:p>
    <w:p>
      <w:pPr>
        <w:pStyle w:val="BodyText"/>
      </w:pPr>
      <w:r>
        <w:rPr>
          <w:bCs/>
          <w:b/>
        </w:rPr>
        <w:t xml:space="preserve">El contenido de tareas varía con el desarrollo.</w:t>
      </w:r>
      <w:r>
        <w:t xml:space="preserve"> </w:t>
      </w:r>
      <w:r>
        <w:t xml:space="preserve">Trasladar descriptores</w:t>
      </w:r>
      <w:r>
        <w:t xml:space="preserve"> </w:t>
      </w:r>
      <w:r>
        <w:t xml:space="preserve">de O*NET a México supone que una ocupación contiene tareas similares en</w:t>
      </w:r>
      <w:r>
        <w:t xml:space="preserve"> </w:t>
      </w:r>
      <w:r>
        <w:t xml:space="preserve">ambos países. Lewandowski, Park, Hardy, Du y Wu (2022) muestran que el mismo</w:t>
      </w:r>
      <w:r>
        <w:t xml:space="preserve"> </w:t>
      </w:r>
      <w:r>
        <w:t xml:space="preserve">título ocupacional es más intensivo en rutina en países de menor ingreso: el</w:t>
      </w:r>
      <w:r>
        <w:t xml:space="preserve"> </w:t>
      </w:r>
      <w:r>
        <w:t xml:space="preserve">supuesto no es inocuo. Es, sin embargo, el supuesto estándar de toda la</w:t>
      </w:r>
      <w:r>
        <w:t xml:space="preserve"> </w:t>
      </w:r>
      <w:r>
        <w:t xml:space="preserve">literatura internacional (OIT, BID, OCDE), que lo adopta sin contraste. Esta</w:t>
      </w:r>
      <w:r>
        <w:t xml:space="preserve"> </w:t>
      </w:r>
      <w:r>
        <w:t xml:space="preserve">tesis lo somete a la única prueba disponible: la comparación del perfil</w:t>
      </w:r>
      <w:r>
        <w:t xml:space="preserve"> </w:t>
      </w:r>
      <w:r>
        <w:t xml:space="preserve">ocupacional de uso observado de IA entre México y Estados Unidos, que arroja</w:t>
      </w:r>
      <w:r>
        <w:t xml:space="preserve"> </w:t>
      </w:r>
      <w:r>
        <w:t xml:space="preserve">una correlación de 0.97 —el supuesto se mantiene, se declara y se acota,</w:t>
      </w:r>
      <w:r>
        <w:t xml:space="preserve"> </w:t>
      </w:r>
      <w:r>
        <w:t xml:space="preserve">en lugar de ocultarse.</w:t>
      </w:r>
    </w:p>
    <w:p>
      <w:pPr>
        <w:pStyle w:val="BodyText"/>
      </w:pPr>
      <w:r>
        <w:rPr>
          <w:bCs/>
          <w:b/>
        </w:rPr>
        <w:t xml:space="preserve">Nearshoring y cadenas globales de valor.</w:t>
      </w:r>
      <w:r>
        <w:t xml:space="preserve"> </w:t>
      </w:r>
      <w:r>
        <w:t xml:space="preserve">La relocalización de manufactura</w:t>
      </w:r>
      <w:r>
        <w:t xml:space="preserve"> </w:t>
      </w:r>
      <w:r>
        <w:t xml:space="preserve">hacia México eleva la inversión extranjera directa —en Jalisco, +27% en</w:t>
      </w:r>
      <w:r>
        <w:t xml:space="preserve"> </w:t>
      </w:r>
      <w:r>
        <w:t xml:space="preserve">2021–2023 frente al quinquenio previo— y esa inversión llega a la frontera</w:t>
      </w:r>
      <w:r>
        <w:t xml:space="preserve"> </w:t>
      </w:r>
      <w:r>
        <w:t xml:space="preserve">global de automatización: la planta que se instala o se reequipa hoy no</w:t>
      </w:r>
      <w:r>
        <w:t xml:space="preserve"> </w:t>
      </w:r>
      <w:r>
        <w:t xml:space="preserve">replica el nivel de robotización del acervo local sino el de su corporativo</w:t>
      </w:r>
      <w:r>
        <w:t xml:space="preserve"> </w:t>
      </w:r>
      <w:r>
        <w:t xml:space="preserve">global. El nearshoring es así, simultáneamente, creación de empleo presente e</w:t>
      </w:r>
      <w:r>
        <w:t xml:space="preserve"> </w:t>
      </w:r>
      <w:r>
        <w:t xml:space="preserve">importación de adopción robótica futura: el mecanismo concreto detrás del</w:t>
      </w:r>
      <w:r>
        <w:t xml:space="preserve"> </w:t>
      </w:r>
      <w:r>
        <w:t xml:space="preserve">escenario acelerado de la curva r(t), y un factor de confusión —al alza— para</w:t>
      </w:r>
      <w:r>
        <w:t xml:space="preserve"> </w:t>
      </w:r>
      <w:r>
        <w:t xml:space="preserve">cualquier estimación del efecto temprano de la IA sobre el empleo formal</w:t>
      </w:r>
      <w:r>
        <w:t xml:space="preserve"> </w:t>
      </w:r>
      <w:r>
        <w:t xml:space="preserve">manufacturero.</w:t>
      </w:r>
    </w:p>
    <w:bookmarkEnd w:id="31"/>
    <w:bookmarkStart w:id="32" w:name="el-marco-integrado"/>
    <w:p>
      <w:pPr>
        <w:pStyle w:val="Heading2"/>
      </w:pPr>
      <w:r>
        <w:t xml:space="preserve">2.7 El marco integrado</w:t>
      </w:r>
    </w:p>
    <w:p>
      <w:pPr>
        <w:pStyle w:val="FirstParagraph"/>
      </w:pPr>
      <w:r>
        <w:t xml:space="preserve">Los seis bloques anteriores se ensamblan en una cadena causal única, que es</w:t>
      </w:r>
      <w:r>
        <w:t xml:space="preserve"> </w:t>
      </w:r>
      <w:r>
        <w:t xml:space="preserve">literalmente el plan de los capítulos empíricos:</w:t>
      </w:r>
    </w:p>
    <w:p>
      <w:pPr>
        <w:pStyle w:val="SourceCode"/>
      </w:pPr>
      <w:r>
        <w:rPr>
          <w:rStyle w:val="VerbatimChar"/>
        </w:rPr>
        <w:t xml:space="preserve">capacidad tecnológica (global)        §2.3, §2.4 →  c_j(t), r(t)</w:t>
      </w:r>
      <w:r>
        <w:br/>
      </w:r>
      <w:r>
        <w:rPr>
          <w:rStyle w:val="VerbatimChar"/>
        </w:rPr>
        <w:t xml:space="preserve">        ×</w:t>
      </w:r>
      <w:r>
        <w:br/>
      </w:r>
      <w:r>
        <w:rPr>
          <w:rStyle w:val="VerbatimChar"/>
        </w:rPr>
        <w:t xml:space="preserve">contenido de tareas ocupacional       §2.1       →  O*NET → DBOE, DEOE</w:t>
      </w:r>
      <w:r>
        <w:br/>
      </w:r>
      <w:r>
        <w:rPr>
          <w:rStyle w:val="VerbatimChar"/>
        </w:rPr>
        <w:t xml:space="preserve">        ×</w:t>
      </w:r>
      <w:r>
        <w:br/>
      </w:r>
      <w:r>
        <w:rPr>
          <w:rStyle w:val="VerbatimChar"/>
        </w:rPr>
        <w:t xml:space="preserve">composición local del empleo          §2.6       →  ENOE → quién está expuesto (H1, H3)</w:t>
      </w:r>
      <w:r>
        <w:br/>
      </w:r>
      <w:r>
        <w:rPr>
          <w:rStyle w:val="VerbatimChar"/>
        </w:rPr>
        <w:t xml:space="preserve">        ×</w:t>
      </w:r>
      <w:r>
        <w:br/>
      </w:r>
      <w:r>
        <w:rPr>
          <w:rStyle w:val="VerbatimChar"/>
        </w:rPr>
        <w:t xml:space="preserve">incentivo económico                   §2.2       →  IRA: factibilidad ≠ adopción (H4)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sustitución realizada                 §2.2, §2.5 →  profundización de capital, participación</w:t>
      </w:r>
      <w:r>
        <w:br/>
      </w:r>
      <w:r>
        <w:rPr>
          <w:rStyle w:val="VerbatimChar"/>
        </w:rPr>
        <w:t xml:space="preserve">                                                    laboral, crecimiento perdido; rezagos</w:t>
      </w:r>
      <w:r>
        <w:br/>
      </w:r>
      <w:r>
        <w:rPr>
          <w:rStyle w:val="VerbatimChar"/>
        </w:rPr>
        <w:t xml:space="preserve">                                                    (ventana de política)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incidencia distributiva               §2.6       →  educación, género, formalidad,</w:t>
      </w:r>
      <w:r>
        <w:br/>
      </w:r>
      <w:r>
        <w:rPr>
          <w:rStyle w:val="VerbatimChar"/>
        </w:rPr>
        <w:t xml:space="preserve">                                                    territorio; multiplicadores de severidad</w:t>
      </w:r>
    </w:p>
    <w:p>
      <w:pPr>
        <w:pStyle w:val="FirstParagraph"/>
      </w:pPr>
      <w:r>
        <w:t xml:space="preserve">Cada eslabón es medible con datos existentes, y cada uno corresponde a una</w:t>
      </w:r>
      <w:r>
        <w:t xml:space="preserve"> </w:t>
      </w:r>
      <w:r>
        <w:t xml:space="preserve">sección de los capítulos 4 a 6.</w:t>
      </w:r>
    </w:p>
    <w:bookmarkEnd w:id="32"/>
    <w:bookmarkStart w:id="33" w:name="hipótesis"/>
    <w:p>
      <w:pPr>
        <w:pStyle w:val="Heading2"/>
      </w:pPr>
      <w:r>
        <w:t xml:space="preserve">2.8 Hipótesis</w:t>
      </w:r>
    </w:p>
    <w:p>
      <w:pPr>
        <w:pStyle w:val="FirstParagraph"/>
      </w:pPr>
      <w:r>
        <w:t xml:space="preserve">Las hipótesis de esta tesis no son afirmaciones ad hoc: cada una es la</w:t>
      </w:r>
      <w:r>
        <w:t xml:space="preserve"> </w:t>
      </w:r>
      <w:r>
        <w:t xml:space="preserve">predicción de un bloque teórico específico.</w:t>
      </w:r>
    </w:p>
    <w:p>
      <w:pPr>
        <w:pStyle w:val="BodyText"/>
      </w:pPr>
      <w:r>
        <w:rPr>
          <w:bCs/>
          <w:b/>
        </w:rPr>
        <w:t xml:space="preserve">H1 (gradiente cognitivo).</w:t>
      </w:r>
      <w:r>
        <w:t xml:space="preserve"> </w:t>
      </w:r>
      <w:r>
        <w:rPr>
          <w:iCs/>
          <w:i/>
        </w:rPr>
        <w:t xml:space="preserve">La exposición a los modelos de lenguaje sigue</w:t>
      </w:r>
      <w:r>
        <w:rPr>
          <w:iCs/>
          <w:i/>
        </w:rPr>
        <w:t xml:space="preserve"> </w:t>
      </w:r>
      <w:r>
        <w:rPr>
          <w:iCs/>
          <w:i/>
        </w:rPr>
        <w:t xml:space="preserve">la jerarquía ocupacional: es máxima en las ocupaciones directivas y</w:t>
      </w:r>
      <w:r>
        <w:rPr>
          <w:iCs/>
          <w:i/>
        </w:rPr>
        <w:t xml:space="preserve"> </w:t>
      </w:r>
      <w:r>
        <w:rPr>
          <w:iCs/>
          <w:i/>
        </w:rPr>
        <w:t xml:space="preserve">profesionales y mínima en las elementales y manuales.</w:t>
      </w:r>
      <w:r>
        <w:t xml:space="preserve"> </w:t>
      </w:r>
      <w:r>
        <w:t xml:space="preserve">Se deriva de §2.1 y</w:t>
      </w:r>
      <w:r>
        <w:t xml:space="preserve"> </w:t>
      </w:r>
      <w:r>
        <w:t xml:space="preserve">§2.3: la capacidad de los LLM se concentra en tareas intensivas en</w:t>
      </w:r>
      <w:r>
        <w:t xml:space="preserve"> </w:t>
      </w:r>
      <w:r>
        <w:t xml:space="preserve">habilidades cognitivas, invirtiendo el supuesto de Frey-Osborne de que el</w:t>
      </w:r>
      <w:r>
        <w:t xml:space="preserve"> </w:t>
      </w:r>
      <w:r>
        <w:t xml:space="preserve">trabajo cognitivo no rutinario constituye la zona segura.</w:t>
      </w:r>
    </w:p>
    <w:p>
      <w:pPr>
        <w:pStyle w:val="BodyText"/>
      </w:pPr>
      <w:r>
        <w:rPr>
          <w:bCs/>
          <w:b/>
        </w:rPr>
        <w:t xml:space="preserve">H2 (estructura bipolar).</w:t>
      </w:r>
      <w:r>
        <w:t xml:space="preserve"> </w:t>
      </w:r>
      <w:r>
        <w:rPr>
          <w:iCs/>
          <w:i/>
        </w:rPr>
        <w:t xml:space="preserve">Las exposiciones cognitiva y encarnada no son</w:t>
      </w:r>
      <w:r>
        <w:rPr>
          <w:iCs/>
          <w:i/>
        </w:rPr>
        <w:t xml:space="preserve"> </w:t>
      </w:r>
      <w:r>
        <w:rPr>
          <w:iCs/>
          <w:i/>
        </w:rPr>
        <w:t xml:space="preserve">dos riesgos independientes sino polos opuestos de una dimensión dominante:</w:t>
      </w:r>
      <w:r>
        <w:rPr>
          <w:iCs/>
          <w:i/>
        </w:rPr>
        <w:t xml:space="preserve"> </w:t>
      </w:r>
      <w:r>
        <w:rPr>
          <w:iCs/>
          <w:i/>
        </w:rPr>
        <w:t xml:space="preserve">las ocupaciones más expuestas a los LLM son las menos expuestas a los robots,</w:t>
      </w:r>
      <w:r>
        <w:rPr>
          <w:iCs/>
          <w:i/>
        </w:rPr>
        <w:t xml:space="preserve"> </w:t>
      </w:r>
      <w:r>
        <w:rPr>
          <w:iCs/>
          <w:i/>
        </w:rPr>
        <w:t xml:space="preserve">y viceversa.</w:t>
      </w:r>
      <w:r>
        <w:t xml:space="preserve"> </w:t>
      </w:r>
      <w:r>
        <w:t xml:space="preserve">Se deriva de §2.3: las dos fronteras valoran las habilidades en</w:t>
      </w:r>
      <w:r>
        <w:t xml:space="preserve"> </w:t>
      </w:r>
      <w:r>
        <w:t xml:space="preserve">direcciones opuestas.</w:t>
      </w:r>
    </w:p>
    <w:p>
      <w:pPr>
        <w:pStyle w:val="BodyText"/>
      </w:pPr>
      <w:r>
        <w:rPr>
          <w:bCs/>
          <w:b/>
        </w:rPr>
        <w:t xml:space="preserve">H3 (posición de Jalisco).</w:t>
      </w:r>
      <w:r>
        <w:t xml:space="preserve"> </w:t>
      </w:r>
      <w:r>
        <w:rPr>
          <w:iCs/>
          <w:i/>
        </w:rPr>
        <w:t xml:space="preserve">La composición del empleo de Jalisco sitúa al</w:t>
      </w:r>
      <w:r>
        <w:rPr>
          <w:iCs/>
          <w:i/>
        </w:rPr>
        <w:t xml:space="preserve"> </w:t>
      </w:r>
      <w:r>
        <w:rPr>
          <w:iCs/>
          <w:i/>
        </w:rPr>
        <w:t xml:space="preserve">estado por debajo del centro de masa de la frontera cognitiva y por encima</w:t>
      </w:r>
      <w:r>
        <w:rPr>
          <w:iCs/>
          <w:i/>
        </w:rPr>
        <w:t xml:space="preserve"> </w:t>
      </w:r>
      <w:r>
        <w:rPr>
          <w:iCs/>
          <w:i/>
        </w:rPr>
        <w:t xml:space="preserve">del de la frontera encarnada.</w:t>
      </w:r>
      <w:r>
        <w:t xml:space="preserve"> </w:t>
      </w:r>
      <w:r>
        <w:t xml:space="preserve">Se deriva de §2.3 y §2.6. El contraste</w:t>
      </w:r>
      <w:r>
        <w:t xml:space="preserve"> </w:t>
      </w:r>
      <w:r>
        <w:t xml:space="preserve">empírico nacional (capítulo 4) refina esta hipótesis: dentro de México,</w:t>
      </w:r>
      <w:r>
        <w:t xml:space="preserve"> </w:t>
      </w:r>
      <w:r>
        <w:t xml:space="preserve">Jalisco resulta además uno de los estados más próximos al polo cognitivo —una</w:t>
      </w:r>
      <w:r>
        <w:t xml:space="preserve"> </w:t>
      </w:r>
      <w:r>
        <w:t xml:space="preserve">posición</w:t>
      </w:r>
      <w:r>
        <w:t xml:space="preserve"> </w:t>
      </w:r>
      <w:r>
        <w:rPr>
          <w:bCs/>
          <w:b/>
        </w:rPr>
        <w:t xml:space="preserve">bifrontal</w:t>
      </w:r>
      <w:r>
        <w:t xml:space="preserve"> </w:t>
      </w:r>
      <w:r>
        <w:t xml:space="preserve">que enfrenta ambas fronteras a la vez.</w:t>
      </w:r>
    </w:p>
    <w:p>
      <w:pPr>
        <w:pStyle w:val="BodyText"/>
      </w:pPr>
      <w:r>
        <w:rPr>
          <w:bCs/>
          <w:b/>
        </w:rPr>
        <w:t xml:space="preserve">H4 (moderación económica).</w:t>
      </w:r>
      <w:r>
        <w:t xml:space="preserve"> </w:t>
      </w:r>
      <w:r>
        <w:rPr>
          <w:iCs/>
          <w:i/>
        </w:rPr>
        <w:t xml:space="preserve">La exposición técnica se traduce en presión</w:t>
      </w:r>
      <w:r>
        <w:rPr>
          <w:iCs/>
          <w:i/>
        </w:rPr>
        <w:t xml:space="preserve"> </w:t>
      </w:r>
      <w:r>
        <w:rPr>
          <w:iCs/>
          <w:i/>
        </w:rPr>
        <w:t xml:space="preserve">real de automatización solo donde la relación salario/costo de capital hace</w:t>
      </w:r>
      <w:r>
        <w:rPr>
          <w:iCs/>
          <w:i/>
        </w:rPr>
        <w:t xml:space="preserve"> </w:t>
      </w:r>
      <w:r>
        <w:rPr>
          <w:iCs/>
          <w:i/>
        </w:rPr>
        <w:t xml:space="preserve">rentable la sustitución; los sectores con mayor incentivo exhiben sustitución</w:t>
      </w:r>
      <w:r>
        <w:rPr>
          <w:iCs/>
          <w:i/>
        </w:rPr>
        <w:t xml:space="preserve"> </w:t>
      </w:r>
      <w:r>
        <w:rPr>
          <w:iCs/>
          <w:i/>
        </w:rPr>
        <w:t xml:space="preserve">observable de trabajo por capital.</w:t>
      </w:r>
      <w:r>
        <w:t xml:space="preserve"> </w:t>
      </w:r>
      <w:r>
        <w:t xml:space="preserve">Se deriva de §2.2, y es la hipótesis que</w:t>
      </w:r>
      <w:r>
        <w:t xml:space="preserve"> </w:t>
      </w:r>
      <w:r>
        <w:t xml:space="preserve">distingue a esta tesis de la literatura de exposición pura: no pregunta solo</w:t>
      </w:r>
      <w:r>
        <w:t xml:space="preserve"> </w:t>
      </w:r>
      <w:r>
        <w:t xml:space="preserve">dónde</w:t>
      </w:r>
      <w:r>
        <w:t xml:space="preserve"> </w:t>
      </w:r>
      <w:r>
        <w:rPr>
          <w:iCs/>
          <w:i/>
        </w:rPr>
        <w:t xml:space="preserve">puede</w:t>
      </w:r>
      <w:r>
        <w:t xml:space="preserve"> </w:t>
      </w:r>
      <w:r>
        <w:t xml:space="preserve">automatizar el mercado, sino dónde, de hecho,</w:t>
      </w:r>
      <w:r>
        <w:t xml:space="preserve"> </w:t>
      </w:r>
      <w:r>
        <w:rPr>
          <w:iCs/>
          <w:i/>
        </w:rPr>
        <w:t xml:space="preserve">lo ha venido</w:t>
      </w:r>
      <w:r>
        <w:rPr>
          <w:iCs/>
          <w:i/>
        </w:rPr>
        <w:t xml:space="preserve"> </w:t>
      </w:r>
      <w:r>
        <w:rPr>
          <w:iCs/>
          <w:i/>
        </w:rPr>
        <w:t xml:space="preserve">haciendo</w:t>
      </w:r>
      <w:r>
        <w:t xml:space="preserve">.</w:t>
      </w:r>
    </w:p>
    <w:p>
      <w:pPr>
        <w:pStyle w:val="BodyText"/>
      </w:pPr>
      <w:r>
        <w:t xml:space="preserve">El capítulo siguiente describe los datos y métodos con que estas cuatro</w:t>
      </w:r>
      <w:r>
        <w:t xml:space="preserve"> </w:t>
      </w:r>
      <w:r>
        <w:t xml:space="preserve">hipótesis —y los supuestos del marco— se someten a prueba.</w:t>
      </w:r>
    </w:p>
    <w:bookmarkEnd w:id="33"/>
    <w:bookmarkEnd w:id="34"/>
    <w:bookmarkStart w:id="41" w:name="capítulo-3.-datos-y-métodos"/>
    <w:p>
      <w:pPr>
        <w:pStyle w:val="Heading1"/>
      </w:pPr>
      <w:r>
        <w:t xml:space="preserve">Capítulo 3. Datos y métodos</w:t>
      </w:r>
    </w:p>
    <w:p>
      <w:pPr>
        <w:pStyle w:val="FirstParagraph"/>
      </w:pPr>
      <w:r>
        <w:t xml:space="preserve">Este capítulo documenta los datos y la maquinaria empírica de la tesis. La</w:t>
      </w:r>
      <w:r>
        <w:t xml:space="preserve"> </w:t>
      </w:r>
      <w:r>
        <w:t xml:space="preserve">exposición sigue el orden de la cadena causal del capítulo anterior (§2.7):</w:t>
      </w:r>
      <w:r>
        <w:t xml:space="preserve"> </w:t>
      </w:r>
      <w:r>
        <w:t xml:space="preserve">primero las fuentes y la arquitectura de datos (3.1); después la</w:t>
      </w:r>
      <w:r>
        <w:t xml:space="preserve"> </w:t>
      </w:r>
      <w:r>
        <w:t xml:space="preserve">construcción y validación de los dos índices de exposición (3.2, 3.3) y la</w:t>
      </w:r>
      <w:r>
        <w:t xml:space="preserve"> </w:t>
      </w:r>
      <w:r>
        <w:t xml:space="preserve">cadena de cruce que los conecta con el mercado laboral mexicano (3.4); en</w:t>
      </w:r>
      <w:r>
        <w:t xml:space="preserve"> </w:t>
      </w:r>
      <w:r>
        <w:t xml:space="preserve">seguida la arquitectura de dos niveles que organiza los modelos (3.5); y por</w:t>
      </w:r>
      <w:r>
        <w:t xml:space="preserve"> </w:t>
      </w:r>
      <w:r>
        <w:t xml:space="preserve">último la estrategia de inferencia y robustez (3.6). Todos los resultados de</w:t>
      </w:r>
      <w:r>
        <w:t xml:space="preserve"> </w:t>
      </w:r>
      <w:r>
        <w:t xml:space="preserve">la tesis son reproducibles: cada tabla y figura es producto de un script</w:t>
      </w:r>
      <w:r>
        <w:t xml:space="preserve"> </w:t>
      </w:r>
      <w:r>
        <w:t xml:space="preserve">versionado, y el repositorio documenta el orden completo de reconstrucción</w:t>
      </w:r>
      <w:r>
        <w:t xml:space="preserve"> </w:t>
      </w:r>
      <w:r>
        <w:t xml:space="preserve">desde cero.</w:t>
      </w:r>
    </w:p>
    <w:bookmarkStart w:id="35" w:name="fuentes-y-arquitectura-de-datos"/>
    <w:p>
      <w:pPr>
        <w:pStyle w:val="Heading2"/>
      </w:pPr>
      <w:r>
        <w:t xml:space="preserve">3.1 Fuentes y arquitectura de datos</w:t>
      </w:r>
    </w:p>
    <w:p>
      <w:pPr>
        <w:pStyle w:val="FirstParagraph"/>
      </w:pPr>
      <w:r>
        <w:t xml:space="preserve">La tesis integra catorce fuentes en una base de datos SQL Server</w:t>
      </w:r>
      <w:r>
        <w:t xml:space="preserve"> </w:t>
      </w:r>
      <w:r>
        <w:t xml:space="preserve">(~45 tablas) que funciona como fuente única de verdad; ningún resultado se</w:t>
      </w:r>
      <w:r>
        <w:t xml:space="preserve"> </w:t>
      </w:r>
      <w:r>
        <w:t xml:space="preserve">calcula sobre archivos sueltos. Las fuentes se agrupan según el eslabón de</w:t>
      </w:r>
      <w:r>
        <w:t xml:space="preserve"> </w:t>
      </w:r>
      <w:r>
        <w:t xml:space="preserve">la cadena causal que alimentan:</w:t>
      </w:r>
    </w:p>
    <w:p>
      <w:pPr>
        <w:pStyle w:val="BodyText"/>
      </w:pPr>
      <w:r>
        <w:rPr>
          <w:bCs/>
          <w:b/>
        </w:rPr>
        <w:t xml:space="preserve">Contenido ocupacional y exposición (eslabones 1–2).</w:t>
      </w:r>
      <w:r>
        <w:t xml:space="preserve"> </w:t>
      </w:r>
      <w:r>
        <w:t xml:space="preserve">La base O*NET 28.3</w:t>
      </w:r>
      <w:r>
        <w:t xml:space="preserve"> </w:t>
      </w:r>
      <w:r>
        <w:t xml:space="preserve">aporta los descriptores de habilidades, actividades y contextos de trabajo</w:t>
      </w:r>
      <w:r>
        <w:t xml:space="preserve"> </w:t>
      </w:r>
      <w:r>
        <w:t xml:space="preserve">(escalas de importancia, nivel y contexto). El apéndice de datos de Felten,</w:t>
      </w:r>
      <w:r>
        <w:t xml:space="preserve"> </w:t>
      </w:r>
      <w:r>
        <w:t xml:space="preserve">Raj y Seamans (2021) aporta la matriz de afinidad habilidad×aplicación y el</w:t>
      </w:r>
      <w:r>
        <w:t xml:space="preserve"> </w:t>
      </w:r>
      <w:r>
        <w:t xml:space="preserve">índice AIOE publicado, usado como patrón de validación. La base de</w:t>
      </w:r>
      <w:r>
        <w:t xml:space="preserve"> </w:t>
      </w:r>
      <w:r>
        <w:t xml:space="preserve">capacidades de Epoch AI aporta los resultados de la frontera de modelos de</w:t>
      </w:r>
      <w:r>
        <w:t xml:space="preserve"> </w:t>
      </w:r>
      <w:r>
        <w:t xml:space="preserve">lenguaje en doce benchmarks públicos (2022–2026). El archivo comparativo de</w:t>
      </w:r>
      <w:r>
        <w:t xml:space="preserve"> </w:t>
      </w:r>
      <w:r>
        <w:t xml:space="preserve">índices del proyecto Moravec aporta, al grano ocupacional, los índices</w:t>
      </w:r>
      <w:r>
        <w:t xml:space="preserve"> </w:t>
      </w:r>
      <w:r>
        <w:t xml:space="preserve">externos de contraste: exposición robótica, a software y a IA por patentes</w:t>
      </w:r>
      <w:r>
        <w:t xml:space="preserve"> </w:t>
      </w:r>
      <w:r>
        <w:t xml:space="preserve">(Webb, 2020), Frey-Osborne, aptitud para aprendizaje automático (SML),</w:t>
      </w:r>
      <w:r>
        <w:t xml:space="preserve"> </w:t>
      </w:r>
      <w:r>
        <w:t xml:space="preserve">exposición a GPT (Eloundou et al., 2023) e intensidades de rutina. El Índice</w:t>
      </w:r>
      <w:r>
        <w:t xml:space="preserve"> </w:t>
      </w:r>
      <w:r>
        <w:t xml:space="preserve">Económico de Anthropic aporta el uso observado de IA por ocupación (variable</w:t>
      </w:r>
      <w:r>
        <w:t xml:space="preserve"> </w:t>
      </w:r>
      <w:r>
        <w:t xml:space="preserve">dependiente del Nivel 1) y, en su entrega por países, el perfil ocupacional</w:t>
      </w:r>
      <w:r>
        <w:t xml:space="preserve"> </w:t>
      </w:r>
      <w:r>
        <w:t xml:space="preserve">de uso de México empleado para contrastar el supuesto de trasplante (§2.6).</w:t>
      </w:r>
    </w:p>
    <w:p>
      <w:pPr>
        <w:pStyle w:val="BodyText"/>
      </w:pPr>
      <w:r>
        <w:rPr>
          <w:bCs/>
          <w:b/>
        </w:rPr>
        <w:t xml:space="preserve">Mercado laboral de Jalisco (eslabón 3).</w:t>
      </w:r>
      <w:r>
        <w:t xml:space="preserve"> </w:t>
      </w:r>
      <w:r>
        <w:t xml:space="preserve">La ENOE del tercer trimestre de</w:t>
      </w:r>
      <w:r>
        <w:t xml:space="preserve"> </w:t>
      </w:r>
      <w:r>
        <w:t xml:space="preserve">2024 aporta el microdato de trabajadores: 13,839 personas en la muestra de</w:t>
      </w:r>
      <w:r>
        <w:t xml:space="preserve"> </w:t>
      </w:r>
      <w:r>
        <w:t xml:space="preserve">Jalisco, de las cuales 6,147 ocupadas con ocupación SINCO a cuatro dígitos.</w:t>
      </w:r>
      <w:r>
        <w:t xml:space="preserve"> </w:t>
      </w:r>
      <w:r>
        <w:t xml:space="preserve">Este grano fino no está disponible directamente: el cuestionario</w:t>
      </w:r>
      <w:r>
        <w:t xml:space="preserve"> </w:t>
      </w:r>
      <w:r>
        <w:t xml:space="preserve">sociodemográfico (SDEMT) no registra la ocupación detallada, que se recupera</w:t>
      </w:r>
      <w:r>
        <w:t xml:space="preserve"> </w:t>
      </w:r>
      <w:r>
        <w:t xml:space="preserve">de la pregunta 3 del cuestionario de ocupación y empleo (COE1) mediante el</w:t>
      </w:r>
      <w:r>
        <w:t xml:space="preserve"> </w:t>
      </w:r>
      <w:r>
        <w:t xml:space="preserve">empate por llave de persona (entidad, control, UPM, vivienda seleccionada,</w:t>
      </w:r>
      <w:r>
        <w:t xml:space="preserve"> </w:t>
      </w:r>
      <w:r>
        <w:t xml:space="preserve">hogar, renglón y periodo). Para el análisis de empleo total con</w:t>
      </w:r>
      <w:r>
        <w:t xml:space="preserve"> </w:t>
      </w:r>
      <w:r>
        <w:t xml:space="preserve">informalidad, se procesaron además los microdatos de once trimestres</w:t>
      </w:r>
      <w:r>
        <w:t xml:space="preserve"> </w:t>
      </w:r>
      <w:r>
        <w:t xml:space="preserve">consecutivos (2022-T1 a 2024-T3), clasificando cada ocupado con la variable</w:t>
      </w:r>
      <w:r>
        <w:t xml:space="preserve"> </w:t>
      </w:r>
      <w:r>
        <w:t xml:space="preserve">oficial de informalidad del empleo principal. Para el contraste nacional, la</w:t>
      </w:r>
      <w:r>
        <w:t xml:space="preserve"> </w:t>
      </w:r>
      <w:r>
        <w:t xml:space="preserve">misma cadena se replicó sobre el microdato completo (192,961 ocupados con</w:t>
      </w:r>
      <w:r>
        <w:t xml:space="preserve"> </w:t>
      </w:r>
      <w:r>
        <w:t xml:space="preserve">ocupación detallada; 59.5 millones ponderados).</w:t>
      </w:r>
    </w:p>
    <w:p>
      <w:pPr>
        <w:pStyle w:val="BodyText"/>
      </w:pPr>
      <w:r>
        <w:rPr>
          <w:bCs/>
          <w:b/>
        </w:rPr>
        <w:t xml:space="preserve">Incentivo económico y sustitución realizada (eslabones 4–5).</w:t>
      </w:r>
      <w:r>
        <w:t xml:space="preserve"> </w:t>
      </w:r>
      <w:r>
        <w:t xml:space="preserve">Los Censos</w:t>
      </w:r>
      <w:r>
        <w:t xml:space="preserve"> </w:t>
      </w:r>
      <w:r>
        <w:t xml:space="preserve">Económicos del INEGI aportan, para Jalisco, un panel balanceado de 19</w:t>
      </w:r>
      <w:r>
        <w:t xml:space="preserve"> </w:t>
      </w:r>
      <w:r>
        <w:t xml:space="preserve">sectores SCIAN en cinco levantamientos (2003, 2008, 2013, 2018, 2023) con</w:t>
      </w:r>
      <w:r>
        <w:t xml:space="preserve"> </w:t>
      </w:r>
      <w:r>
        <w:t xml:space="preserve">personal ocupado, remuneraciones, contribuciones sociales, acervo de activos</w:t>
      </w:r>
      <w:r>
        <w:t xml:space="preserve"> </w:t>
      </w:r>
      <w:r>
        <w:t xml:space="preserve">fijos, depreciación, acervo de equipo de cómputo y valor agregado: el insumo</w:t>
      </w:r>
      <w:r>
        <w:t xml:space="preserve"> </w:t>
      </w:r>
      <w:r>
        <w:t xml:space="preserve">del IRA y del contraste de H4. El registro del IMSS (vía IIEG) aporta el</w:t>
      </w:r>
      <w:r>
        <w:t xml:space="preserve"> </w:t>
      </w:r>
      <w:r>
        <w:t xml:space="preserve">empleo formal mensual por sector, 2000–2024. La Secretaría de Economía</w:t>
      </w:r>
      <w:r>
        <w:t xml:space="preserve"> </w:t>
      </w:r>
      <w:r>
        <w:t xml:space="preserve">aporta los flujos trimestrales de inversión extranjera directa por entidad y</w:t>
      </w:r>
      <w:r>
        <w:t xml:space="preserve"> </w:t>
      </w:r>
      <w:r>
        <w:t xml:space="preserve">tipo (2006–2023). La Federación Internacional de Robótica (IFR) aporta las</w:t>
      </w:r>
      <w:r>
        <w:t xml:space="preserve"> </w:t>
      </w:r>
      <w:r>
        <w:t xml:space="preserve">instalaciones anuales de robots industriales en México (2019–2024,</w:t>
      </w:r>
      <w:r>
        <w:t xml:space="preserve"> </w:t>
      </w:r>
      <w:r>
        <w:t xml:space="preserve">extraídas de los resúmenes ejecutivos públicos) y, vía Our World in Data, el</w:t>
      </w:r>
      <w:r>
        <w:t xml:space="preserve"> </w:t>
      </w:r>
      <w:r>
        <w:t xml:space="preserve">acervo operativo mundial (2012–2024), insumo de la curva r(t).</w:t>
      </w:r>
    </w:p>
    <w:p>
      <w:pPr>
        <w:pStyle w:val="BodyText"/>
      </w:pPr>
      <w:r>
        <w:rPr>
          <w:bCs/>
          <w:b/>
        </w:rPr>
        <w:t xml:space="preserve">Incidencia y percepción (eslabón 6).</w:t>
      </w:r>
      <w:r>
        <w:t xml:space="preserve"> </w:t>
      </w:r>
      <w:r>
        <w:t xml:space="preserve">El Latinobarómetro aporta cuatro</w:t>
      </w:r>
      <w:r>
        <w:t xml:space="preserve"> </w:t>
      </w:r>
      <w:r>
        <w:t xml:space="preserve">oleadas mexicanas (2017, 2018, 2020, 2023) del ítem de expectativa de</w:t>
      </w:r>
      <w:r>
        <w:t xml:space="preserve"> </w:t>
      </w:r>
      <w:r>
        <w:t xml:space="preserve">desplazamiento por robots/IA, con escalas verificadas contra las etiquetas</w:t>
      </w:r>
      <w:r>
        <w:t xml:space="preserve"> </w:t>
      </w:r>
      <w:r>
        <w:t xml:space="preserve">originales de cada archivo. Los Censos Económicos en su grano municipal y la</w:t>
      </w:r>
      <w:r>
        <w:t xml:space="preserve"> </w:t>
      </w:r>
      <w:r>
        <w:t xml:space="preserve">cartografía del INEGI alimentan el mapa de los 125 municipios.</w:t>
      </w:r>
    </w:p>
    <w:p>
      <w:pPr>
        <w:pStyle w:val="BodyText"/>
      </w:pPr>
      <w:r>
        <w:rPr>
          <w:bCs/>
          <w:b/>
        </w:rPr>
        <w:t xml:space="preserve">Cruces de clasificación.</w:t>
      </w:r>
      <w:r>
        <w:t xml:space="preserve"> </w:t>
      </w:r>
      <w:r>
        <w:t xml:space="preserve">El puente entre la clasificación mexicana de</w:t>
      </w:r>
      <w:r>
        <w:t xml:space="preserve"> </w:t>
      </w:r>
      <w:r>
        <w:t xml:space="preserve">ocupaciones (SINCO 2011) y la estadounidense (SOC) proviene de las tablas</w:t>
      </w:r>
      <w:r>
        <w:t xml:space="preserve"> </w:t>
      </w:r>
      <w:r>
        <w:t xml:space="preserve">comparativas oficiales del INEGI; el puente ISCO↔SOC, del crosswalk de ESCO.</w:t>
      </w:r>
    </w:p>
    <w:bookmarkEnd w:id="35"/>
    <w:bookmarkStart w:id="36" w:name="el-índice-cognitivo-dboe"/>
    <w:p>
      <w:pPr>
        <w:pStyle w:val="Heading2"/>
      </w:pPr>
      <w:r>
        <w:t xml:space="preserve">3.2 El índice cognitivo: DBOE</w:t>
      </w:r>
    </w:p>
    <w:p>
      <w:pPr>
        <w:pStyle w:val="FirstParagraph"/>
      </w:pPr>
      <w:r>
        <w:t xml:space="preserve">El DBOE (</w:t>
      </w:r>
      <w:r>
        <w:rPr>
          <w:iCs/>
          <w:i/>
        </w:rPr>
        <w:t xml:space="preserve">Dynamic Benchmark-based Occupational Exposure</w:t>
      </w:r>
      <w:r>
        <w:t xml:space="preserve">) extiende el AIOE</w:t>
      </w:r>
      <w:r>
        <w:t xml:space="preserve"> </w:t>
      </w:r>
      <w:r>
        <w:t xml:space="preserve">de Felten et al. (2021) con una dimensión temporal medida. Su construcción</w:t>
      </w:r>
      <w:r>
        <w:t xml:space="preserve"> </w:t>
      </w:r>
      <w:r>
        <w:t xml:space="preserve">tiene tres componentes.</w:t>
      </w:r>
    </w:p>
    <w:p>
      <w:pPr>
        <w:pStyle w:val="BodyText"/>
      </w:pPr>
      <w:r>
        <w:rPr>
          <w:bCs/>
          <w:b/>
        </w:rPr>
        <w:t xml:space="preserve">Pesos ocupacionales.</w:t>
      </w:r>
      <w:r>
        <w:t xml:space="preserve"> </w:t>
      </w:r>
      <w:r>
        <w:t xml:space="preserve">Para cada ocupación</w:t>
      </w:r>
      <w:r>
        <w:t xml:space="preserve"> </w:t>
      </w:r>
      <w:r>
        <w:rPr>
          <w:iCs/>
          <w:i/>
        </w:rPr>
        <w:t xml:space="preserve">o</w:t>
      </w:r>
      <w:r>
        <w:t xml:space="preserve"> </w:t>
      </w:r>
      <w:r>
        <w:t xml:space="preserve">y habilidad</w:t>
      </w:r>
      <w:r>
        <w:t xml:space="preserve"> </w:t>
      </w:r>
      <w:r>
        <w:rPr>
          <w:iCs/>
          <w:i/>
        </w:rPr>
        <w:t xml:space="preserve">k</w:t>
      </w:r>
      <w:r>
        <w:t xml:space="preserve">, el peso</w:t>
      </w:r>
      <w:r>
        <w:t xml:space="preserve"> </w:t>
      </w:r>
      <w:r>
        <w:t xml:space="preserve">W_ok suma la importancia y el nivel de la habilidad, cada uno estandarizado</w:t>
      </w:r>
      <w:r>
        <w:t xml:space="preserve"> </w:t>
      </w:r>
      <w:r>
        <w:t xml:space="preserve">entre ocupaciones: W_ok = z_occ(importancia_ok) + z_occ(nivel_ok). Los</w:t>
      </w:r>
      <w:r>
        <w:t xml:space="preserve"> </w:t>
      </w:r>
      <w:r>
        <w:t xml:space="preserve">códigos O*NET de ocho dígitos se agregan a su ocupación SOC de seis</w:t>
      </w:r>
      <w:r>
        <w:t xml:space="preserve"> </w:t>
      </w:r>
      <w:r>
        <w:t xml:space="preserve">dígitos.</w:t>
      </w:r>
    </w:p>
    <w:p>
      <w:pPr>
        <w:pStyle w:val="BodyText"/>
      </w:pPr>
      <w:r>
        <w:rPr>
          <w:bCs/>
          <w:b/>
        </w:rPr>
        <w:t xml:space="preserve">Capacidad por aplicación en el tiempo.</w:t>
      </w:r>
      <w:r>
        <w:t xml:space="preserve"> </w:t>
      </w:r>
      <w:r>
        <w:t xml:space="preserve">De las diez aplicaciones de IA de</w:t>
      </w:r>
      <w:r>
        <w:t xml:space="preserve"> </w:t>
      </w:r>
      <w:r>
        <w:t xml:space="preserve">la matriz de Felten, se retienen las tres que los modelos de lenguaje</w:t>
      </w:r>
      <w:r>
        <w:t xml:space="preserve"> </w:t>
      </w:r>
      <w:r>
        <w:t xml:space="preserve">efectivamente ejecutan: modelado de lenguaje, comprensión lectora y juegos</w:t>
      </w:r>
      <w:r>
        <w:t xml:space="preserve"> </w:t>
      </w:r>
      <w:r>
        <w:t xml:space="preserve">abstractos de estrategia (esta última como proxy de razonamiento,</w:t>
      </w:r>
      <w:r>
        <w:t xml:space="preserve"> </w:t>
      </w:r>
      <w:r>
        <w:t xml:space="preserve">operacionalizada con benchmarks de matemática de competencia y ajedrez; la</w:t>
      </w:r>
      <w:r>
        <w:t xml:space="preserve"> </w:t>
      </w:r>
      <w:r>
        <w:t xml:space="preserve">elección se discute y se somete a robustez en §3.6). Para cada aplicación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y año</w:t>
      </w:r>
      <w:r>
        <w:t xml:space="preserve"> </w:t>
      </w:r>
      <w:r>
        <w:rPr>
          <w:iCs/>
          <w:i/>
        </w:rPr>
        <w:t xml:space="preserve">t</w:t>
      </w:r>
      <w:r>
        <w:t xml:space="preserve">, la capacidad c_j(t) es el promedio, entre sus benchmarks, del</w:t>
      </w:r>
      <w:r>
        <w:t xml:space="preserve"> </w:t>
      </w:r>
      <w:r>
        <w:t xml:space="preserve">máximo histórico alcanzado por algún modelo publicado hasta el cierre de</w:t>
      </w:r>
      <w:r>
        <w:t xml:space="preserve"> </w:t>
      </w:r>
      <w:r>
        <w:rPr>
          <w:iCs/>
          <w:i/>
        </w:rPr>
        <w:t xml:space="preserve">t</w:t>
      </w:r>
      <w:r>
        <w:t xml:space="preserve">. Al ser un máximo acumulado, la frontera es monótona por construcción;</w:t>
      </w:r>
      <w:r>
        <w:t xml:space="preserve"> </w:t>
      </w:r>
      <w:r>
        <w:t xml:space="preserve">la convención «el benchmark aún no existe ⇒ frontera 0» se aplica benchmark</w:t>
      </w:r>
      <w:r>
        <w:t xml:space="preserve"> </w:t>
      </w:r>
      <w:r>
        <w:t xml:space="preserve">por benchmark antes de promediar, lo que evita que la entrada tardía de</w:t>
      </w:r>
      <w:r>
        <w:t xml:space="preserve"> </w:t>
      </w:r>
      <w:r>
        <w:t xml:space="preserve">benchmarks difíciles deprima artificialmente la curva agregada.</w:t>
      </w:r>
    </w:p>
    <w:p>
      <w:pPr>
        <w:pStyle w:val="BodyText"/>
      </w:pPr>
      <w:r>
        <w:rPr>
          <w:bCs/>
          <w:b/>
        </w:rPr>
        <w:t xml:space="preserve">Agregación.</w:t>
      </w:r>
      <w:r>
        <w:t xml:space="preserve"> </w:t>
      </w:r>
      <w:r>
        <w:t xml:space="preserve">La exposición de la habilidad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en el año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es</w:t>
      </w:r>
      <w:r>
        <w:t xml:space="preserve"> </w:t>
      </w:r>
      <w:r>
        <w:t xml:space="preserve">A_k(t) = Σ_j rel[k,j]·c_j(t), con rel la matriz de afinidad de Felten; el</w:t>
      </w:r>
      <w:r>
        <w:t xml:space="preserve"> </w:t>
      </w:r>
      <w:r>
        <w:t xml:space="preserve">índice es DBOE_o(t) = Σ_k z_hab(A_k(t))·W_ok, estandarizando A_k entre</w:t>
      </w:r>
      <w:r>
        <w:t xml:space="preserve"> </w:t>
      </w:r>
      <w:r>
        <w:t xml:space="preserve">habilidades. La doble estandarización no es opcional: omitirla invierte el</w:t>
      </w:r>
      <w:r>
        <w:t xml:space="preserve"> </w:t>
      </w:r>
      <w:r>
        <w:t xml:space="preserve">ordenamiento, porque el piso de afinidad de la matriz hace dominar a las</w:t>
      </w:r>
      <w:r>
        <w:t xml:space="preserve"> </w:t>
      </w:r>
      <w:r>
        <w:t xml:space="preserve">ocupaciones con muchas habilidades de alto nivel.</w:t>
      </w:r>
    </w:p>
    <w:p>
      <w:pPr>
        <w:pStyle w:val="BodyText"/>
      </w:pPr>
      <w:r>
        <w:rPr>
          <w:bCs/>
          <w:b/>
        </w:rPr>
        <w:t xml:space="preserve">Validación.</w:t>
      </w:r>
      <w:r>
        <w:t xml:space="preserve"> </w:t>
      </w:r>
      <w:r>
        <w:t xml:space="preserve">Reconstruido con las diez aplicaciones y capacidad unitaria,</w:t>
      </w:r>
      <w:r>
        <w:t xml:space="preserve"> </w:t>
      </w:r>
      <w:r>
        <w:t xml:space="preserve">el procedimiento reproduce el AIOE publicado con r = 0.942 (N = 681); la</w:t>
      </w:r>
      <w:r>
        <w:t xml:space="preserve"> </w:t>
      </w:r>
      <w:r>
        <w:t xml:space="preserve">versión dinámica de 2026 sigue al AIOE específico de modelado de lenguaje</w:t>
      </w:r>
      <w:r>
        <w:t xml:space="preserve"> </w:t>
      </w:r>
      <w:r>
        <w:t xml:space="preserve">con r = 0.925. Una propiedad medida del índice se reporta como limitación y</w:t>
      </w:r>
      <w:r>
        <w:t xml:space="preserve"> </w:t>
      </w:r>
      <w:r>
        <w:t xml:space="preserve">como hallazgo: el reordenamiento ocupacional entre 2022 y 2026 es mínimo</w:t>
      </w:r>
      <w:r>
        <w:t xml:space="preserve"> </w:t>
      </w:r>
      <w:r>
        <w:t xml:space="preserve">(Spearman 0.998); la señal temporal del DBOE reside en el</w:t>
      </w:r>
      <w:r>
        <w:t xml:space="preserve"> </w:t>
      </w:r>
      <w:r>
        <w:rPr>
          <w:bCs/>
          <w:b/>
        </w:rPr>
        <w:t xml:space="preserve">nivel</w:t>
      </w:r>
      <w:r>
        <w:t xml:space="preserve"> </w:t>
      </w:r>
      <w:r>
        <w:t xml:space="preserve">de la</w:t>
      </w:r>
      <w:r>
        <w:t xml:space="preserve"> </w:t>
      </w:r>
      <w:r>
        <w:t xml:space="preserve">curva de capacidad —el razonamiento pasa de 0.00 a 0.79— y no en el</w:t>
      </w:r>
      <w:r>
        <w:t xml:space="preserve"> </w:t>
      </w:r>
      <w:r>
        <w:t xml:space="preserve">reordenamiento, de modo que el corte transversal (estandarizado, dboe_z)</w:t>
      </w:r>
      <w:r>
        <w:t xml:space="preserve"> </w:t>
      </w:r>
      <w:r>
        <w:t xml:space="preserve">actúa como variable de exposición y la curva c(t) como motor de la</w:t>
      </w:r>
      <w:r>
        <w:t xml:space="preserve"> </w:t>
      </w:r>
      <w:r>
        <w:t xml:space="preserve">proyección.</w:t>
      </w:r>
    </w:p>
    <w:bookmarkEnd w:id="36"/>
    <w:bookmarkStart w:id="37" w:name="el-índice-encarnado-deoe"/>
    <w:p>
      <w:pPr>
        <w:pStyle w:val="Heading2"/>
      </w:pPr>
      <w:r>
        <w:t xml:space="preserve">3.3 El índice encarnado: DEOE</w:t>
      </w:r>
    </w:p>
    <w:p>
      <w:pPr>
        <w:pStyle w:val="FirstParagraph"/>
      </w:pPr>
      <w:r>
        <w:t xml:space="preserve">El DEOE (</w:t>
      </w:r>
      <w:r>
        <w:rPr>
          <w:iCs/>
          <w:i/>
        </w:rPr>
        <w:t xml:space="preserve">Dynamic Embodied Occupational Exposure</w:t>
      </w:r>
      <w:r>
        <w:t xml:space="preserve">) es el espejo físico del</w:t>
      </w:r>
      <w:r>
        <w:t xml:space="preserve"> </w:t>
      </w:r>
      <w:r>
        <w:t xml:space="preserve">DBOE, construido con la misma lógica de ponderación. Quince descriptores de</w:t>
      </w:r>
      <w:r>
        <w:t xml:space="preserve"> </w:t>
      </w:r>
      <w:r>
        <w:t xml:space="preserve">O*NET —seis actividades de trabajo en escala importancia+nivel y nueve</w:t>
      </w:r>
      <w:r>
        <w:t xml:space="preserve"> </w:t>
      </w:r>
      <w:r>
        <w:t xml:space="preserve">contextos de trabajo en escala de frecuencia— se agrupan en cinco</w:t>
      </w:r>
      <w:r>
        <w:t xml:space="preserve"> </w:t>
      </w:r>
      <w:r>
        <w:t xml:space="preserve">subdominios teóricamente fundados: trabajo físico general y manejo de</w:t>
      </w:r>
      <w:r>
        <w:t xml:space="preserve"> </w:t>
      </w:r>
      <w:r>
        <w:t xml:space="preserve">objetos (α = 0.95); operación y reparación de maquinaria (α = 0.82);</w:t>
      </w:r>
      <w:r>
        <w:t xml:space="preserve"> </w:t>
      </w:r>
      <w:r>
        <w:t xml:space="preserve">vehículos y trabajo de campo (α = 0.91); rutina física (α = 0.57, el</w:t>
      </w:r>
      <w:r>
        <w:t xml:space="preserve"> </w:t>
      </w:r>
      <w:r>
        <w:t xml:space="preserve">subdominio débil, dos ítems); y destreza manual en espacios restringidos</w:t>
      </w:r>
      <w:r>
        <w:t xml:space="preserve"> </w:t>
      </w:r>
      <w:r>
        <w:t xml:space="preserve">(α = 0.75). El índice resumen es el primer componente principal de los cinco</w:t>
      </w:r>
      <w:r>
        <w:t xml:space="preserve"> </w:t>
      </w:r>
      <w:r>
        <w:t xml:space="preserve">subdominios (63% de la varianza, todas las cargas positivas).</w:t>
      </w:r>
    </w:p>
    <w:p>
      <w:pPr>
        <w:pStyle w:val="BodyText"/>
      </w:pPr>
      <w:r>
        <w:t xml:space="preserve">Dos decisiones de construcción merecen registro. Primera: el resumen es un</w:t>
      </w:r>
      <w:r>
        <w:t xml:space="preserve"> </w:t>
      </w:r>
      <w:r>
        <w:t xml:space="preserve">componente principal y no una suma con signos impuestos, porque la</w:t>
      </w:r>
      <w:r>
        <w:t xml:space="preserve"> </w:t>
      </w:r>
      <w:r>
        <w:t xml:space="preserve">validación externa contradijo la teoría previa —la destreza manual,</w:t>
      </w:r>
      <w:r>
        <w:t xml:space="preserve"> </w:t>
      </w:r>
      <w:r>
        <w:t xml:space="preserve">postulada por Frey y Osborne como cuello de botella protector, correlaciona</w:t>
      </w:r>
      <w:r>
        <w:t xml:space="preserve"> </w:t>
      </w:r>
      <w:r>
        <w:t xml:space="preserve">+0.74 con la exposición robótica real medida por patentes: la frontera</w:t>
      </w:r>
      <w:r>
        <w:t xml:space="preserve"> </w:t>
      </w:r>
      <w:r>
        <w:t xml:space="preserve">robótica ya erosionó ese cuello de botella, y los datos, no el supuesto,</w:t>
      </w:r>
      <w:r>
        <w:t xml:space="preserve"> </w:t>
      </w:r>
      <w:r>
        <w:t xml:space="preserve">fijan los signos. Segunda: la validación es convergente y discriminante a la</w:t>
      </w:r>
      <w:r>
        <w:t xml:space="preserve"> </w:t>
      </w:r>
      <w:r>
        <w:t xml:space="preserve">vez. El DEOE correlaciona +0.76 con el índice robótico de Webb y +0.82 con</w:t>
      </w:r>
      <w:r>
        <w:t xml:space="preserve"> </w:t>
      </w:r>
      <w:r>
        <w:t xml:space="preserve">la intensidad de rutina manual (convergencia), y ≈0 con los índices</w:t>
      </w:r>
      <w:r>
        <w:t xml:space="preserve"> </w:t>
      </w:r>
      <w:r>
        <w:t xml:space="preserve">cognitivos (discriminación); la imagen especular del DBOE, que correlaciona</w:t>
      </w:r>
      <w:r>
        <w:t xml:space="preserve"> </w:t>
      </w:r>
      <w:r>
        <w:t xml:space="preserve">−0.74 con el índice robótico. En el proceso se documentó que dos índices</w:t>
      </w:r>
      <w:r>
        <w:t xml:space="preserve"> </w:t>
      </w:r>
      <w:r>
        <w:t xml:space="preserve">publicados como físicos (Moravec, factibilidad RL) son empíricamente</w:t>
      </w:r>
      <w:r>
        <w:t xml:space="preserve"> </w:t>
      </w:r>
      <w:r>
        <w:t xml:space="preserve">cognitivos (r = −0.66 contra el contenido físico real), lo que motivó la</w:t>
      </w:r>
      <w:r>
        <w:t xml:space="preserve"> </w:t>
      </w:r>
      <w:r>
        <w:t xml:space="preserve">construcción de un eje encarnado propio.</w:t>
      </w:r>
    </w:p>
    <w:p>
      <w:pPr>
        <w:pStyle w:val="BodyText"/>
      </w:pPr>
      <w:r>
        <w:rPr>
          <w:bCs/>
          <w:b/>
        </w:rPr>
        <w:t xml:space="preserve">La capa dinámica.</w:t>
      </w:r>
      <w:r>
        <w:t xml:space="preserve"> </w:t>
      </w:r>
      <w:r>
        <w:t xml:space="preserve">No existe para la robótica una batería de benchmarks</w:t>
      </w:r>
      <w:r>
        <w:t xml:space="preserve"> </w:t>
      </w:r>
      <w:r>
        <w:t xml:space="preserve">equivalente a la de los modelos de lenguaje; la curva temporal del eje</w:t>
      </w:r>
      <w:r>
        <w:t xml:space="preserve"> </w:t>
      </w:r>
      <w:r>
        <w:t xml:space="preserve">encarnado se construye, siguiendo el estándar de la literatura</w:t>
      </w:r>
      <w:r>
        <w:t xml:space="preserve"> </w:t>
      </w:r>
      <w:r>
        <w:t xml:space="preserve">(Acemoglu y Restrepo, 2020; Graetz y Michaels, 2018), sobre</w:t>
      </w:r>
      <w:r>
        <w:t xml:space="preserve"> </w:t>
      </w:r>
      <w:r>
        <w:rPr>
          <w:bCs/>
          <w:b/>
        </w:rPr>
        <w:t xml:space="preserve">adopción</w:t>
      </w:r>
      <w:r>
        <w:t xml:space="preserve">: el</w:t>
      </w:r>
      <w:r>
        <w:t xml:space="preserve"> </w:t>
      </w:r>
      <w:r>
        <w:t xml:space="preserve">acervo operativo mundial de robots industriales (IFR), indexado al año base,</w:t>
      </w:r>
      <w:r>
        <w:t xml:space="preserve"> </w:t>
      </w:r>
      <w:r>
        <w:t xml:space="preserve">con proyección 2025–2030 en tres escenarios derivados de los datos (TCAC</w:t>
      </w:r>
      <w:r>
        <w:t xml:space="preserve"> </w:t>
      </w:r>
      <w:r>
        <w:t xml:space="preserve">trianual observada de 10.3% como base; la mitad como conservador; 1.5 veces</w:t>
      </w:r>
      <w:r>
        <w:t xml:space="preserve"> </w:t>
      </w:r>
      <w:r>
        <w:t xml:space="preserve">como acelerado, justificado por el canal de nearshoring de §2.6). Las</w:t>
      </w:r>
      <w:r>
        <w:t xml:space="preserve"> </w:t>
      </w:r>
      <w:r>
        <w:t xml:space="preserve">instalaciones anuales en México anclan el nivel local. La asimetría entre</w:t>
      </w:r>
      <w:r>
        <w:t xml:space="preserve"> </w:t>
      </w:r>
      <w:r>
        <w:t xml:space="preserve">una curva de capacidad (cognitiva) y una de adopción (encarnada) se declara</w:t>
      </w:r>
      <w:r>
        <w:t xml:space="preserve"> </w:t>
      </w:r>
      <w:r>
        <w:t xml:space="preserve">explícitamente como supuesto del marco.</w:t>
      </w:r>
    </w:p>
    <w:bookmarkEnd w:id="37"/>
    <w:bookmarkStart w:id="38" w:name="la-cadena-de-cruce-y-su-cobertura"/>
    <w:p>
      <w:pPr>
        <w:pStyle w:val="Heading2"/>
      </w:pPr>
      <w:r>
        <w:t xml:space="preserve">3.4 La cadena de cruce y su cobertura</w:t>
      </w:r>
    </w:p>
    <w:p>
      <w:pPr>
        <w:pStyle w:val="FirstParagraph"/>
      </w:pPr>
      <w:r>
        <w:t xml:space="preserve">Conectar exposición (grano SOC) con trabajadores (grano SINCO) exige un</w:t>
      </w:r>
      <w:r>
        <w:t xml:space="preserve"> </w:t>
      </w:r>
      <w:r>
        <w:t xml:space="preserve">puente de clasificaciones. La tesis emplea las tablas comparativas oficiales</w:t>
      </w:r>
      <w:r>
        <w:t xml:space="preserve"> </w:t>
      </w:r>
      <w:r>
        <w:t xml:space="preserve">del INEGI (SINCO 2011 ↔ SOC), que mapean 403 ocupaciones SINCO de cuatro</w:t>
      </w:r>
      <w:r>
        <w:t xml:space="preserve"> </w:t>
      </w:r>
      <w:r>
        <w:t xml:space="preserve">dígitos a códigos SOC de grupo (726 relaciones uno-a-varios). Dado que el</w:t>
      </w:r>
      <w:r>
        <w:t xml:space="preserve"> </w:t>
      </w:r>
      <w:r>
        <w:t xml:space="preserve">cruce llega al SOC</w:t>
      </w:r>
      <w:r>
        <w:t xml:space="preserve"> </w:t>
      </w:r>
      <w:r>
        <w:rPr>
          <w:iCs/>
          <w:i/>
        </w:rPr>
        <w:t xml:space="preserve">broad</w:t>
      </w:r>
      <w:r>
        <w:t xml:space="preserve"> </w:t>
      </w:r>
      <w:r>
        <w:t xml:space="preserve">y la exposición reside en el SOC detallado, la</w:t>
      </w:r>
      <w:r>
        <w:t xml:space="preserve"> </w:t>
      </w:r>
      <w:r>
        <w:t xml:space="preserve">exposición se agrega primero al grupo (promedio) y se une por esa llave. La</w:t>
      </w:r>
      <w:r>
        <w:t xml:space="preserve"> </w:t>
      </w:r>
      <w:r>
        <w:t xml:space="preserve">cadena validada —trabajador ENOE → SINCO-4d → SOC broad → exposición— cubre</w:t>
      </w:r>
      <w:r>
        <w:t xml:space="preserve"> </w:t>
      </w:r>
      <w:r>
        <w:t xml:space="preserve">el 88% del empleo ponderado de Jalisco (y entre 81% y 92% en los 32</w:t>
      </w:r>
      <w:r>
        <w:t xml:space="preserve"> </w:t>
      </w:r>
      <w:r>
        <w:t xml:space="preserve">estados). El 12% restante no se ignora: la sección 3.6 describe el análisis</w:t>
      </w:r>
      <w:r>
        <w:t xml:space="preserve"> </w:t>
      </w:r>
      <w:r>
        <w:t xml:space="preserve">de cotas que delimita su efecto posible, y el diagnóstico muestra que tres</w:t>
      </w:r>
      <w:r>
        <w:t xml:space="preserve"> </w:t>
      </w:r>
      <w:r>
        <w:t xml:space="preserve">cuartas partes de ese peso corresponden a códigos de la revisión SINCO 2019</w:t>
      </w:r>
      <w:r>
        <w:t xml:space="preserve"> </w:t>
      </w:r>
      <w:r>
        <w:t xml:space="preserve">ausentes de las tablas comparativas de 2011, concentrados en divisiones</w:t>
      </w:r>
      <w:r>
        <w:t xml:space="preserve"> </w:t>
      </w:r>
      <w:r>
        <w:t xml:space="preserve">manuales.</w:t>
      </w:r>
    </w:p>
    <w:bookmarkEnd w:id="38"/>
    <w:bookmarkStart w:id="39" w:name="la-arquitectura-de-dos-niveles"/>
    <w:p>
      <w:pPr>
        <w:pStyle w:val="Heading2"/>
      </w:pPr>
      <w:r>
        <w:t xml:space="preserve">3.5 La arquitectura de dos niveles</w:t>
      </w:r>
    </w:p>
    <w:p>
      <w:pPr>
        <w:pStyle w:val="FirstParagraph"/>
      </w:pPr>
      <w:r>
        <w:rPr>
          <w:bCs/>
          <w:b/>
        </w:rPr>
        <w:t xml:space="preserve">Nivel 1: el modelo ocupacional (N = 678 SOC).</w:t>
      </w:r>
      <w:r>
        <w:t xml:space="preserve"> </w:t>
      </w:r>
      <w:r>
        <w:t xml:space="preserve">La pregunta es si los</w:t>
      </w:r>
      <w:r>
        <w:t xml:space="preserve"> </w:t>
      </w:r>
      <w:r>
        <w:t xml:space="preserve">índices propios explican el uso observado de IA más allá de la línea base de</w:t>
      </w:r>
      <w:r>
        <w:t xml:space="preserve"> </w:t>
      </w:r>
      <w:r>
        <w:t xml:space="preserve">Frey-Osborne. La variable dependiente —uso observado por ocupación, Índice</w:t>
      </w:r>
      <w:r>
        <w:t xml:space="preserve"> </w:t>
      </w:r>
      <w:r>
        <w:t xml:space="preserve">Económico de Anthropic— está inflada en ceros (52% de las ocupaciones sin</w:t>
      </w:r>
      <w:r>
        <w:t xml:space="preserve"> </w:t>
      </w:r>
      <w:r>
        <w:t xml:space="preserve">uso registrado; mediana 0), de modo que una regresión única estaría mal</w:t>
      </w:r>
      <w:r>
        <w:t xml:space="preserve"> </w:t>
      </w:r>
      <w:r>
        <w:t xml:space="preserve">especificada. Se estima un</w:t>
      </w:r>
      <w:r>
        <w:t xml:space="preserve"> </w:t>
      </w:r>
      <w:r>
        <w:rPr>
          <w:bCs/>
          <w:b/>
        </w:rPr>
        <w:t xml:space="preserve">modelo de dos partes (hurdle)</w:t>
      </w:r>
      <w:r>
        <w:t xml:space="preserve">: un logit para</w:t>
      </w:r>
      <w:r>
        <w:t xml:space="preserve"> </w:t>
      </w:r>
      <w:r>
        <w:t xml:space="preserve">el margen extensivo (¿la ocupación registra uso alguno?) y una regresión</w:t>
      </w:r>
      <w:r>
        <w:t xml:space="preserve"> </w:t>
      </w:r>
      <w:r>
        <w:t xml:space="preserve">sobre el logaritmo del uso condicional a uso positivo (margen intensivo;</w:t>
      </w:r>
      <w:r>
        <w:t xml:space="preserve"> </w:t>
      </w:r>
      <w:r>
        <w:t xml:space="preserve">N = 326). Cada parte se estima jerárquicamente —Frey-Osborne, +DBOE,</w:t>
      </w:r>
      <w:r>
        <w:t xml:space="preserve"> </w:t>
      </w:r>
      <w:r>
        <w:t xml:space="preserve">+DEOE— con pruebas de razón de verosimilitud y de F incremental, y los</w:t>
      </w:r>
      <w:r>
        <w:t xml:space="preserve"> </w:t>
      </w:r>
      <w:r>
        <w:t xml:space="preserve">índices propios se comparan además contra los rivales publicados (AIOE, SML,</w:t>
      </w:r>
      <w:r>
        <w:t xml:space="preserve"> </w:t>
      </w:r>
      <w:r>
        <w:t xml:space="preserve">Eloundou) como predictores individuales. La validez del trasplante del</w:t>
      </w:r>
      <w:r>
        <w:t xml:space="preserve"> </w:t>
      </w:r>
      <w:r>
        <w:t xml:space="preserve">objetivo (uso estadounidense) se contrasta con el perfil mexicano de la</w:t>
      </w:r>
      <w:r>
        <w:t xml:space="preserve"> </w:t>
      </w:r>
      <w:r>
        <w:t xml:space="preserve">entrega por países del propio índice.</w:t>
      </w:r>
    </w:p>
    <w:p>
      <w:pPr>
        <w:pStyle w:val="BodyText"/>
      </w:pPr>
      <w:r>
        <w:rPr>
          <w:bCs/>
          <w:b/>
        </w:rPr>
        <w:t xml:space="preserve">El contraste de H4: el panel de sustitución realizada.</w:t>
      </w:r>
      <w:r>
        <w:t xml:space="preserve"> </w:t>
      </w:r>
      <w:r>
        <w:t xml:space="preserve">La moderación</w:t>
      </w:r>
      <w:r>
        <w:t xml:space="preserve"> </w:t>
      </w:r>
      <w:r>
        <w:t xml:space="preserve">económica no se asume: se contrasta contra veinte años de comportamiento</w:t>
      </w:r>
      <w:r>
        <w:t xml:space="preserve"> </w:t>
      </w:r>
      <w:r>
        <w:t xml:space="preserve">revelado. Sobre el panel balanceado de los Censos (19 sectores × 4</w:t>
      </w:r>
      <w:r>
        <w:t xml:space="preserve"> </w:t>
      </w:r>
      <w:r>
        <w:t xml:space="preserve">transiciones censales, N = 76) se regresan los resultados de sustitución de</w:t>
      </w:r>
      <w:r>
        <w:t xml:space="preserve"> </w:t>
      </w:r>
      <w:r>
        <w:t xml:space="preserve">cada transición —cambio logarítmico del capital por trabajador, del equipo</w:t>
      </w:r>
      <w:r>
        <w:t xml:space="preserve"> </w:t>
      </w:r>
      <w:r>
        <w:t xml:space="preserve">de cómputo por trabajador y del empleo, y cambio de la participación laboral</w:t>
      </w:r>
      <w:r>
        <w:t xml:space="preserve"> </w:t>
      </w:r>
      <w:r>
        <w:t xml:space="preserve">en el valor agregado— sobre el</w:t>
      </w:r>
      <w:r>
        <w:t xml:space="preserve"> </w:t>
      </w:r>
      <w:r>
        <w:rPr>
          <w:bCs/>
          <w:b/>
        </w:rPr>
        <w:t xml:space="preserve">IRA rezagado</w:t>
      </w:r>
      <w:r>
        <w:t xml:space="preserve"> </w:t>
      </w:r>
      <w:r>
        <w:t xml:space="preserve">(el incentivo observado al</w:t>
      </w:r>
      <w:r>
        <w:t xml:space="preserve"> </w:t>
      </w:r>
      <w:r>
        <w:t xml:space="preserve">inicio de la transición), con efectos fijos de periodo y errores agrupados</w:t>
      </w:r>
      <w:r>
        <w:t xml:space="preserve"> </w:t>
      </w:r>
      <w:r>
        <w:t xml:space="preserve">por sector. La identificación es transversal dentro de periodo; los efectos</w:t>
      </w:r>
      <w:r>
        <w:t xml:space="preserve"> </w:t>
      </w:r>
      <w:r>
        <w:t xml:space="preserve">fijos absorben la inflación y los choques comunes. El estadístico de interés</w:t>
      </w:r>
      <w:r>
        <w:t xml:space="preserve"> </w:t>
      </w:r>
      <w:r>
        <w:t xml:space="preserve">es el coeficiente del incentivo rezagado; su inferencia exacta y su placebo</w:t>
      </w:r>
      <w:r>
        <w:t xml:space="preserve"> </w:t>
      </w:r>
      <w:r>
        <w:t xml:space="preserve">de temporalidad inversa se describen en §3.6.</w:t>
      </w:r>
    </w:p>
    <w:p>
      <w:pPr>
        <w:pStyle w:val="BodyText"/>
      </w:pPr>
      <w:r>
        <w:rPr>
          <w:bCs/>
          <w:b/>
        </w:rPr>
        <w:t xml:space="preserve">El experimento natural y la absorción.</w:t>
      </w:r>
      <w:r>
        <w:t xml:space="preserve"> </w:t>
      </w:r>
      <w:r>
        <w:t xml:space="preserve">El efecto temprano del choque de</w:t>
      </w:r>
      <w:r>
        <w:t xml:space="preserve"> </w:t>
      </w:r>
      <w:r>
        <w:t xml:space="preserve">IA generativa se examina con diferencias en tendencias alrededor de</w:t>
      </w:r>
      <w:r>
        <w:t xml:space="preserve"> </w:t>
      </w:r>
      <w:r>
        <w:t xml:space="preserve">noviembre de 2022: log del empleo sobre efectos fijos de sector y de mes,</w:t>
      </w:r>
      <w:r>
        <w:t xml:space="preserve"> </w:t>
      </w:r>
      <w:r>
        <w:t xml:space="preserve">con interacciones post×DBOE y post×DEOE, primero sobre el empleo formal</w:t>
      </w:r>
      <w:r>
        <w:t xml:space="preserve"> </w:t>
      </w:r>
      <w:r>
        <w:t xml:space="preserve">mensual del IMSS (8 sectores, ventana principal 2021–2024) y después —para</w:t>
      </w:r>
      <w:r>
        <w:t xml:space="preserve"> </w:t>
      </w:r>
      <w:r>
        <w:t xml:space="preserve">responder la objeción de informalidad— sobre el</w:t>
      </w:r>
      <w:r>
        <w:t xml:space="preserve"> </w:t>
      </w:r>
      <w:r>
        <w:rPr>
          <w:bCs/>
          <w:b/>
        </w:rPr>
        <w:t xml:space="preserve">empleo total</w:t>
      </w:r>
      <w:r>
        <w:t xml:space="preserve"> </w:t>
      </w:r>
      <w:r>
        <w:t xml:space="preserve">trimestral</w:t>
      </w:r>
      <w:r>
        <w:t xml:space="preserve"> </w:t>
      </w:r>
      <w:r>
        <w:t xml:space="preserve">de la ENOE (formal más informal, 19 sectores, 2022-T1 a 2024-T3), añadiendo</w:t>
      </w:r>
      <w:r>
        <w:t xml:space="preserve"> </w:t>
      </w:r>
      <w:r>
        <w:t xml:space="preserve">como segunda variable dependiente la participación informal del sector (la</w:t>
      </w:r>
      <w:r>
        <w:t xml:space="preserve"> </w:t>
      </w:r>
      <w:r>
        <w:t xml:space="preserve">«firma de absorción»: si el desplazamiento formal se recoloca en la</w:t>
      </w:r>
      <w:r>
        <w:t xml:space="preserve"> </w:t>
      </w:r>
      <w:r>
        <w:t xml:space="preserve">informalidad, esa participación debe crecer en los sectores expuestos).</w:t>
      </w:r>
    </w:p>
    <w:p>
      <w:pPr>
        <w:pStyle w:val="BodyText"/>
      </w:pPr>
      <w:r>
        <w:rPr>
          <w:bCs/>
          <w:b/>
        </w:rPr>
        <w:t xml:space="preserve">Complementos del lado de la demanda.</w:t>
      </w:r>
      <w:r>
        <w:t xml:space="preserve"> </w:t>
      </w:r>
      <w:r>
        <w:t xml:space="preserve">Una ecuación de Mincer ponderada</w:t>
      </w:r>
      <w:r>
        <w:t xml:space="preserve"> </w:t>
      </w:r>
      <w:r>
        <w:t xml:space="preserve">(log del salario por hora sobre escolaridad, edad, sexo, formalidad y</w:t>
      </w:r>
      <w:r>
        <w:t xml:space="preserve"> </w:t>
      </w:r>
      <w:r>
        <w:t xml:space="preserve">ruralidad) estima si el trabajo expuesto ya paga una prima —el costo laboral</w:t>
      </w:r>
      <w:r>
        <w:t xml:space="preserve"> </w:t>
      </w:r>
      <w:r>
        <w:t xml:space="preserve">que el adoptante se ahorra—, con interacción exposición×educación superior.</w:t>
      </w:r>
      <w:r>
        <w:t xml:space="preserve"> </w:t>
      </w:r>
      <w:r>
        <w:t xml:space="preserve">El registro de tareas emergentes de O*NET alimenta el contraste descriptivo</w:t>
      </w:r>
      <w:r>
        <w:t xml:space="preserve"> </w:t>
      </w:r>
      <w:r>
        <w:t xml:space="preserve">de reinstalación. Los flujos de IED por entidad y tipo documentan el canal</w:t>
      </w:r>
      <w:r>
        <w:t xml:space="preserve"> </w:t>
      </w:r>
      <w:r>
        <w:t xml:space="preserve">de nearshoring.</w:t>
      </w:r>
    </w:p>
    <w:p>
      <w:pPr>
        <w:pStyle w:val="BodyText"/>
      </w:pPr>
      <w:r>
        <w:rPr>
          <w:bCs/>
          <w:b/>
        </w:rPr>
        <w:t xml:space="preserve">Nivel 2: proyección de escenarios 2025–2030.</w:t>
      </w:r>
      <w:r>
        <w:t xml:space="preserve"> </w:t>
      </w:r>
      <w:r>
        <w:t xml:space="preserve">La proyección es análisis</w:t>
      </w:r>
      <w:r>
        <w:t xml:space="preserve"> </w:t>
      </w:r>
      <w:r>
        <w:t xml:space="preserve">de escenarios anclado en datos —no un pronosticador entrenado: no existe</w:t>
      </w:r>
      <w:r>
        <w:t xml:space="preserve"> </w:t>
      </w:r>
      <w:r>
        <w:t xml:space="preserve">panel de automatización observada—. La presión sobre el sector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en el año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y el escenario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se define como</w:t>
      </w:r>
      <w:r>
        <w:t xml:space="preserve"> </w:t>
      </w:r>
      <w:r>
        <w:t xml:space="preserve">presión(s,t,k) = pct(exposición_s) × curva_k(t) × pct(IRA_s), donde pct(·)</w:t>
      </w:r>
      <w:r>
        <w:t xml:space="preserve"> </w:t>
      </w:r>
      <w:r>
        <w:t xml:space="preserve">es el rango percentil entre sectores, las curvas c(t) y r(t) se re-basan en</w:t>
      </w:r>
      <w:r>
        <w:t xml:space="preserve"> </w:t>
      </w:r>
      <w:r>
        <w:t xml:space="preserve">2024 = 1.00 (el último año observado de ambas, de modo que la presión se lee</w:t>
      </w:r>
      <w:r>
        <w:t xml:space="preserve"> </w:t>
      </w:r>
      <w:r>
        <w:t xml:space="preserve">como crecimiento desde el presente) y la moderación por IRA aplica la</w:t>
      </w:r>
      <w:r>
        <w:t xml:space="preserve"> </w:t>
      </w:r>
      <w:r>
        <w:t xml:space="preserve">relación evidenciada por H4. En el nivel del trabajador, la cuantificación</w:t>
      </w:r>
      <w:r>
        <w:t xml:space="preserve"> </w:t>
      </w:r>
      <w:r>
        <w:t xml:space="preserve">de población en riesgo fija el umbral τ en el tercil superior (ponderado por</w:t>
      </w:r>
      <w:r>
        <w:t xml:space="preserve"> </w:t>
      </w:r>
      <w:r>
        <w:t xml:space="preserve">empleo) de la presión total de 2024 y cuenta, por escenario, a los</w:t>
      </w:r>
      <w:r>
        <w:t xml:space="preserve"> </w:t>
      </w:r>
      <w:r>
        <w:t xml:space="preserve">trabajadores cuya presión de 2030 supera esa barra de hoy; el perfil de esa</w:t>
      </w:r>
      <w:r>
        <w:t xml:space="preserve"> </w:t>
      </w:r>
      <w:r>
        <w:t xml:space="preserve">población (educación, sexo, formalidad, polo dominante) y su multiplicador</w:t>
      </w:r>
      <w:r>
        <w:t xml:space="preserve"> </w:t>
      </w:r>
      <w:r>
        <w:t xml:space="preserve">de severidad por informalidad completan la incidencia.</w:t>
      </w:r>
    </w:p>
    <w:bookmarkEnd w:id="39"/>
    <w:bookmarkStart w:id="40" w:name="inferencia-robustez-y-reproducibilidad"/>
    <w:p>
      <w:pPr>
        <w:pStyle w:val="Heading2"/>
      </w:pPr>
      <w:r>
        <w:t xml:space="preserve">3.6 Inferencia, robustez y reproducibilidad</w:t>
      </w:r>
    </w:p>
    <w:p>
      <w:pPr>
        <w:pStyle w:val="FirstParagraph"/>
      </w:pPr>
      <w:r>
        <w:t xml:space="preserve">Los contrastes sectoriales de esta tesis operan con pocas unidades</w:t>
      </w:r>
      <w:r>
        <w:t xml:space="preserve"> </w:t>
      </w:r>
      <w:r>
        <w:t xml:space="preserve">transversales (8 a 19 sectores), donde los errores estándar asintóticos son</w:t>
      </w:r>
      <w:r>
        <w:t xml:space="preserve"> </w:t>
      </w:r>
      <w:r>
        <w:t xml:space="preserve">optimistas. Por ello, todos los coeficientes centrales se acompañan de</w:t>
      </w:r>
      <w:r>
        <w:t xml:space="preserve"> </w:t>
      </w:r>
      <w:r>
        <w:rPr>
          <w:bCs/>
          <w:b/>
        </w:rPr>
        <w:t xml:space="preserve">inferencia por permutación</w:t>
      </w:r>
      <w:r>
        <w:t xml:space="preserve"> </w:t>
      </w:r>
      <w:r>
        <w:t xml:space="preserve">(B = 1,000): el tratamiento a nivel de sector</w:t>
      </w:r>
      <w:r>
        <w:t xml:space="preserve"> </w:t>
      </w:r>
      <w:r>
        <w:t xml:space="preserve">—los puntajes de exposición; la trayectoria completa del IRA— se reasigna</w:t>
      </w:r>
      <w:r>
        <w:t xml:space="preserve"> </w:t>
      </w:r>
      <w:r>
        <w:t xml:space="preserve">aleatoriamente entre sectores conservando su estructura temporal, el modelo</w:t>
      </w:r>
      <w:r>
        <w:t xml:space="preserve"> </w:t>
      </w:r>
      <w:r>
        <w:t xml:space="preserve">se reestima y el valor p empírico es la fracción de permutaciones con</w:t>
      </w:r>
      <w:r>
        <w:t xml:space="preserve"> </w:t>
      </w:r>
      <w:r>
        <w:t xml:space="preserve">coeficiente igual o mayor en valor absoluto. Este criterio es exacto bajo la</w:t>
      </w:r>
      <w:r>
        <w:t xml:space="preserve"> </w:t>
      </w:r>
      <w:r>
        <w:t xml:space="preserve">hipótesis nula y válido con cualquier N. Su aplicación tuvo consecuencias en</w:t>
      </w:r>
      <w:r>
        <w:t xml:space="preserve"> </w:t>
      </w:r>
      <w:r>
        <w:t xml:space="preserve">ambas direcciones, que el capítulo 5 reporta: confirmó con holgura el</w:t>
      </w:r>
      <w:r>
        <w:t xml:space="preserve"> </w:t>
      </w:r>
      <w:r>
        <w:t xml:space="preserve">contraste de H4 y degradó a no significativo un coeficiente del experimento</w:t>
      </w:r>
      <w:r>
        <w:t xml:space="preserve"> </w:t>
      </w:r>
      <w:r>
        <w:t xml:space="preserve">natural que la inferencia asintótica declaraba significativo.</w:t>
      </w:r>
    </w:p>
    <w:p>
      <w:pPr>
        <w:pStyle w:val="BodyText"/>
      </w:pPr>
      <w:r>
        <w:t xml:space="preserve">La batería de robustez incluye además: (i)</w:t>
      </w:r>
      <w:r>
        <w:t xml:space="preserve"> </w:t>
      </w:r>
      <w:r>
        <w:rPr>
          <w:bCs/>
          <w:b/>
        </w:rPr>
        <w:t xml:space="preserve">cotas de cobertura</w:t>
      </w:r>
      <w:r>
        <w:t xml:space="preserve"> </w:t>
      </w:r>
      <w:r>
        <w:t xml:space="preserve">para el</w:t>
      </w:r>
      <w:r>
        <w:t xml:space="preserve"> </w:t>
      </w:r>
      <w:r>
        <w:t xml:space="preserve">12% de trabajadores sin exposición asignada —se recalculan las medias de</w:t>
      </w:r>
      <w:r>
        <w:t xml:space="preserve"> </w:t>
      </w:r>
      <w:r>
        <w:t xml:space="preserve">Jalisco asignando a todos los no cubiertos el mínimo y después el máximo</w:t>
      </w:r>
      <w:r>
        <w:t xml:space="preserve"> </w:t>
      </w:r>
      <w:r>
        <w:t xml:space="preserve">observado de cada eje; (ii)</w:t>
      </w:r>
      <w:r>
        <w:t xml:space="preserve"> </w:t>
      </w:r>
      <w:r>
        <w:rPr>
          <w:bCs/>
          <w:b/>
        </w:rPr>
        <w:t xml:space="preserve">sensibilidad de umbral</w:t>
      </w:r>
      <w:r>
        <w:t xml:space="preserve"> </w:t>
      </w:r>
      <w:r>
        <w:t xml:space="preserve">para la cuantificación</w:t>
      </w:r>
      <w:r>
        <w:t xml:space="preserve"> </w:t>
      </w:r>
      <w:r>
        <w:t xml:space="preserve">de población en riesgo (mediana, tercil, cuartil y decil), donde lo que debe</w:t>
      </w:r>
      <w:r>
        <w:t xml:space="preserve"> </w:t>
      </w:r>
      <w:r>
        <w:t xml:space="preserve">sobrevivir es el orden de escenarios, no la cuenta absoluta; (iii)</w:t>
      </w:r>
      <w:r>
        <w:t xml:space="preserve"> </w:t>
      </w:r>
      <w:r>
        <w:rPr>
          <w:bCs/>
          <w:b/>
        </w:rPr>
        <w:t xml:space="preserve">exclusión de benchmarks uno a uno</w:t>
      </w:r>
      <w:r>
        <w:t xml:space="preserve"> </w:t>
      </w:r>
      <w:r>
        <w:t xml:space="preserve">en el DBOE, dirigida a su elección más</w:t>
      </w:r>
      <w:r>
        <w:t xml:space="preserve"> </w:t>
      </w:r>
      <w:r>
        <w:t xml:space="preserve">discutible (ajedrez como proxy de estrategia abstracta); (iv)</w:t>
      </w:r>
      <w:r>
        <w:t xml:space="preserve"> </w:t>
      </w:r>
      <w:r>
        <w:rPr>
          <w:bCs/>
          <w:b/>
        </w:rPr>
        <w:t xml:space="preserve">placebo de</w:t>
      </w:r>
      <w:r>
        <w:rPr>
          <w:bCs/>
          <w:b/>
        </w:rPr>
        <w:t xml:space="preserve"> </w:t>
      </w:r>
      <w:r>
        <w:rPr>
          <w:bCs/>
          <w:b/>
        </w:rPr>
        <w:t xml:space="preserve">temporalidad inversa</w:t>
      </w:r>
      <w:r>
        <w:t xml:space="preserve"> </w:t>
      </w:r>
      <w:r>
        <w:t xml:space="preserve">para H4 (¿</w:t>
      </w:r>
      <w:r>
        <w:t xml:space="preserve">“</w:t>
      </w:r>
      <w:r>
        <w:t xml:space="preserve">predice</w:t>
      </w:r>
      <w:r>
        <w:t xml:space="preserve">”</w:t>
      </w:r>
      <w:r>
        <w:t xml:space="preserve"> </w:t>
      </w:r>
      <w:r>
        <w:t xml:space="preserve">el incentivo la profundización del</w:t>
      </w:r>
      <w:r>
        <w:t xml:space="preserve"> </w:t>
      </w:r>
      <w:r>
        <w:t xml:space="preserve">periodo anterior?); y (v) análisis de sensibilidad del componente principal</w:t>
      </w:r>
      <w:r>
        <w:t xml:space="preserve"> </w:t>
      </w:r>
      <w:r>
        <w:t xml:space="preserve">del DEOE excluyendo su subdominio débil.</w:t>
      </w:r>
    </w:p>
    <w:p>
      <w:pPr>
        <w:pStyle w:val="BodyText"/>
      </w:pPr>
      <w:r>
        <w:t xml:space="preserve">Por último, la reproducibilidad es una propiedad del diseño y no un anexo:</w:t>
      </w:r>
      <w:r>
        <w:t xml:space="preserve"> </w:t>
      </w:r>
      <w:r>
        <w:t xml:space="preserve">cada tabla y figura de los capítulos 4 a 6 es la salida de un script</w:t>
      </w:r>
      <w:r>
        <w:t xml:space="preserve"> </w:t>
      </w:r>
      <w:r>
        <w:t xml:space="preserve">identificado, la base de datos puede reconstruirse desde cero con el DDL y</w:t>
      </w:r>
      <w:r>
        <w:t xml:space="preserve"> </w:t>
      </w:r>
      <w:r>
        <w:t xml:space="preserve">el orden de ejecución documentados en el repositorio, y los números del</w:t>
      </w:r>
      <w:r>
        <w:t xml:space="preserve"> </w:t>
      </w:r>
      <w:r>
        <w:t xml:space="preserve">texto se extraen de las tablas de resultados, no se transcriben a mano.</w:t>
      </w:r>
    </w:p>
    <w:bookmarkEnd w:id="40"/>
    <w:bookmarkEnd w:id="41"/>
    <w:bookmarkStart w:id="52" w:name="X404e264dadc7f095e72999c584d26340061c546"/>
    <w:p>
      <w:pPr>
        <w:pStyle w:val="Heading1"/>
      </w:pPr>
      <w:r>
        <w:t xml:space="preserve">Capítulo 4. Resultados I: La estructura de la exposición</w:t>
      </w:r>
    </w:p>
    <w:p>
      <w:pPr>
        <w:pStyle w:val="FirstParagraph"/>
      </w:pPr>
      <w:r>
        <w:t xml:space="preserve">Este capítulo establece los hechos estructurales sobre los que descansa el</w:t>
      </w:r>
      <w:r>
        <w:t xml:space="preserve"> </w:t>
      </w:r>
      <w:r>
        <w:t xml:space="preserve">resto de la tesis: cómo se organizan las exposiciones cognitiva y encarnada</w:t>
      </w:r>
      <w:r>
        <w:t xml:space="preserve"> </w:t>
      </w:r>
      <w:r>
        <w:t xml:space="preserve">entre ocupaciones (4.1), cómo se distribuyen a lo largo de la jerarquía</w:t>
      </w:r>
      <w:r>
        <w:t xml:space="preserve"> </w:t>
      </w:r>
      <w:r>
        <w:t xml:space="preserve">ocupacional (4.2) y entre las personas que ocupan los puestos (4.3), dónde</w:t>
      </w:r>
      <w:r>
        <w:t xml:space="preserve"> </w:t>
      </w:r>
      <w:r>
        <w:t xml:space="preserve">queda Jalisco en el mapa nacional (4.4) y en su propio territorio (4.5), y</w:t>
      </w:r>
      <w:r>
        <w:t xml:space="preserve"> </w:t>
      </w:r>
      <w:r>
        <w:t xml:space="preserve">qué tan bien predicen los índices propios el uso observado de inteligencia</w:t>
      </w:r>
      <w:r>
        <w:t xml:space="preserve"> </w:t>
      </w:r>
      <w:r>
        <w:t xml:space="preserve">artificial (4.6). El orden es deliberado: primero la estructura, después la</w:t>
      </w:r>
      <w:r>
        <w:t xml:space="preserve"> </w:t>
      </w:r>
      <w:r>
        <w:t xml:space="preserve">incidencia, al final la validación externa.</w:t>
      </w:r>
    </w:p>
    <w:bookmarkStart w:id="42" w:name="X31ccf92b2303e6772af836fbd2e93ba2107fe0b"/>
    <w:p>
      <w:pPr>
        <w:pStyle w:val="Heading2"/>
      </w:pPr>
      <w:r>
        <w:t xml:space="preserve">4.1 Un eje bipolar: la estructura factorial de la exposición (H2)</w:t>
      </w:r>
    </w:p>
    <w:p>
      <w:pPr>
        <w:pStyle w:val="FirstParagraph"/>
      </w:pPr>
      <w:r>
        <w:t xml:space="preserve">La hipótesis H2 predice que las exposiciones cognitiva y encarnada no son</w:t>
      </w:r>
      <w:r>
        <w:t xml:space="preserve"> </w:t>
      </w:r>
      <w:r>
        <w:t xml:space="preserve">riesgos independientes sino polos opuestos de una dimensión dominante. El</w:t>
      </w:r>
      <w:r>
        <w:t xml:space="preserve"> </w:t>
      </w:r>
      <w:r>
        <w:t xml:space="preserve">análisis factorial exploratorio sobre la batería depurada de ocho índices</w:t>
      </w:r>
      <w:r>
        <w:t xml:space="preserve"> </w:t>
      </w:r>
      <w:r>
        <w:t xml:space="preserve">(N = 747 ocupaciones; rotación oblicua) lo confirma con nitidez: emerge un</w:t>
      </w:r>
      <w:r>
        <w:t xml:space="preserve"> </w:t>
      </w:r>
      <w:r>
        <w:t xml:space="preserve">factor dominante que explica el 57% de la varianza, en el que los índices</w:t>
      </w:r>
      <w:r>
        <w:t xml:space="preserve"> </w:t>
      </w:r>
      <w:r>
        <w:t xml:space="preserve">cognitivos cargan en un polo (DBOE +0.87; uso observado de Anthropic +0.61)</w:t>
      </w:r>
      <w:r>
        <w:t xml:space="preserve"> </w:t>
      </w:r>
      <w:r>
        <w:t xml:space="preserve">y los encarnados en el opuesto (DEOE −0.87; exposición robótica de Webb</w:t>
      </w:r>
      <w:r>
        <w:t xml:space="preserve"> </w:t>
      </w:r>
      <w:r>
        <w:t xml:space="preserve">−0.82; rutina manual −0.77). El segundo factor (12%) recoge un solo</w:t>
      </w:r>
      <w:r>
        <w:t xml:space="preserve"> </w:t>
      </w:r>
      <w:r>
        <w:t xml:space="preserve">indicador y no constituye dimensión sustantiva.</w:t>
      </w:r>
    </w:p>
    <w:p>
      <w:pPr>
        <w:pStyle w:val="BodyText"/>
      </w:pPr>
      <w:r>
        <w:t xml:space="preserve">El análisis confirmatorio formaliza la comparación. Un modelo de dos</w:t>
      </w:r>
      <w:r>
        <w:t xml:space="preserve"> </w:t>
      </w:r>
      <w:r>
        <w:t xml:space="preserve">factores correlacionados —cognitivo y encarnado, con la correlación libre—</w:t>
      </w:r>
      <w:r>
        <w:t xml:space="preserve"> </w:t>
      </w:r>
      <w:r>
        <w:t xml:space="preserve">supera al modelo de factor único por un margen contundente (ΔAIC = +2,277;</w:t>
      </w:r>
      <w:r>
        <w:t xml:space="preserve"> </w:t>
      </w:r>
      <w:r>
        <w:t xml:space="preserve">prueba de razón de verosimilitud χ²(1) = 2,279, p ≈ 0), con una correlación</w:t>
      </w:r>
      <w:r>
        <w:t xml:space="preserve"> </w:t>
      </w:r>
      <w:r>
        <w:t xml:space="preserve">interfactorial de φ = −0.67: dos ejes distinguibles cuya fuerte relación</w:t>
      </w:r>
      <w:r>
        <w:t xml:space="preserve"> </w:t>
      </w:r>
      <w:r>
        <w:t xml:space="preserve">negativa es precisamente la estructura bipolar. El ajuste absoluto del</w:t>
      </w:r>
      <w:r>
        <w:t xml:space="preserve"> </w:t>
      </w:r>
      <w:r>
        <w:t xml:space="preserve">modelo queda por debajo de los umbrales convencionales —los indicadores</w:t>
      </w:r>
      <w:r>
        <w:t xml:space="preserve"> </w:t>
      </w:r>
      <w:r>
        <w:t xml:space="preserve">cognitivos son casi colineales entre sí—, de modo que la afirmación</w:t>
      </w:r>
      <w:r>
        <w:t xml:space="preserve"> </w:t>
      </w:r>
      <w:r>
        <w:t xml:space="preserve">defendible es la comparación de modelos, no el ajuste absoluto; el argumento</w:t>
      </w:r>
      <w:r>
        <w:t xml:space="preserve"> </w:t>
      </w:r>
      <w:r>
        <w:t xml:space="preserve">estructural lo completan las validaciones convergentes y discriminantes del</w:t>
      </w:r>
      <w:r>
        <w:t xml:space="preserve"> </w:t>
      </w:r>
      <w:r>
        <w:t xml:space="preserve">capítulo 3.</w:t>
      </w:r>
    </w:p>
    <w:p>
      <w:pPr>
        <w:pStyle w:val="BodyText"/>
      </w:pPr>
      <w:r>
        <w:t xml:space="preserve">La lectura sustantiva confirma con datos propios la tesis de Webb (2020):</w:t>
      </w:r>
      <w:r>
        <w:t xml:space="preserve"> </w:t>
      </w:r>
      <w:r>
        <w:t xml:space="preserve">la inteligencia artificial cognitiva y la robótica apuntan a ocupaciones</w:t>
      </w:r>
      <w:r>
        <w:t xml:space="preserve"> </w:t>
      </w:r>
      <w:r>
        <w:t xml:space="preserve">opuestas. Las ocupaciones más expuestas a los modelos de lenguaje son las</w:t>
      </w:r>
      <w:r>
        <w:t xml:space="preserve"> </w:t>
      </w:r>
      <w:r>
        <w:t xml:space="preserve">menos expuestas a los robots. No hay un</w:t>
      </w:r>
      <w:r>
        <w:t xml:space="preserve"> </w:t>
      </w:r>
      <w:r>
        <w:t xml:space="preserve">“</w:t>
      </w:r>
      <w:r>
        <w:t xml:space="preserve">riesgo de automatización</w:t>
      </w:r>
      <w:r>
        <w:t xml:space="preserve">”</w:t>
      </w:r>
      <w:r>
        <w:t xml:space="preserve"> </w:t>
      </w:r>
      <w:r>
        <w:t xml:space="preserve">único:</w:t>
      </w:r>
      <w:r>
        <w:t xml:space="preserve"> </w:t>
      </w:r>
      <w:r>
        <w:t xml:space="preserve">hay un espectro con dos extremos, y cada ocupación tiene una posición en él</w:t>
      </w:r>
      <w:r>
        <w:t xml:space="preserve"> </w:t>
      </w:r>
      <w:r>
        <w:t xml:space="preserve">además de una magnitud en cada eje —la razón por la cual la tesis conserva</w:t>
      </w:r>
      <w:r>
        <w:t xml:space="preserve"> </w:t>
      </w:r>
      <w:r>
        <w:t xml:space="preserve">ambos puntajes en lugar de colapsarlos (decisión metodológica del</w:t>
      </w:r>
      <w:r>
        <w:t xml:space="preserve"> </w:t>
      </w:r>
      <w:r>
        <w:t xml:space="preserve">capítulo 3).</w:t>
      </w:r>
    </w:p>
    <w:bookmarkEnd w:id="42"/>
    <w:bookmarkStart w:id="43" w:name="el-gradiente-ocupacional-h1"/>
    <w:p>
      <w:pPr>
        <w:pStyle w:val="Heading2"/>
      </w:pPr>
      <w:r>
        <w:t xml:space="preserve">4.2 El gradiente ocupacional (H1)</w:t>
      </w:r>
    </w:p>
    <w:p>
      <w:pPr>
        <w:pStyle w:val="FirstParagraph"/>
      </w:pPr>
      <w:r>
        <w:t xml:space="preserve">Agregada a las nueve divisiones de la clasificación mexicana de ocupaciones</w:t>
      </w:r>
      <w:r>
        <w:t xml:space="preserve"> </w:t>
      </w:r>
      <w:r>
        <w:t xml:space="preserve">mediante el cruce oficial del INEGI, la exposición exhibe el gradiente</w:t>
      </w:r>
      <w:r>
        <w:t xml:space="preserve"> </w:t>
      </w:r>
      <w:r>
        <w:t xml:space="preserve">especular que H1 predice. La exposición cognitiva desciende de manera</w:t>
      </w:r>
      <w:r>
        <w:t xml:space="preserve"> </w:t>
      </w:r>
      <w:r>
        <w:t xml:space="preserve">monótona desde los funcionarios y directivos (+0.89) y los profesionistas y</w:t>
      </w:r>
      <w:r>
        <w:t xml:space="preserve"> </w:t>
      </w:r>
      <w:r>
        <w:t xml:space="preserve">técnicos (+0.60) hasta los trabajadores agropecuarios (−1.32), los</w:t>
      </w:r>
      <w:r>
        <w:t xml:space="preserve"> </w:t>
      </w:r>
      <w:r>
        <w:t xml:space="preserve">artesanales (−0.97) y las actividades elementales (−1.16). La encarnada lo</w:t>
      </w:r>
      <w:r>
        <w:t xml:space="preserve"> </w:t>
      </w:r>
      <w:r>
        <w:t xml:space="preserve">invierte punto por punto: máxima entre los operadores de maquinaria</w:t>
      </w:r>
      <w:r>
        <w:t xml:space="preserve"> </w:t>
      </w:r>
      <w:r>
        <w:t xml:space="preserve">industrial y transporte (+1.07), los artesanales (+0.69) y los agropecuarios</w:t>
      </w:r>
      <w:r>
        <w:t xml:space="preserve"> </w:t>
      </w:r>
      <w:r>
        <w:t xml:space="preserve">(+0.72), mínima entre directivos (−0.67) y profesionistas (−0.37).</w:t>
      </w:r>
    </w:p>
    <w:p>
      <w:pPr>
        <w:pStyle w:val="BodyText"/>
      </w:pPr>
      <w:r>
        <w:t xml:space="preserve">El resultado invierte la geografía del riesgo heredada de Frey-Osborne: la</w:t>
      </w:r>
      <w:r>
        <w:t xml:space="preserve"> </w:t>
      </w:r>
      <w:r>
        <w:t xml:space="preserve">“</w:t>
      </w:r>
      <w:r>
        <w:t xml:space="preserve">zona segura</w:t>
      </w:r>
      <w:r>
        <w:t xml:space="preserve">”</w:t>
      </w:r>
      <w:r>
        <w:t xml:space="preserve"> </w:t>
      </w:r>
      <w:r>
        <w:t xml:space="preserve">del trabajo cognitivo no rutinario es, frente a la frontera de</w:t>
      </w:r>
      <w:r>
        <w:t xml:space="preserve"> </w:t>
      </w:r>
      <w:r>
        <w:t xml:space="preserve">los modelos de lenguaje, la zona más expuesta. Pero la inversión es solo la</w:t>
      </w:r>
      <w:r>
        <w:t xml:space="preserve"> </w:t>
      </w:r>
      <w:r>
        <w:t xml:space="preserve">mitad del hallazgo: el espejo encarnado implica que ninguna división</w:t>
      </w:r>
      <w:r>
        <w:t xml:space="preserve"> </w:t>
      </w:r>
      <w:r>
        <w:t xml:space="preserve">ocupacional está fuera de riesgo —cambia la tecnología que la amenaza, no la</w:t>
      </w:r>
      <w:r>
        <w:t xml:space="preserve"> </w:t>
      </w:r>
      <w:r>
        <w:t xml:space="preserve">existencia de la amenaza.</w:t>
      </w:r>
    </w:p>
    <w:bookmarkEnd w:id="43"/>
    <w:bookmarkStart w:id="45" w:name="quién-ocupa-los-puestos-expuestos"/>
    <w:p>
      <w:pPr>
        <w:pStyle w:val="Heading2"/>
      </w:pPr>
      <w:r>
        <w:t xml:space="preserve">4.3 Quién ocupa los puestos expuestos</w:t>
      </w:r>
    </w:p>
    <w:p>
      <w:pPr>
        <w:pStyle w:val="FirstParagraph"/>
      </w:pPr>
      <w:r>
        <w:t xml:space="preserve">Trasladado al microdato de trabajadores (3.4 millones ponderados, ENOE</w:t>
      </w:r>
      <w:r>
        <w:t xml:space="preserve"> </w:t>
      </w:r>
      <w:r>
        <w:t xml:space="preserve">2024-T3), el gradiente se convierte en perfil social. Por escolaridad, las</w:t>
      </w:r>
      <w:r>
        <w:t xml:space="preserve"> </w:t>
      </w:r>
      <w:r>
        <w:t xml:space="preserve">dos exposiciones se cruzan en espejo casi perfecto: la cognitiva asciende</w:t>
      </w:r>
      <w:r>
        <w:t xml:space="preserve"> </w:t>
      </w:r>
      <w:r>
        <w:t xml:space="preserve">monótonamente de −1.00 (primaria o menos) a +0.50 (educación superior),</w:t>
      </w:r>
      <w:r>
        <w:t xml:space="preserve"> </w:t>
      </w:r>
      <w:r>
        <w:t xml:space="preserve">mientras la encarnada desciende de +0.47 a −0.54, con el cruce en el nivel</w:t>
      </w:r>
      <w:r>
        <w:t xml:space="preserve"> </w:t>
      </w:r>
      <w:r>
        <w:t xml:space="preserve">superior. Por ingreso, solo el quintil más alto presenta exposición</w:t>
      </w:r>
      <w:r>
        <w:t xml:space="preserve"> </w:t>
      </w:r>
      <w:r>
        <w:t xml:space="preserve">cognitiva positiva; la exposición robótica se concentra en los quintiles</w:t>
      </w:r>
      <w:r>
        <w:t xml:space="preserve"> </w:t>
      </w:r>
      <w:r>
        <w:t xml:space="preserve">segundo a cuarto —el centro de la distribución, no su piso.</w:t>
      </w:r>
    </w:p>
    <w:p>
      <w:pPr>
        <w:pStyle w:val="BodyText"/>
      </w:pPr>
      <w:r>
        <w:t xml:space="preserve">El riesgo tiene además género: condicional en escolaridad, edad, formalidad</w:t>
      </w:r>
      <w:r>
        <w:t xml:space="preserve"> </w:t>
      </w:r>
      <w:r>
        <w:t xml:space="preserve">y zona, las mujeres se sitúan hacia el polo cognitivo (+0.26 desviaciones)</w:t>
      </w:r>
      <w:r>
        <w:t xml:space="preserve"> </w:t>
      </w:r>
      <w:r>
        <w:t xml:space="preserve">y los hombres, con fuerza, hacia el encarnado (las ocupaciones</w:t>
      </w:r>
      <w:r>
        <w:t xml:space="preserve"> </w:t>
      </w:r>
      <w:r>
        <w:t xml:space="preserve">administrativas y de servicios frente a la manufactura, la construcción y el</w:t>
      </w:r>
      <w:r>
        <w:t xml:space="preserve"> </w:t>
      </w:r>
      <w:r>
        <w:t xml:space="preserve">transporte). Los trabajadores informales y rurales se recargan al polo</w:t>
      </w:r>
      <w:r>
        <w:t xml:space="preserve"> </w:t>
      </w:r>
      <w:r>
        <w:t xml:space="preserve">robótico. La síntesis de política es directa: la frontera de los modelos de</w:t>
      </w:r>
      <w:r>
        <w:t xml:space="preserve"> </w:t>
      </w:r>
      <w:r>
        <w:t xml:space="preserve">lenguaje amenaza a una minoría educada y mayormente formal (~0.9 millones de</w:t>
      </w:r>
      <w:r>
        <w:t xml:space="preserve"> </w:t>
      </w:r>
      <w:r>
        <w:t xml:space="preserve">trabajadores con educación superior), mientras la frontera robótica amenaza</w:t>
      </w:r>
      <w:r>
        <w:t xml:space="preserve"> </w:t>
      </w:r>
      <w:r>
        <w:t xml:space="preserve">a la mayoría menos escolarizada (~2.5 millones) —dos poblaciones distintas,</w:t>
      </w:r>
      <w:r>
        <w:t xml:space="preserve"> </w:t>
      </w:r>
      <w:r>
        <w:t xml:space="preserve">dos políticas distintas, como desarrolla el capítulo 8.</w:t>
      </w:r>
    </w:p>
    <w:p>
      <w:pPr>
        <w:pStyle w:val="CaptionedFigure"/>
      </w:pPr>
      <w:r>
        <w:drawing>
          <wp:inline>
            <wp:extent cx="5334000" cy="1494593"/>
            <wp:effectExtent b="0" l="0" r="0" t="0"/>
            <wp:docPr descr="Figura 4.1. Exposición media ponderada por perfil del trabajador (z; ENOE 2024-T3)." title="" id="1" name="Picture"/>
            <a:graphic>
              <a:graphicData uri="http://schemas.openxmlformats.org/drawingml/2006/picture">
                <pic:pic>
                  <pic:nvPicPr>
                    <pic:cNvPr descr="C:/Users/carlo/OneDrive/Documentos/GitHub/ai-automation-risk-jalisco/figures/worker_exposure_profi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4.1. Exposición media ponderada por perfil del trabajador (z; ENOE 2024-T3).</w:t>
      </w:r>
    </w:p>
    <w:bookmarkEnd w:id="45"/>
    <w:bookmarkStart w:id="47" w:name="X86f44c194ce19fe412eb2cc0cd82279578efa47"/>
    <w:p>
      <w:pPr>
        <w:pStyle w:val="Heading2"/>
      </w:pPr>
      <w:r>
        <w:t xml:space="preserve">4.4 Jalisco en el mapa nacional: una posición bifrontal (H3)</w:t>
      </w:r>
    </w:p>
    <w:p>
      <w:pPr>
        <w:pStyle w:val="FirstParagraph"/>
      </w:pPr>
      <w:r>
        <w:t xml:space="preserve">La hipótesis H3, formulada contra el universo ocupacional, se confirma: el</w:t>
      </w:r>
      <w:r>
        <w:t xml:space="preserve"> </w:t>
      </w:r>
      <w:r>
        <w:t xml:space="preserve">empleo de Jalisco pondera por debajo del promedio ocupacional en exposición</w:t>
      </w:r>
      <w:r>
        <w:t xml:space="preserve"> </w:t>
      </w:r>
      <w:r>
        <w:t xml:space="preserve">cognitiva (DBOE = −0.39) y por encima en exposición encarnada</w:t>
      </w:r>
      <w:r>
        <w:t xml:space="preserve"> </w:t>
      </w:r>
      <w:r>
        <w:t xml:space="preserve">(DEOE = +0.09). Pero la réplica de la cadena completa sobre el microdato</w:t>
      </w:r>
      <w:r>
        <w:t xml:space="preserve"> </w:t>
      </w:r>
      <w:r>
        <w:t xml:space="preserve">nacional —los 32 estados, 59.5 millones de ocupados ponderados— refina la</w:t>
      </w:r>
      <w:r>
        <w:t xml:space="preserve"> </w:t>
      </w:r>
      <w:r>
        <w:t xml:space="preserve">hipótesis en una dirección que la fortalece. Dentro de México, Jalisco es el</w:t>
      </w:r>
      <w:r>
        <w:t xml:space="preserve"> </w:t>
      </w:r>
      <w:r>
        <w:t xml:space="preserve">octavo estado más expuesto a la frontera cognitiva y el vigésimo noveno a la</w:t>
      </w:r>
      <w:r>
        <w:t xml:space="preserve"> </w:t>
      </w:r>
      <w:r>
        <w:t xml:space="preserve">encarnada: el polo robótico nacional pertenece a Chiapas, Guerrero, Oaxaca y</w:t>
      </w:r>
      <w:r>
        <w:t xml:space="preserve"> </w:t>
      </w:r>
      <w:r>
        <w:t xml:space="preserve">Zacatecas; el polo cognitivo, prácticamente en solitario, a la Ciudad de</w:t>
      </w:r>
      <w:r>
        <w:t xml:space="preserve"> </w:t>
      </w:r>
      <w:r>
        <w:t xml:space="preserve">México.</w:t>
      </w:r>
    </w:p>
    <w:p>
      <w:pPr>
        <w:pStyle w:val="BodyText"/>
      </w:pPr>
      <w:r>
        <w:t xml:space="preserve">La posición de Jalisco es, entonces,</w:t>
      </w:r>
      <w:r>
        <w:t xml:space="preserve"> </w:t>
      </w:r>
      <w:r>
        <w:rPr>
          <w:bCs/>
          <w:b/>
        </w:rPr>
        <w:t xml:space="preserve">bifrontal</w:t>
      </w:r>
      <w:r>
        <w:t xml:space="preserve">: más expuesto a los</w:t>
      </w:r>
      <w:r>
        <w:t xml:space="preserve"> </w:t>
      </w:r>
      <w:r>
        <w:t xml:space="preserve">modelos de lenguaje que casi todo el país —por su sector de servicios</w:t>
      </w:r>
      <w:r>
        <w:t xml:space="preserve"> </w:t>
      </w:r>
      <w:r>
        <w:t xml:space="preserve">modernos— y más expuesto a los robots que las economías de la frontera</w:t>
      </w:r>
      <w:r>
        <w:t xml:space="preserve"> </w:t>
      </w:r>
      <w:r>
        <w:t xml:space="preserve">—por su corredor industrial y su agro. Ningún otro estado grande combina</w:t>
      </w:r>
      <w:r>
        <w:t xml:space="preserve"> </w:t>
      </w:r>
      <w:r>
        <w:t xml:space="preserve">ambas posiciones con su escala de empleo. El hallazgo adicional del</w:t>
      </w:r>
      <w:r>
        <w:t xml:space="preserve"> </w:t>
      </w:r>
      <w:r>
        <w:t xml:space="preserve">ejercicio merece registro propio: los 32 estados se alinean sobre una sola</w:t>
      </w:r>
      <w:r>
        <w:t xml:space="preserve"> </w:t>
      </w:r>
      <w:r>
        <w:t xml:space="preserve">recta bipolar en el plano (DBOE, DEOE) —la estructura factorial de la</w:t>
      </w:r>
      <w:r>
        <w:t xml:space="preserve"> </w:t>
      </w:r>
      <w:r>
        <w:t xml:space="preserve">sección 4.1 reproducida como geografía económica del país.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Figura 4.2. Los 32 estados sobre los dos ejes de automatización (ENOE 2024-T3; burbuja = ocupados; Jalisco resaltado)." title="" id="1" name="Picture"/>
            <a:graphic>
              <a:graphicData uri="http://schemas.openxmlformats.org/drawingml/2006/picture">
                <pic:pic>
                  <pic:nvPicPr>
                    <pic:cNvPr descr="C:/Users/carlo/OneDrive/Documentos/GitHub/ai-automation-risk-jalisco/figures/state_exposure_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4.2. Los 32 estados sobre los dos ejes de automatización (ENOE 2024-T3; burbuja = ocupados; Jalisco resaltado).</w:t>
      </w:r>
    </w:p>
    <w:bookmarkEnd w:id="47"/>
    <w:bookmarkStart w:id="49" w:name="Xb8df314bdd1dba66ae6323fa4e9b6705516b0b8"/>
    <w:p>
      <w:pPr>
        <w:pStyle w:val="Heading2"/>
      </w:pPr>
      <w:r>
        <w:t xml:space="preserve">4.5 El territorio: metrópoli cognitiva, corredor encarnado</w:t>
      </w:r>
    </w:p>
    <w:p>
      <w:pPr>
        <w:pStyle w:val="FirstParagraph"/>
      </w:pPr>
      <w:r>
        <w:t xml:space="preserve">El descenso al grano municipal (125 municipios, composición sectorial formal</w:t>
      </w:r>
      <w:r>
        <w:t xml:space="preserve"> </w:t>
      </w:r>
      <w:r>
        <w:t xml:space="preserve">de los Censos Económicos 2023) dibuja la misma estructura dentro del estado.</w:t>
      </w:r>
      <w:r>
        <w:t xml:space="preserve"> </w:t>
      </w:r>
      <w:r>
        <w:t xml:space="preserve">Entre los municipios con al menos veinte mil trabajadores censales, el</w:t>
      </w:r>
      <w:r>
        <w:t xml:space="preserve"> </w:t>
      </w:r>
      <w:r>
        <w:t xml:space="preserve">núcleo metropolitano —Zapotlán el Grande, Tonalá, Guadalajara, Zapopan— es</w:t>
      </w:r>
      <w:r>
        <w:t xml:space="preserve"> </w:t>
      </w:r>
      <w:r>
        <w:t xml:space="preserve">el polo relativamente cognitivo, mientras el corredor industrial —El Salto,</w:t>
      </w:r>
      <w:r>
        <w:t xml:space="preserve"> </w:t>
      </w:r>
      <w:r>
        <w:t xml:space="preserve">Tlajomulco, Lagos de Moreno— es el polo encarnado. Un matiz importante:</w:t>
      </w:r>
      <w:r>
        <w:t xml:space="preserve"> </w:t>
      </w:r>
      <w:r>
        <w:t xml:space="preserve">ningún municipio, ni siquiera Guadalajara (DBOE = −0.20), alcanza exposición</w:t>
      </w:r>
      <w:r>
        <w:t xml:space="preserve"> </w:t>
      </w:r>
      <w:r>
        <w:t xml:space="preserve">cognitiva positiva en términos absolutos —la mezcla formal de comercio y</w:t>
      </w:r>
      <w:r>
        <w:t xml:space="preserve"> </w:t>
      </w:r>
      <w:r>
        <w:t xml:space="preserve">manufactura domina incluso a la capital—, que es H3 reproducida a grano</w:t>
      </w:r>
      <w:r>
        <w:t xml:space="preserve"> </w:t>
      </w:r>
      <w:r>
        <w:t xml:space="preserve">municipal. El ejercicio declara sus límites: cubre solo establecimientos</w:t>
      </w:r>
      <w:r>
        <w:t xml:space="preserve"> </w:t>
      </w:r>
      <w:r>
        <w:t xml:space="preserve">formales, asume composición ocupacional constante dentro de sector, y los</w:t>
      </w:r>
      <w:r>
        <w:t xml:space="preserve"> </w:t>
      </w:r>
      <w:r>
        <w:t xml:space="preserve">municipios pequeños exhiben un artefacto de composición documentado que</w:t>
      </w:r>
      <w:r>
        <w:t xml:space="preserve"> </w:t>
      </w:r>
      <w:r>
        <w:t xml:space="preserve">obliga a leer los ordenamientos sobre el corte de tamaño.</w:t>
      </w:r>
    </w:p>
    <w:p>
      <w:pPr>
        <w:pStyle w:val="CaptionedFigure"/>
      </w:pPr>
      <w:r>
        <w:drawing>
          <wp:inline>
            <wp:extent cx="5334000" cy="1718814"/>
            <wp:effectExtent b="0" l="0" r="0" t="0"/>
            <wp:docPr descr="Figura 4.3. Exposición municipal: DBOE, DEOE y presión 2030 (125 municipios; mezcla sectorial formal CE 2023)." title="" id="1" name="Picture"/>
            <a:graphic>
              <a:graphicData uri="http://schemas.openxmlformats.org/drawingml/2006/picture">
                <pic:pic>
                  <pic:nvPicPr>
                    <pic:cNvPr descr="C:/Users/carlo/OneDrive/Documentos/GitHub/ai-automation-risk-jalisco/figures/municipal_exposure_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4.3. Exposición municipal: DBOE, DEOE y presión 2030 (125 municipios; mezcla sectorial formal CE 2023).</w:t>
      </w:r>
    </w:p>
    <w:bookmarkEnd w:id="49"/>
    <w:bookmarkStart w:id="50" w:name="X282b8b7ac4c41c16d7707f2ef086b8cc96ceca2"/>
    <w:p>
      <w:pPr>
        <w:pStyle w:val="Heading2"/>
      </w:pPr>
      <w:r>
        <w:t xml:space="preserve">4.6 La prueba externa: exposición y uso observado</w:t>
      </w:r>
    </w:p>
    <w:p>
      <w:pPr>
        <w:pStyle w:val="FirstParagraph"/>
      </w:pPr>
      <w:r>
        <w:t xml:space="preserve">La validación decisiva de los índices no es interna sino contra</w:t>
      </w:r>
      <w:r>
        <w:t xml:space="preserve"> </w:t>
      </w:r>
      <w:r>
        <w:t xml:space="preserve">comportamiento: ¿predicen el uso efectivo de inteligencia artificial? La</w:t>
      </w:r>
      <w:r>
        <w:t xml:space="preserve"> </w:t>
      </w:r>
      <w:r>
        <w:t xml:space="preserve">variable de uso observado está inflada en ceros (52% de las ocupaciones sin</w:t>
      </w:r>
      <w:r>
        <w:t xml:space="preserve"> </w:t>
      </w:r>
      <w:r>
        <w:t xml:space="preserve">uso registrado), de modo que el contraste emplea el modelo de dos partes del</w:t>
      </w:r>
      <w:r>
        <w:t xml:space="preserve"> </w:t>
      </w:r>
      <w:r>
        <w:t xml:space="preserve">capítulo 3.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bCs/>
          <w:b/>
        </w:rPr>
        <w:t xml:space="preserve">margen extensivo</w:t>
      </w:r>
      <w:r>
        <w:t xml:space="preserve"> </w:t>
      </w:r>
      <w:r>
        <w:t xml:space="preserve">—qué ocupaciones registran uso alguno— la línea</w:t>
      </w:r>
      <w:r>
        <w:t xml:space="preserve"> </w:t>
      </w:r>
      <w:r>
        <w:t xml:space="preserve">base de Frey-Osborne alcanza un AUC de 0.66; añadir el DBOE lo eleva a 0.85</w:t>
      </w:r>
      <w:r>
        <w:t xml:space="preserve"> </w:t>
      </w:r>
      <w:r>
        <w:t xml:space="preserve">(p ≈ 10⁻⁴⁸) y añadir el DEOE lo mejora aún (0.857, p = 2×10⁻⁵) con signo</w:t>
      </w:r>
      <w:r>
        <w:t xml:space="preserve"> </w:t>
      </w:r>
      <w:r>
        <w:t xml:space="preserve">negativo: ambos ejes contribuyen, cada uno desde su polo. En el</w:t>
      </w:r>
      <w:r>
        <w:t xml:space="preserve"> </w:t>
      </w:r>
      <w:r>
        <w:rPr>
          <w:bCs/>
          <w:b/>
        </w:rPr>
        <w:t xml:space="preserve">margen</w:t>
      </w:r>
      <w:r>
        <w:rPr>
          <w:bCs/>
          <w:b/>
        </w:rPr>
        <w:t xml:space="preserve"> </w:t>
      </w:r>
      <w:r>
        <w:rPr>
          <w:bCs/>
          <w:b/>
        </w:rPr>
        <w:t xml:space="preserve">intensivo</w:t>
      </w:r>
      <w:r>
        <w:t xml:space="preserve"> </w:t>
      </w:r>
      <w:r>
        <w:t xml:space="preserve">—cuánto uso, entre las ocupaciones tocadas— domina el eje</w:t>
      </w:r>
      <w:r>
        <w:t xml:space="preserve"> </w:t>
      </w:r>
      <w:r>
        <w:t xml:space="preserve">encarnado (β = −0.76): la intensidad de uso la explica qué tan poco físico</w:t>
      </w:r>
      <w:r>
        <w:t xml:space="preserve"> </w:t>
      </w:r>
      <w:r>
        <w:t xml:space="preserve">es el trabajo, y el DBOE pierde significancia al controlarlo. Frente a los</w:t>
      </w:r>
      <w:r>
        <w:t xml:space="preserve"> </w:t>
      </w:r>
      <w:r>
        <w:t xml:space="preserve">rivales publicados, el DBOE empata con el AIOE (esperable: r = 0.96 por</w:t>
      </w:r>
      <w:r>
        <w:t xml:space="preserve"> </w:t>
      </w:r>
      <w:r>
        <w:t xml:space="preserve">construcción; su valor agregado es la dimensión temporal) y el índice de</w:t>
      </w:r>
      <w:r>
        <w:t xml:space="preserve"> </w:t>
      </w:r>
      <w:r>
        <w:t xml:space="preserve">Eloundou resulta el mejor predictor individual —un resultado que se reporta</w:t>
      </w:r>
      <w:r>
        <w:t xml:space="preserve"> </w:t>
      </w:r>
      <w:r>
        <w:t xml:space="preserve">sin atenuantes: la contribución del DBOE es la dinámica medida y la</w:t>
      </w:r>
      <w:r>
        <w:t xml:space="preserve"> </w:t>
      </w:r>
      <w:r>
        <w:t xml:space="preserve">reproducibilidad, no la supremacía predictiva.</w:t>
      </w:r>
    </w:p>
    <w:p>
      <w:pPr>
        <w:pStyle w:val="BodyText"/>
      </w:pPr>
      <w:r>
        <w:t xml:space="preserve">Resta la objeción de trasplante: el uso observado proviene mayoritariamente</w:t>
      </w:r>
      <w:r>
        <w:t xml:space="preserve"> </w:t>
      </w:r>
      <w:r>
        <w:t xml:space="preserve">de usuarios estadounidenses. La entrega por países del propio índice permite</w:t>
      </w:r>
      <w:r>
        <w:t xml:space="preserve"> </w:t>
      </w:r>
      <w:r>
        <w:t xml:space="preserve">el contraste directo: el perfil ocupacional de uso de México correlaciona</w:t>
      </w:r>
      <w:r>
        <w:t xml:space="preserve"> </w:t>
      </w:r>
      <w:r>
        <w:t xml:space="preserve">0.97 con el estadounidense (0.99 con el global) sobre el uso clasificado,</w:t>
      </w:r>
      <w:r>
        <w:t xml:space="preserve"> </w:t>
      </w:r>
      <w:r>
        <w:t xml:space="preserve">con desviaciones documentadas —México concentra aún más su uso en</w:t>
      </w:r>
      <w:r>
        <w:t xml:space="preserve"> </w:t>
      </w:r>
      <w:r>
        <w:t xml:space="preserve">ocupaciones de cómputo y educación. El objetivo estadounidense es, para el</w:t>
      </w:r>
      <w:r>
        <w:t xml:space="preserve"> </w:t>
      </w:r>
      <w:r>
        <w:t xml:space="preserve">propósito de este modelo, un patrón válido del fenómeno mexicano, y sus</w:t>
      </w:r>
      <w:r>
        <w:t xml:space="preserve"> </w:t>
      </w:r>
      <w:r>
        <w:t xml:space="preserve">brechas quedan registradas para la discusión de límites (capítulo 7).</w:t>
      </w:r>
    </w:p>
    <w:bookmarkEnd w:id="50"/>
    <w:bookmarkStart w:id="51" w:name="síntesis-del-capítulo"/>
    <w:p>
      <w:pPr>
        <w:pStyle w:val="Heading2"/>
      </w:pPr>
      <w:r>
        <w:t xml:space="preserve">4.7 Síntesis del capítulo</w:t>
      </w:r>
    </w:p>
    <w:p>
      <w:pPr>
        <w:pStyle w:val="FirstParagraph"/>
      </w:pPr>
      <w:r>
        <w:t xml:space="preserve">Cuatro hechos estructurales quedan establecidos. Existe un eje bipolar</w:t>
      </w:r>
      <w:r>
        <w:t xml:space="preserve"> </w:t>
      </w:r>
      <w:r>
        <w:t xml:space="preserve">dominante —no un riesgo único— que opone exposición cognitiva y encarnada</w:t>
      </w:r>
      <w:r>
        <w:t xml:space="preserve"> </w:t>
      </w:r>
      <w:r>
        <w:t xml:space="preserve">(H2). Ese eje recorre la jerarquía ocupacional en gradiente especular (H1) y</w:t>
      </w:r>
      <w:r>
        <w:t xml:space="preserve"> </w:t>
      </w:r>
      <w:r>
        <w:t xml:space="preserve">se traduce en perfiles sociales opuestos: la frontera cognitiva amenaza a la</w:t>
      </w:r>
      <w:r>
        <w:t xml:space="preserve"> </w:t>
      </w:r>
      <w:r>
        <w:t xml:space="preserve">minoría educada, formal y relativamente femenina; la encarnada, a la mayoría</w:t>
      </w:r>
      <w:r>
        <w:t xml:space="preserve"> </w:t>
      </w:r>
      <w:r>
        <w:t xml:space="preserve">menos escolarizada, informal y masculina. Jalisco ocupa una posición</w:t>
      </w:r>
      <w:r>
        <w:t xml:space="preserve"> </w:t>
      </w:r>
      <w:r>
        <w:t xml:space="preserve">bifrontal única: octavo estado cognitivo y vigésimo noveno encarnado del</w:t>
      </w:r>
      <w:r>
        <w:t xml:space="preserve"> </w:t>
      </w:r>
      <w:r>
        <w:t xml:space="preserve">país, con la misma polaridad reproducida entre su metrópoli y su corredor</w:t>
      </w:r>
      <w:r>
        <w:t xml:space="preserve"> </w:t>
      </w:r>
      <w:r>
        <w:t xml:space="preserve">industrial (H3 refinada). Y los índices que miden todo lo anterior predicen</w:t>
      </w:r>
      <w:r>
        <w:t xml:space="preserve"> </w:t>
      </w:r>
      <w:r>
        <w:t xml:space="preserve">el uso real de la tecnología sustancialmente mejor que la línea base que ha</w:t>
      </w:r>
      <w:r>
        <w:t xml:space="preserve"> </w:t>
      </w:r>
      <w:r>
        <w:t xml:space="preserve">dominado el debate público. Lo que ninguno de estos hechos responde es si el</w:t>
      </w:r>
      <w:r>
        <w:t xml:space="preserve"> </w:t>
      </w:r>
      <w:r>
        <w:t xml:space="preserve">mercado</w:t>
      </w:r>
      <w:r>
        <w:t xml:space="preserve"> </w:t>
      </w:r>
      <w:r>
        <w:rPr>
          <w:iCs/>
          <w:i/>
        </w:rPr>
        <w:t xml:space="preserve">actúa</w:t>
      </w:r>
      <w:r>
        <w:t xml:space="preserve"> </w:t>
      </w:r>
      <w:r>
        <w:t xml:space="preserve">sobre esa exposición: esa es la pregunta del capítulo</w:t>
      </w:r>
      <w:r>
        <w:t xml:space="preserve"> </w:t>
      </w:r>
      <w:r>
        <w:t xml:space="preserve">siguiente.</w:t>
      </w:r>
    </w:p>
    <w:bookmarkEnd w:id="51"/>
    <w:bookmarkEnd w:id="52"/>
    <w:bookmarkStart w:id="65" w:name="X937e0d097c90e652e1df2ceaaafa67c5ccc38c7"/>
    <w:p>
      <w:pPr>
        <w:pStyle w:val="Heading1"/>
      </w:pPr>
      <w:r>
        <w:t xml:space="preserve">Capítulo 5. Resultados II: ¿El mercado busca automatizar?</w:t>
      </w:r>
    </w:p>
    <w:p>
      <w:pPr>
        <w:pStyle w:val="FirstParagraph"/>
      </w:pPr>
      <w:r>
        <w:t xml:space="preserve">El capítulo anterior estableció dónde puede actuar cada frontera</w:t>
      </w:r>
      <w:r>
        <w:t xml:space="preserve"> </w:t>
      </w:r>
      <w:r>
        <w:t xml:space="preserve">tecnológica. Este capítulo responde la pregunta que distingue a esta tesis</w:t>
      </w:r>
      <w:r>
        <w:t xml:space="preserve"> </w:t>
      </w:r>
      <w:r>
        <w:t xml:space="preserve">de la literatura de exposición pura: ¿el mercado</w:t>
      </w:r>
      <w:r>
        <w:t xml:space="preserve"> </w:t>
      </w:r>
      <w:r>
        <w:rPr>
          <w:bCs/>
          <w:b/>
        </w:rPr>
        <w:t xml:space="preserve">actúa</w:t>
      </w:r>
      <w:r>
        <w:t xml:space="preserve">? La respuesta se</w:t>
      </w:r>
      <w:r>
        <w:t xml:space="preserve"> </w:t>
      </w:r>
      <w:r>
        <w:t xml:space="preserve">construye en tres tiempos: el comportamiento revelado de las últimas dos</w:t>
      </w:r>
      <w:r>
        <w:t xml:space="preserve"> </w:t>
      </w:r>
      <w:r>
        <w:t xml:space="preserve">décadas (5.1), el incentivo visible hoy en los salarios (5.2), y la</w:t>
      </w:r>
      <w:r>
        <w:t xml:space="preserve"> </w:t>
      </w:r>
      <w:r>
        <w:t xml:space="preserve">respuesta —o su ausencia— al choque de la inteligencia artificial generativa</w:t>
      </w:r>
      <w:r>
        <w:t xml:space="preserve"> </w:t>
      </w:r>
      <w:r>
        <w:t xml:space="preserve">(5.3 a 5.5). La síntesis (5.6) articula los tres tiempos en el concepto que</w:t>
      </w:r>
      <w:r>
        <w:t xml:space="preserve"> </w:t>
      </w:r>
      <w:r>
        <w:t xml:space="preserve">organiza el resto de la tesis: la ventana de política.</w:t>
      </w:r>
    </w:p>
    <w:bookmarkStart w:id="54" w:name="X69795fc8bf4c41e2d50487d9a12d5021eeed9f6"/>
    <w:p>
      <w:pPr>
        <w:pStyle w:val="Heading2"/>
      </w:pPr>
      <w:r>
        <w:t xml:space="preserve">5.1 Veinte años de comportamiento revelado (H4)</w:t>
      </w:r>
    </w:p>
    <w:p>
      <w:pPr>
        <w:pStyle w:val="FirstParagraph"/>
      </w:pPr>
      <w:r>
        <w:t xml:space="preserve">La hipótesis H4 afirma que la exposición técnica se convierte en presión</w:t>
      </w:r>
      <w:r>
        <w:t xml:space="preserve"> </w:t>
      </w:r>
      <w:r>
        <w:t xml:space="preserve">real solo donde automatizar es rentable. Su contraste no requiere esperar al</w:t>
      </w:r>
      <w:r>
        <w:t xml:space="preserve"> </w:t>
      </w:r>
      <w:r>
        <w:t xml:space="preserve">futuro: si el mecanismo opera, debió operar ya. Sobre el panel censal de</w:t>
      </w:r>
      <w:r>
        <w:t xml:space="preserve"> </w:t>
      </w:r>
      <w:r>
        <w:t xml:space="preserve">Jalisco (19 sectores × 4 transiciones, 2003–2023), el incentivo rezagado</w:t>
      </w:r>
      <w:r>
        <w:t xml:space="preserve"> </w:t>
      </w:r>
      <w:r>
        <w:t xml:space="preserve">—el IRA observado al inicio de cada transición— predice la conducta de</w:t>
      </w:r>
      <w:r>
        <w:t xml:space="preserve"> </w:t>
      </w:r>
      <w:r>
        <w:t xml:space="preserve">sustitución de los cinco años siguientes en sus dos márgenes centrales: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Profundización de capital.</w:t>
      </w:r>
      <w:r>
        <w:t xml:space="preserve"> </w:t>
      </w:r>
      <w:r>
        <w:t xml:space="preserve">Un incremento del IRA rezagado se asocia</w:t>
      </w:r>
      <w:r>
        <w:t xml:space="preserve"> </w:t>
      </w:r>
      <w:r>
        <w:t xml:space="preserve">con mayor crecimiento del capital por trabajador en la transición</w:t>
      </w:r>
      <w:r>
        <w:t xml:space="preserve"> </w:t>
      </w:r>
      <w:r>
        <w:t xml:space="preserve">siguiente (β = +0.143; p por permutación = 0.013).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Participación laboral.</w:t>
      </w:r>
      <w:r>
        <w:t xml:space="preserve"> </w:t>
      </w:r>
      <w:r>
        <w:t xml:space="preserve">Donde automatizar pagaba, la porción del valor</w:t>
      </w:r>
      <w:r>
        <w:t xml:space="preserve"> </w:t>
      </w:r>
      <w:r>
        <w:t xml:space="preserve">agregado que retiene el trabajo cayó (β = −0.040; p por permutación</w:t>
      </w:r>
      <w:r>
        <w:t xml:space="preserve"> </w:t>
      </w:r>
      <w:r>
        <w:t xml:space="preserve">= 0.004) — la firma más limpia de la sustitución.</w:t>
      </w:r>
    </w:p>
    <w:p>
      <w:pPr>
        <w:pStyle w:val="FirstParagraph"/>
      </w:pPr>
      <w:r>
        <w:t xml:space="preserve">El placebo de temporalidad inversa refuerza la lectura: el incentivo no</w:t>
      </w:r>
      <w:r>
        <w:t xml:space="preserve"> </w:t>
      </w:r>
      <w:r>
        <w:t xml:space="preserve">“</w:t>
      </w:r>
      <w:r>
        <w:t xml:space="preserve">predice</w:t>
      </w:r>
      <w:r>
        <w:t xml:space="preserve">”</w:t>
      </w:r>
      <w:r>
        <w:t xml:space="preserve"> </w:t>
      </w:r>
      <w:r>
        <w:t xml:space="preserve">la profundización del periodo anterior —el coeficiente invertido</w:t>
      </w:r>
      <w:r>
        <w:t xml:space="preserve"> </w:t>
      </w:r>
      <w:r>
        <w:t xml:space="preserve">es negativo, el signo del reflujo mecánico del acervo, no el de un confusor</w:t>
      </w:r>
      <w:r>
        <w:t xml:space="preserve"> </w:t>
      </w:r>
      <w:r>
        <w:t xml:space="preserve">persistente—. El resultado se presenta como asociación robusta consistente</w:t>
      </w:r>
      <w:r>
        <w:t xml:space="preserve"> </w:t>
      </w:r>
      <w:r>
        <w:t xml:space="preserve">con el mecanismo, no como identificación causal; con esa cautela, es el</w:t>
      </w:r>
      <w:r>
        <w:t xml:space="preserve"> </w:t>
      </w:r>
      <w:r>
        <w:t xml:space="preserve">hallazgo central del lado de la demanda.</w:t>
      </w:r>
    </w:p>
    <w:p>
      <w:pPr>
        <w:pStyle w:val="BodyText"/>
      </w:pPr>
      <w:r>
        <w:t xml:space="preserve">La forma del efecto importa tanto como su existencia. En la comparación de</w:t>
      </w:r>
      <w:r>
        <w:t xml:space="preserve"> </w:t>
      </w:r>
      <w:r>
        <w:t xml:space="preserve">cuadrantes a veinte años, los sectores simultáneamente expuestos y rentables</w:t>
      </w:r>
      <w:r>
        <w:t xml:space="preserve"> </w:t>
      </w:r>
      <w:r>
        <w:t xml:space="preserve">de automatizar crecieron en empleo apenas +0.6% anual, contra +3.7% anual de</w:t>
      </w:r>
      <w:r>
        <w:t xml:space="preserve"> </w:t>
      </w:r>
      <w:r>
        <w:t xml:space="preserve">los sectores sin exposición ni incentivo: una brecha de tres puntos</w:t>
      </w:r>
      <w:r>
        <w:t xml:space="preserve"> </w:t>
      </w:r>
      <w:r>
        <w:t xml:space="preserve">compuesta durante dos décadas. La automatización en Jalisco no ha tenido la</w:t>
      </w:r>
      <w:r>
        <w:t xml:space="preserve"> </w:t>
      </w:r>
      <w:r>
        <w:t xml:space="preserve">forma de despidos masivos sino la de las</w:t>
      </w:r>
      <w:r>
        <w:t xml:space="preserve"> </w:t>
      </w:r>
      <w:r>
        <w:rPr>
          <w:bCs/>
          <w:b/>
        </w:rPr>
        <w:t xml:space="preserve">tecnologías mediocres</w:t>
      </w:r>
      <w:r>
        <w:t xml:space="preserve"> </w:t>
      </w:r>
      <w:r>
        <w:t xml:space="preserve">del marco</w:t>
      </w:r>
      <w:r>
        <w:t xml:space="preserve"> </w:t>
      </w:r>
      <w:r>
        <w:t xml:space="preserve">teórico (§2.2): crecimiento perdido —los empleos que los sectores expuestos</w:t>
      </w:r>
      <w:r>
        <w:t xml:space="preserve"> </w:t>
      </w:r>
      <w:r>
        <w:t xml:space="preserve">dejaron de crear.</w:t>
      </w:r>
    </w:p>
    <w:p>
      <w:pPr>
        <w:pStyle w:val="CaptionedFigure"/>
      </w:pPr>
      <w:r>
        <w:drawing>
          <wp:inline>
            <wp:extent cx="5334000" cy="2051538"/>
            <wp:effectExtent b="0" l="0" r="0" t="0"/>
            <wp:docPr descr="Figura 5.1. Conducta de sustitución revelada: profundización de capital vs. incentivo rezagado, y empleo 2003–2023 vs. exposición (panel censal de Jalisco)." title="" id="1" name="Picture"/>
            <a:graphic>
              <a:graphicData uri="http://schemas.openxmlformats.org/drawingml/2006/picture">
                <pic:pic>
                  <pic:nvPicPr>
                    <pic:cNvPr descr="C:/Users/carlo/OneDrive/Documentos/GitHub/ai-automation-risk-jalisco/figures/h4_adoption_t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5.1. Conducta de sustitución revelada: profundización de capital vs. incentivo rezagado, y empleo 2003–2023 vs. exposición (panel censal de Jalisco).</w:t>
      </w:r>
    </w:p>
    <w:bookmarkEnd w:id="54"/>
    <w:bookmarkStart w:id="55" w:name="X080fea079d842804a430c5a781b13d55777c3bb"/>
    <w:p>
      <w:pPr>
        <w:pStyle w:val="Heading2"/>
      </w:pPr>
      <w:r>
        <w:t xml:space="preserve">5.2 El incentivo visible: la prima salarial de la exposición</w:t>
      </w:r>
    </w:p>
    <w:p>
      <w:pPr>
        <w:pStyle w:val="FirstParagraph"/>
      </w:pPr>
      <w:r>
        <w:t xml:space="preserve">Si el salario del trabajo expuesto es el costo que el adoptante se ahorra,</w:t>
      </w:r>
      <w:r>
        <w:t xml:space="preserve"> </w:t>
      </w:r>
      <w:r>
        <w:t xml:space="preserve">ese salario debería ser observable como prima. La ecuación de Mincer sobre</w:t>
      </w:r>
      <w:r>
        <w:t xml:space="preserve"> </w:t>
      </w:r>
      <w:r>
        <w:t xml:space="preserve">el salario por hora (N = 3,213 declarantes) lo confirma con una precisión</w:t>
      </w:r>
      <w:r>
        <w:t xml:space="preserve"> </w:t>
      </w:r>
      <w:r>
        <w:t xml:space="preserve">reveladora: condicional en escolaridad, edad, sexo y formalidad, una</w:t>
      </w:r>
      <w:r>
        <w:t xml:space="preserve"> </w:t>
      </w:r>
      <w:r>
        <w:t xml:space="preserve">desviación estándar de exposición cognitiva paga +3.7% por hora — pero la</w:t>
      </w:r>
      <w:r>
        <w:t xml:space="preserve"> </w:t>
      </w:r>
      <w:r>
        <w:t xml:space="preserve">interacción muestra que</w:t>
      </w:r>
      <w:r>
        <w:t xml:space="preserve"> </w:t>
      </w:r>
      <w:r>
        <w:rPr>
          <w:bCs/>
          <w:b/>
        </w:rPr>
        <w:t xml:space="preserve">la prima pertenece íntegramente a los trabajadores</w:t>
      </w:r>
      <w:r>
        <w:rPr>
          <w:bCs/>
          <w:b/>
        </w:rPr>
        <w:t xml:space="preserve"> </w:t>
      </w:r>
      <w:r>
        <w:rPr>
          <w:bCs/>
          <w:b/>
        </w:rPr>
        <w:t xml:space="preserve">con educación superior</w:t>
      </w:r>
      <w:r>
        <w:t xml:space="preserve"> </w:t>
      </w:r>
      <w:r>
        <w:t xml:space="preserve">(+23% por desviación estándar; p &lt; 0.01) y es nula</w:t>
      </w:r>
      <w:r>
        <w:t xml:space="preserve"> </w:t>
      </w:r>
      <w:r>
        <w:t xml:space="preserve">para el resto. El trabajo expuesto a los robots no exhibe prima alguna.</w:t>
      </w:r>
    </w:p>
    <w:p>
      <w:pPr>
        <w:pStyle w:val="BodyText"/>
      </w:pPr>
      <w:r>
        <w:t xml:space="preserve">La lectura conecta los niveles de la tesis: el incentivo de la frontera</w:t>
      </w:r>
      <w:r>
        <w:t xml:space="preserve"> </w:t>
      </w:r>
      <w:r>
        <w:t xml:space="preserve">cognitiva está concentrado exactamente donde trabaja la minoría educada del</w:t>
      </w:r>
      <w:r>
        <w:t xml:space="preserve"> </w:t>
      </w:r>
      <w:r>
        <w:t xml:space="preserve">capítulo 4 —el costo laboral que financiaría la próxima ola de sustitución</w:t>
      </w:r>
      <w:r>
        <w:t xml:space="preserve"> </w:t>
      </w:r>
      <w:r>
        <w:t xml:space="preserve">ya está en la nómina—, mientras la frontera robótica avanza sobre trabajo</w:t>
      </w:r>
      <w:r>
        <w:t xml:space="preserve"> </w:t>
      </w:r>
      <w:r>
        <w:t xml:space="preserve">que no es caro, y avanzó de todos modos donde el cociente capital-trabajo lo</w:t>
      </w:r>
      <w:r>
        <w:t xml:space="preserve"> </w:t>
      </w:r>
      <w:r>
        <w:t xml:space="preserve">hizo rentable (5.1). La advertencia de selección queda registrada: el 38.5%</w:t>
      </w:r>
      <w:r>
        <w:t xml:space="preserve"> </w:t>
      </w:r>
      <w:r>
        <w:t xml:space="preserve">de los ocupados no declara ingreso, y los resultados describen a la muestra</w:t>
      </w:r>
      <w:r>
        <w:t xml:space="preserve"> </w:t>
      </w:r>
      <w:r>
        <w:t xml:space="preserve">declarante.</w:t>
      </w:r>
    </w:p>
    <w:bookmarkEnd w:id="55"/>
    <w:bookmarkStart w:id="57" w:name="Xe83a2124d9d84a3cb4ddbcc82381d378406b971"/>
    <w:p>
      <w:pPr>
        <w:pStyle w:val="Heading2"/>
      </w:pPr>
      <w:r>
        <w:t xml:space="preserve">5.3 El choque generativo: sin respuesta del empleo —en ninguna dirección</w:t>
      </w:r>
    </w:p>
    <w:p>
      <w:pPr>
        <w:pStyle w:val="FirstParagraph"/>
      </w:pPr>
      <w:r>
        <w:t xml:space="preserve">Noviembre de 2022 —la liberación de ChatGPT— constituye la discontinuidad de</w:t>
      </w:r>
      <w:r>
        <w:t xml:space="preserve"> </w:t>
      </w:r>
      <w:r>
        <w:t xml:space="preserve">capacidad y adopción pública de los modelos de lenguaje. Si la sustitución</w:t>
      </w:r>
      <w:r>
        <w:t xml:space="preserve"> </w:t>
      </w:r>
      <w:r>
        <w:t xml:space="preserve">cognitiva operara ya sobre el empleo, los sectores expuestos deberían</w:t>
      </w:r>
      <w:r>
        <w:t xml:space="preserve"> </w:t>
      </w:r>
      <w:r>
        <w:t xml:space="preserve">frenarse respecto de su propia tendencia y de los sectores robóticos. La</w:t>
      </w:r>
      <w:r>
        <w:t xml:space="preserve"> </w:t>
      </w:r>
      <w:r>
        <w:t xml:space="preserve">estimación de diferencias en tendencias sobre el empleo formal mensual</w:t>
      </w:r>
      <w:r>
        <w:t xml:space="preserve"> </w:t>
      </w:r>
      <w:r>
        <w:t xml:space="preserve">(IMSS, 8 sectores, efectos fijos de sector y mes) arroja un coeficiente</w:t>
      </w:r>
      <w:r>
        <w:t xml:space="preserve"> </w:t>
      </w:r>
      <w:r>
        <w:t xml:space="preserve">puntual</w:t>
      </w:r>
      <w:r>
        <w:t xml:space="preserve"> </w:t>
      </w:r>
      <w:r>
        <w:rPr>
          <w:iCs/>
          <w:i/>
        </w:rPr>
        <w:t xml:space="preserve">positivo</w:t>
      </w:r>
      <w:r>
        <w:t xml:space="preserve"> </w:t>
      </w:r>
      <w:r>
        <w:t xml:space="preserve">(+3.3% relativo); la inferencia por permutación, sin</w:t>
      </w:r>
      <w:r>
        <w:t xml:space="preserve"> </w:t>
      </w:r>
      <w:r>
        <w:t xml:space="preserve">embargo, lo sitúa dentro de lo esperable por azar con ocho unidades</w:t>
      </w:r>
      <w:r>
        <w:t xml:space="preserve"> </w:t>
      </w:r>
      <w:r>
        <w:t xml:space="preserve">(p = 0.255). La conclusión honesta es un doble nulo:</w:t>
      </w:r>
      <w:r>
        <w:t xml:space="preserve"> </w:t>
      </w:r>
      <w:r>
        <w:rPr>
          <w:bCs/>
          <w:b/>
        </w:rPr>
        <w:t xml:space="preserve">dos años después del</w:t>
      </w:r>
      <w:r>
        <w:rPr>
          <w:bCs/>
          <w:b/>
        </w:rPr>
        <w:t xml:space="preserve"> </w:t>
      </w:r>
      <w:r>
        <w:rPr>
          <w:bCs/>
          <w:b/>
        </w:rPr>
        <w:t xml:space="preserve">choque, el empleo formal de los sectores expuestos no muestra respuesta</w:t>
      </w:r>
      <w:r>
        <w:rPr>
          <w:bCs/>
          <w:b/>
        </w:rPr>
        <w:t xml:space="preserve"> </w:t>
      </w:r>
      <w:r>
        <w:rPr>
          <w:bCs/>
          <w:b/>
        </w:rPr>
        <w:t xml:space="preserve">significativa en ninguna dirección.</w:t>
      </w:r>
    </w:p>
    <w:p>
      <w:pPr>
        <w:pStyle w:val="BodyText"/>
      </w:pPr>
      <w:r>
        <w:t xml:space="preserve">El resultado exige tres calificaciones que lo convierten en evidencia sobre</w:t>
      </w:r>
      <w:r>
        <w:t xml:space="preserve"> </w:t>
      </w:r>
      <w:r>
        <w:t xml:space="preserve">la</w:t>
      </w:r>
      <w:r>
        <w:t xml:space="preserve"> </w:t>
      </w:r>
      <w:r>
        <w:rPr>
          <w:iCs/>
          <w:i/>
        </w:rPr>
        <w:t xml:space="preserve">temporalidad</w:t>
      </w:r>
      <w:r>
        <w:t xml:space="preserve"> </w:t>
      </w:r>
      <w:r>
        <w:t xml:space="preserve">del fenómeno y no sobre su inexistencia. Primera: el</w:t>
      </w:r>
      <w:r>
        <w:t xml:space="preserve"> </w:t>
      </w:r>
      <w:r>
        <w:t xml:space="preserve">instrumento mide acervos de empleo a grano sectorial grueso — exactamente</w:t>
      </w:r>
      <w:r>
        <w:t xml:space="preserve"> </w:t>
      </w:r>
      <w:r>
        <w:t xml:space="preserve">los márgenes donde el modelo de tareas (§2.1) predice que el efecto temprano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aparece; la evidencia estadounidense temprana localiza los efectos en</w:t>
      </w:r>
      <w:r>
        <w:t xml:space="preserve"> </w:t>
      </w:r>
      <w:r>
        <w:t xml:space="preserve">las contrataciones de nivel de entrada dentro de las ocupaciones expuestas,</w:t>
      </w:r>
      <w:r>
        <w:t xml:space="preserve"> </w:t>
      </w:r>
      <w:r>
        <w:t xml:space="preserve">invisibles a este grano. Segunda: la ventana coincide con la ola de</w:t>
      </w:r>
      <w:r>
        <w:t xml:space="preserve"> </w:t>
      </w:r>
      <w:r>
        <w:t xml:space="preserve">inversión del nearshoring (5.5), que empuja el empleo formal al alza y</w:t>
      </w:r>
      <w:r>
        <w:t xml:space="preserve"> </w:t>
      </w:r>
      <w:r>
        <w:t xml:space="preserve">confunde el coeficiente en esa dirección. Tercera: la adopción mexicana es</w:t>
      </w:r>
      <w:r>
        <w:t xml:space="preserve"> </w:t>
      </w:r>
      <w:r>
        <w:t xml:space="preserve">temprana —0.44 veces el uso esperado— y la curva J (§2.5) predice</w:t>
      </w:r>
      <w:r>
        <w:t xml:space="preserve"> </w:t>
      </w:r>
      <w:r>
        <w:t xml:space="preserve">precisamente este intervalo.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a 5.2. Empleo formal (IMSS) alrededor del choque de IA generativa, por grupo de exposición cognitiva." title="" id="1" name="Picture"/>
            <a:graphic>
              <a:graphicData uri="http://schemas.openxmlformats.org/drawingml/2006/picture">
                <pic:pic>
                  <pic:nvPicPr>
                    <pic:cNvPr descr="C:/Users/carlo/OneDrive/Documentos/GitHub/ai-automation-risk-jalisco/figures/chatgpt_event_im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5.2. Empleo formal (IMSS) alrededor del choque de IA generativa, por grupo de exposición cognitiva.</w:t>
      </w:r>
    </w:p>
    <w:bookmarkEnd w:id="57"/>
    <w:bookmarkStart w:id="59" w:name="Xa953863a5d9dff81960e333c1d22aeab6277f88"/>
    <w:p>
      <w:pPr>
        <w:pStyle w:val="Heading2"/>
      </w:pPr>
      <w:r>
        <w:t xml:space="preserve">5.4 La objeción de la informalidad, contrastada</w:t>
      </w:r>
    </w:p>
    <w:p>
      <w:pPr>
        <w:pStyle w:val="FirstParagraph"/>
      </w:pPr>
      <w:r>
        <w:t xml:space="preserve">En una economía 55% informal, un nulo formal podría enmascarar</w:t>
      </w:r>
      <w:r>
        <w:t xml:space="preserve"> </w:t>
      </w:r>
      <w:r>
        <w:t xml:space="preserve">desplazamiento real: el trabajador desplazado reaparecería como informal,</w:t>
      </w:r>
      <w:r>
        <w:t xml:space="preserve"> </w:t>
      </w:r>
      <w:r>
        <w:t xml:space="preserve">no como desempleado. La tesis convirtió la objeción en hipótesis y la</w:t>
      </w:r>
      <w:r>
        <w:t xml:space="preserve"> </w:t>
      </w:r>
      <w:r>
        <w:t xml:space="preserve">contrastó con el panel trimestral de empleo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(ENOE, 19 sectores,</w:t>
      </w:r>
      <w:r>
        <w:t xml:space="preserve"> </w:t>
      </w:r>
      <w:r>
        <w:t xml:space="preserve">2022-T1 a 2024-T3, informalidad incluida). Ninguna de las dos firmas</w:t>
      </w:r>
      <w:r>
        <w:t xml:space="preserve"> </w:t>
      </w:r>
      <w:r>
        <w:t xml:space="preserve">esperadas aparece: el empleo total de los sectores expuestos no cayó</w:t>
      </w:r>
      <w:r>
        <w:t xml:space="preserve"> </w:t>
      </w:r>
      <w:r>
        <w:t xml:space="preserve">(coeficiente positivo, no significativo), y la</w:t>
      </w:r>
      <w:r>
        <w:t xml:space="preserve"> </w:t>
      </w:r>
      <w:r>
        <w:rPr>
          <w:bCs/>
          <w:b/>
        </w:rPr>
        <w:t xml:space="preserve">participación informal de</w:t>
      </w:r>
      <w:r>
        <w:rPr>
          <w:bCs/>
          <w:b/>
        </w:rPr>
        <w:t xml:space="preserve"> </w:t>
      </w:r>
      <w:r>
        <w:rPr>
          <w:bCs/>
          <w:b/>
        </w:rPr>
        <w:t xml:space="preserve">esos sectores no creció</w:t>
      </w:r>
      <w:r>
        <w:t xml:space="preserve"> </w:t>
      </w:r>
      <w:r>
        <w:t xml:space="preserve">tras el choque (β = −0.004; n.s.) —el ascenso de</w:t>
      </w:r>
      <w:r>
        <w:t xml:space="preserve"> </w:t>
      </w:r>
      <w:r>
        <w:t xml:space="preserve">la informalidad estatal en la ventana (46.9% a 48.0%) es generalizado, no</w:t>
      </w:r>
      <w:r>
        <w:t xml:space="preserve"> </w:t>
      </w:r>
      <w:r>
        <w:t xml:space="preserve">concentrado en la exposición. El nulo del empleo formal sobrevive, por</w:t>
      </w:r>
      <w:r>
        <w:t xml:space="preserve"> </w:t>
      </w:r>
      <w:r>
        <w:t xml:space="preserve">tanto, a la crítica clásica latinoamericana: no hay, hasta el cierre de los</w:t>
      </w:r>
      <w:r>
        <w:t xml:space="preserve"> </w:t>
      </w:r>
      <w:r>
        <w:t xml:space="preserve">datos, absorción informal del desplazamiento que enmascare el resultado.</w:t>
      </w:r>
    </w:p>
    <w:p>
      <w:pPr>
        <w:pStyle w:val="CaptionedFigure"/>
      </w:pPr>
      <w:r>
        <w:drawing>
          <wp:inline>
            <wp:extent cx="5334000" cy="2051538"/>
            <wp:effectExtent b="0" l="0" r="0" t="0"/>
            <wp:docPr descr="Figura 5.3. Empleo total e informalidad por grupo de exposición alrededor del choque (ENOE, 2022-T1 a 2024-T3)." title="" id="1" name="Picture"/>
            <a:graphic>
              <a:graphicData uri="http://schemas.openxmlformats.org/drawingml/2006/picture">
                <pic:pic>
                  <pic:nvPicPr>
                    <pic:cNvPr descr="C:/Users/carlo/OneDrive/Documentos/GitHub/ai-automation-risk-jalisco/figures/absorption_informa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5.3. Empleo total e informalidad por grupo de exposición alrededor del choque (ENOE, 2022-T1 a 2024-T3).</w:t>
      </w:r>
    </w:p>
    <w:bookmarkEnd w:id="59"/>
    <w:bookmarkStart w:id="61" w:name="el-canal-del-nearshoring"/>
    <w:p>
      <w:pPr>
        <w:pStyle w:val="Heading2"/>
      </w:pPr>
      <w:r>
        <w:t xml:space="preserve">5.5 El canal del nearshoring</w:t>
      </w:r>
    </w:p>
    <w:p>
      <w:pPr>
        <w:pStyle w:val="FirstParagraph"/>
      </w:pPr>
      <w:r>
        <w:t xml:space="preserve">La relocalización industrial completa el cuadro del lado de la inversión.</w:t>
      </w:r>
      <w:r>
        <w:t xml:space="preserve"> </w:t>
      </w:r>
      <w:r>
        <w:t xml:space="preserve">La IED de Jalisco promedió +27% en 2021–2023 frente al quinquenio</w:t>
      </w:r>
      <w:r>
        <w:t xml:space="preserve"> </w:t>
      </w:r>
      <w:r>
        <w:t xml:space="preserve">2015–2019, elevando su participación nacional de 5.5% a 6.8% — con un matiz</w:t>
      </w:r>
      <w:r>
        <w:t xml:space="preserve"> </w:t>
      </w:r>
      <w:r>
        <w:t xml:space="preserve">relevante: el componente greenfield permaneció plano, de modo que el auge es</w:t>
      </w:r>
      <w:r>
        <w:t xml:space="preserve"> </w:t>
      </w:r>
      <w:r>
        <w:t xml:space="preserve">sobre todo</w:t>
      </w:r>
      <w:r>
        <w:t xml:space="preserve"> </w:t>
      </w:r>
      <w:r>
        <w:rPr>
          <w:bCs/>
          <w:b/>
        </w:rPr>
        <w:t xml:space="preserve">reinversión de plantas establecidas</w:t>
      </w:r>
      <w:r>
        <w:t xml:space="preserve">, que automatiza por la</w:t>
      </w:r>
      <w:r>
        <w:t xml:space="preserve"> </w:t>
      </w:r>
      <w:r>
        <w:t xml:space="preserve">vía del reequipamiento. El canal cumple tres funciones en la arquitectura de</w:t>
      </w:r>
      <w:r>
        <w:t xml:space="preserve"> </w:t>
      </w:r>
      <w:r>
        <w:t xml:space="preserve">la tesis: explica parte del dinamismo del empleo formal manufacturero</w:t>
      </w:r>
      <w:r>
        <w:t xml:space="preserve"> </w:t>
      </w:r>
      <w:r>
        <w:t xml:space="preserve">posterior a 2022 (el confusor al alza de 5.3); fundamenta el escenario</w:t>
      </w:r>
      <w:r>
        <w:t xml:space="preserve"> </w:t>
      </w:r>
      <w:r>
        <w:t xml:space="preserve">acelerado de la curva robótica —el capital que llega no replica el nivel de</w:t>
      </w:r>
      <w:r>
        <w:t xml:space="preserve"> </w:t>
      </w:r>
      <w:r>
        <w:t xml:space="preserve">automatización local sino la frontera global de su corporativo—; y subraya</w:t>
      </w:r>
      <w:r>
        <w:t xml:space="preserve"> </w:t>
      </w:r>
      <w:r>
        <w:t xml:space="preserve">la paradoja de la posición bifrontal: la misma fuerza que hoy crea empleo en</w:t>
      </w:r>
      <w:r>
        <w:t xml:space="preserve"> </w:t>
      </w:r>
      <w:r>
        <w:t xml:space="preserve">el polo encarnado importa la tecnología que mañana lo presiona.</w:t>
      </w:r>
    </w:p>
    <w:p>
      <w:pPr>
        <w:pStyle w:val="BodyText"/>
      </w:pPr>
      <w:r>
        <w:t xml:space="preserve">El lado de la reinstalación (§2.2) recibe su contraste descriptivo: las</w:t>
      </w:r>
      <w:r>
        <w:t xml:space="preserve"> </w:t>
      </w:r>
      <w:r>
        <w:t xml:space="preserve">ocupaciones que históricamente ganan tareas nuevas se inclinan al polo</w:t>
      </w:r>
      <w:r>
        <w:t xml:space="preserve"> </w:t>
      </w:r>
      <w:r>
        <w:t xml:space="preserve">cognitivo, y las expuestas a robots aparecen como las más estáticas</w:t>
      </w:r>
      <w:r>
        <w:t xml:space="preserve"> </w:t>
      </w:r>
      <w:r>
        <w:t xml:space="preserve">(razón de momios 0.79; no significativo con el registro disponible). La</w:t>
      </w:r>
      <w:r>
        <w:t xml:space="preserve"> </w:t>
      </w:r>
      <w:r>
        <w:t xml:space="preserve">evidencia es débil pero direccional: la capacidad de renovación que</w:t>
      </w:r>
      <w:r>
        <w:t xml:space="preserve"> </w:t>
      </w:r>
      <w:r>
        <w:t xml:space="preserve">amortiguaría el desplazamiento parece menor precisamente en el polo donde</w:t>
      </w:r>
      <w:r>
        <w:t xml:space="preserve"> </w:t>
      </w:r>
      <w:r>
        <w:t xml:space="preserve">Jalisco está más expuesto.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a 5.4. IED de Jalisco por año y componente greenfield (Secretaría de Economía, 2006–2023)." title="" id="1" name="Picture"/>
            <a:graphic>
              <a:graphicData uri="http://schemas.openxmlformats.org/drawingml/2006/picture">
                <pic:pic>
                  <pic:nvPicPr>
                    <pic:cNvPr descr="C:/Users/carlo/OneDrive/Documentos/GitHub/ai-automation-risk-jalisco/figures/nearshoring_fd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5.4. IED de Jalisco por año y componente greenfield (Secretaría de Economía, 2006–2023).</w:t>
      </w:r>
    </w:p>
    <w:bookmarkEnd w:id="61"/>
    <w:bookmarkStart w:id="63" w:name="X677e0453d42800455c1a147b089f8b8b0cc43b2"/>
    <w:p>
      <w:pPr>
        <w:pStyle w:val="Heading2"/>
      </w:pPr>
      <w:r>
        <w:t xml:space="preserve">5.6 Percepción: el choque ya llegó a las expectativas</w:t>
      </w:r>
    </w:p>
    <w:p>
      <w:pPr>
        <w:pStyle w:val="FirstParagraph"/>
      </w:pPr>
      <w:r>
        <w:t xml:space="preserve">Mientras el empleo no registra el choque, las expectativas sí. La serie</w:t>
      </w:r>
      <w:r>
        <w:t xml:space="preserve"> </w:t>
      </w:r>
      <w:r>
        <w:t xml:space="preserve">armonizada del Latinobarómetro muestra que la proporción de mexicanos que</w:t>
      </w:r>
      <w:r>
        <w:t xml:space="preserve"> </w:t>
      </w:r>
      <w:r>
        <w:t xml:space="preserve">espera que los robots o la inteligencia artificial le quiten</w:t>
      </w:r>
      <w:r>
        <w:t xml:space="preserve"> </w:t>
      </w:r>
      <w:r>
        <w:rPr>
          <w:bCs/>
          <w:b/>
        </w:rPr>
        <w:t xml:space="preserve">su</w:t>
      </w:r>
      <w:r>
        <w:t xml:space="preserve"> </w:t>
      </w:r>
      <w:r>
        <w:t xml:space="preserve">empleo</w:t>
      </w:r>
      <w:r>
        <w:t xml:space="preserve"> </w:t>
      </w:r>
      <w:r>
        <w:t xml:space="preserve">saltó de 46.8% (2020) a</w:t>
      </w:r>
      <w:r>
        <w:t xml:space="preserve"> </w:t>
      </w:r>
      <w:r>
        <w:rPr>
          <w:bCs/>
          <w:b/>
        </w:rPr>
        <w:t xml:space="preserve">59.3% (2023)</w:t>
      </w:r>
      <w:r>
        <w:t xml:space="preserve"> </w:t>
      </w:r>
      <w:r>
        <w:t xml:space="preserve">— 12.5 puntos a través del momento</w:t>
      </w:r>
      <w:r>
        <w:t xml:space="preserve"> </w:t>
      </w:r>
      <w:r>
        <w:t xml:space="preserve">ChatGPT, tras permanecer estable entre 2018 y 2020. El marco social (</w:t>
      </w:r>
      <w:r>
        <w:t xml:space="preserve">“</w:t>
      </w:r>
      <w:r>
        <w:t xml:space="preserve">la IA</w:t>
      </w:r>
      <w:r>
        <w:t xml:space="preserve"> </w:t>
      </w:r>
      <w:r>
        <w:t xml:space="preserve">hará desaparecer la mayoría de los empleos</w:t>
      </w:r>
      <w:r>
        <w:t xml:space="preserve">”</w:t>
      </w:r>
      <w:r>
        <w:t xml:space="preserve">, 2017) supera al personal en</w:t>
      </w:r>
      <w:r>
        <w:t xml:space="preserve"> </w:t>
      </w:r>
      <w:r>
        <w:t xml:space="preserve">veinte puntos: la clásica brecha de optimismo —los empleos desaparecerán,</w:t>
      </w:r>
      <w:r>
        <w:t xml:space="preserve"> </w:t>
      </w:r>
      <w:r>
        <w:t xml:space="preserve">pero no el mío— convive ahora con una mayoría que ya teme también por el</w:t>
      </w:r>
      <w:r>
        <w:t xml:space="preserve"> </w:t>
      </w:r>
      <w:r>
        <w:t xml:space="preserve">propio. En 2023 la expectativa alcanza su máximo entre los 45 y 59 años y</w:t>
      </w:r>
      <w:r>
        <w:t xml:space="preserve"> </w:t>
      </w:r>
      <w:r>
        <w:t xml:space="preserve">varía poco por sexo o acceso a internet: el temor es transversal.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Figura 5.5. Expectativa de desplazamiento por robots/IA en México (Latinobarómetro, escalas armonizadas)." title="" id="1" name="Picture"/>
            <a:graphic>
              <a:graphicData uri="http://schemas.openxmlformats.org/drawingml/2006/picture">
                <pic:pic>
                  <pic:nvPicPr>
                    <pic:cNvPr descr="C:/Users/carlo/OneDrive/Documentos/GitHub/ai-automation-risk-jalisco/figures/perception_tren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5.5. Expectativa de desplazamiento por robots/IA en México (Latinobarómetro, escalas armonizadas).</w:t>
      </w:r>
    </w:p>
    <w:bookmarkEnd w:id="63"/>
    <w:bookmarkStart w:id="64" w:name="síntesis-la-ventana-de-política"/>
    <w:p>
      <w:pPr>
        <w:pStyle w:val="Heading2"/>
      </w:pPr>
      <w:r>
        <w:t xml:space="preserve">5.7 Síntesis: la ventana de política</w:t>
      </w:r>
    </w:p>
    <w:p>
      <w:pPr>
        <w:pStyle w:val="FirstParagraph"/>
      </w:pPr>
      <w:r>
        <w:t xml:space="preserve">Los tres tiempos del capítulo componen un solo cuadro.</w:t>
      </w:r>
      <w:r>
        <w:t xml:space="preserve"> </w:t>
      </w:r>
      <w:r>
        <w:rPr>
          <w:bCs/>
          <w:b/>
        </w:rPr>
        <w:t xml:space="preserve">El mecanismo es</w:t>
      </w:r>
      <w:r>
        <w:rPr>
          <w:bCs/>
          <w:b/>
        </w:rPr>
        <w:t xml:space="preserve"> </w:t>
      </w:r>
      <w:r>
        <w:rPr>
          <w:bCs/>
          <w:b/>
        </w:rPr>
        <w:t xml:space="preserve">real</w:t>
      </w:r>
      <w:r>
        <w:t xml:space="preserve">: durante veinte años, el mercado jalisciense sustituyó trabajo por</w:t>
      </w:r>
      <w:r>
        <w:t xml:space="preserve"> </w:t>
      </w:r>
      <w:r>
        <w:t xml:space="preserve">capital donde fue rentable, al costo de tres puntos anuales de crecimiento</w:t>
      </w:r>
      <w:r>
        <w:t xml:space="preserve"> </w:t>
      </w:r>
      <w:r>
        <w:t xml:space="preserve">del empleo en los sectores expuestos.</w:t>
      </w:r>
      <w:r>
        <w:t xml:space="preserve"> </w:t>
      </w:r>
      <w:r>
        <w:rPr>
          <w:bCs/>
          <w:b/>
        </w:rPr>
        <w:t xml:space="preserve">El incentivo de la próxima ola ya es</w:t>
      </w:r>
      <w:r>
        <w:rPr>
          <w:bCs/>
          <w:b/>
        </w:rPr>
        <w:t xml:space="preserve"> </w:t>
      </w:r>
      <w:r>
        <w:rPr>
          <w:bCs/>
          <w:b/>
        </w:rPr>
        <w:t xml:space="preserve">visible</w:t>
      </w:r>
      <w:r>
        <w:t xml:space="preserve">: la prima del trabajo cognitivo educado es exactamente la nómina</w:t>
      </w:r>
      <w:r>
        <w:t xml:space="preserve"> </w:t>
      </w:r>
      <w:r>
        <w:t xml:space="preserve">que la frontera de los modelos de lenguaje promete ahorrar.</w:t>
      </w:r>
      <w:r>
        <w:t xml:space="preserve"> </w:t>
      </w:r>
      <w:r>
        <w:rPr>
          <w:bCs/>
          <w:b/>
        </w:rPr>
        <w:t xml:space="preserve">Y el choque de</w:t>
      </w:r>
      <w:r>
        <w:rPr>
          <w:bCs/>
          <w:b/>
        </w:rPr>
        <w:t xml:space="preserve"> </w:t>
      </w:r>
      <w:r>
        <w:rPr>
          <w:bCs/>
          <w:b/>
        </w:rPr>
        <w:t xml:space="preserve">esa frontera ya ocurrió en la capacidad y en las expectativas, pero aún no</w:t>
      </w:r>
      <w:r>
        <w:rPr>
          <w:bCs/>
          <w:b/>
        </w:rPr>
        <w:t xml:space="preserve"> </w:t>
      </w:r>
      <w:r>
        <w:rPr>
          <w:bCs/>
          <w:b/>
        </w:rPr>
        <w:t xml:space="preserve">en el empleo</w:t>
      </w:r>
      <w:r>
        <w:t xml:space="preserve"> </w:t>
      </w:r>
      <w:r>
        <w:t xml:space="preserve">— ni formal ni total, ni por la puerta de la informalidad. La</w:t>
      </w:r>
      <w:r>
        <w:t xml:space="preserve"> </w:t>
      </w:r>
      <w:r>
        <w:t xml:space="preserve">teoría de la adopción (§2.5) tiene un nombre para ese intervalo entre el</w:t>
      </w:r>
      <w:r>
        <w:t xml:space="preserve"> </w:t>
      </w:r>
      <w:r>
        <w:t xml:space="preserve">choque de capacidad y el choque laboral: es una ventana — finita, medible, y</w:t>
      </w:r>
      <w:r>
        <w:t xml:space="preserve"> </w:t>
      </w:r>
      <w:r>
        <w:t xml:space="preserve">utilizable. Cuantificar lo que hay al otro lado de esa ventana es el objeto</w:t>
      </w:r>
      <w:r>
        <w:t xml:space="preserve"> </w:t>
      </w:r>
      <w:r>
        <w:t xml:space="preserve">del capítulo siguiente.</w:t>
      </w:r>
    </w:p>
    <w:bookmarkEnd w:id="64"/>
    <w:bookmarkEnd w:id="65"/>
    <w:bookmarkStart w:id="72" w:name="X2fb8d79c976c7ad6a788d0d66aae71cc5c5dc1c"/>
    <w:p>
      <w:pPr>
        <w:pStyle w:val="Heading1"/>
      </w:pPr>
      <w:r>
        <w:t xml:space="preserve">Capítulo 6. Resultados III: Proyección 2025–2030</w:t>
      </w:r>
    </w:p>
    <w:p>
      <w:pPr>
        <w:pStyle w:val="FirstParagraph"/>
      </w:pPr>
      <w:r>
        <w:t xml:space="preserve">Este capítulo cuantifica lo que hay al otro lado de la ventana de política.</w:t>
      </w:r>
      <w:r>
        <w:t xml:space="preserve"> </w:t>
      </w:r>
      <w:r>
        <w:t xml:space="preserve">Su naturaleza metodológica se declara desde el inicio: lo que sigue es</w:t>
      </w:r>
      <w:r>
        <w:t xml:space="preserve"> </w:t>
      </w:r>
      <w:r>
        <w:rPr>
          <w:bCs/>
          <w:b/>
        </w:rPr>
        <w:t xml:space="preserve">análisis de escenarios anclado en datos observados</w:t>
      </w:r>
      <w:r>
        <w:t xml:space="preserve"> </w:t>
      </w:r>
      <w:r>
        <w:t xml:space="preserve">—las dos curvas</w:t>
      </w:r>
      <w:r>
        <w:t xml:space="preserve"> </w:t>
      </w:r>
      <w:r>
        <w:t xml:space="preserve">tecnológicas medidas, la composición real del empleo y el mecanismo de</w:t>
      </w:r>
      <w:r>
        <w:t xml:space="preserve"> </w:t>
      </w:r>
      <w:r>
        <w:t xml:space="preserve">moderación económica evidenciado en el capítulo 5—, no un pronóstico</w:t>
      </w:r>
      <w:r>
        <w:t xml:space="preserve"> </w:t>
      </w:r>
      <w:r>
        <w:t xml:space="preserve">estimado: no existe el panel de automatización observada que un</w:t>
      </w:r>
      <w:r>
        <w:t xml:space="preserve"> </w:t>
      </w:r>
      <w:r>
        <w:t xml:space="preserve">pronosticador requeriría, ni para Jalisco ni para país alguno.</w:t>
      </w:r>
    </w:p>
    <w:bookmarkStart w:id="66" w:name="las-dos-curvas-y-su-asimetría"/>
    <w:p>
      <w:pPr>
        <w:pStyle w:val="Heading2"/>
      </w:pPr>
      <w:r>
        <w:t xml:space="preserve">6.1 Las dos curvas y su asimetría</w:t>
      </w:r>
    </w:p>
    <w:p>
      <w:pPr>
        <w:pStyle w:val="FirstParagraph"/>
      </w:pPr>
      <w:r>
        <w:t xml:space="preserve">Las trayectorias tecnológicas que mueven la proyección se re-basan en</w:t>
      </w:r>
      <w:r>
        <w:t xml:space="preserve"> </w:t>
      </w:r>
      <w:r>
        <w:t xml:space="preserve">2024 = 1.00, el último año observado de ambas, de modo que toda presión se</w:t>
      </w:r>
      <w:r>
        <w:t xml:space="preserve"> </w:t>
      </w:r>
      <w:r>
        <w:t xml:space="preserve">lee como crecimiento desde el presente.</w:t>
      </w:r>
    </w:p>
    <w:p>
      <w:pPr>
        <w:pStyle w:val="BodyText"/>
      </w:pPr>
      <w:r>
        <w:rPr>
          <w:bCs/>
          <w:b/>
        </w:rPr>
        <w:t xml:space="preserve">La curva cognitiva c(t)</w:t>
      </w:r>
      <w:r>
        <w:t xml:space="preserve"> </w:t>
      </w:r>
      <w:r>
        <w:t xml:space="preserve">—capacidad de la frontera de modelos de lenguaje</w:t>
      </w:r>
      <w:r>
        <w:t xml:space="preserve"> </w:t>
      </w:r>
      <w:r>
        <w:t xml:space="preserve">sobre la batería de benchmarks— creció con fuerza en el periodo observado</w:t>
      </w:r>
      <w:r>
        <w:t xml:space="preserve"> </w:t>
      </w:r>
      <w:r>
        <w:t xml:space="preserve">(el razonamiento matemático pasó de 0.00 a 0.79 entre 2022 y 2026) pero</w:t>
      </w:r>
      <w:r>
        <w:t xml:space="preserve"> </w:t>
      </w:r>
      <w:r>
        <w:t xml:space="preserve">opera sobre una escala acotada: la frontera no puede superar una batería</w:t>
      </w:r>
      <w:r>
        <w:t xml:space="preserve"> </w:t>
      </w:r>
      <w:r>
        <w:t xml:space="preserve">resuelta. Bajo el escenario base, c(t)</w:t>
      </w:r>
      <w:r>
        <w:t xml:space="preserve"> </w:t>
      </w:r>
      <w:r>
        <w:rPr>
          <w:bCs/>
          <w:b/>
        </w:rPr>
        <w:t xml:space="preserve">se satura hacia 2028</w:t>
      </w:r>
      <w:r>
        <w:t xml:space="preserve"> </w:t>
      </w:r>
      <w:r>
        <w:t xml:space="preserve">(índice</w:t>
      </w:r>
      <w:r>
        <w:t xml:space="preserve"> </w:t>
      </w:r>
      <w:r>
        <w:t xml:space="preserve">≈1.53 sobre 2024); el escenario acelerado converge al mismo techo. La</w:t>
      </w:r>
      <w:r>
        <w:t xml:space="preserve"> </w:t>
      </w:r>
      <w:r>
        <w:t xml:space="preserve">saturación es un resultado sustantivo, no un artefacto: sobre los benchmarks</w:t>
      </w:r>
      <w:r>
        <w:t xml:space="preserve"> </w:t>
      </w:r>
      <w:r>
        <w:t xml:space="preserve">actuales, a la frontera cognitiva le queda menos recorrido medible que a la</w:t>
      </w:r>
      <w:r>
        <w:t xml:space="preserve"> </w:t>
      </w:r>
      <w:r>
        <w:t xml:space="preserve">robótica.</w:t>
      </w:r>
    </w:p>
    <w:p>
      <w:pPr>
        <w:pStyle w:val="BodyText"/>
      </w:pPr>
      <w:r>
        <w:rPr>
          <w:bCs/>
          <w:b/>
        </w:rPr>
        <w:t xml:space="preserve">La curva encarnada r(t)</w:t>
      </w:r>
      <w:r>
        <w:t xml:space="preserve"> </w:t>
      </w:r>
      <w:r>
        <w:t xml:space="preserve">—acervo operativo mundial de robots— no tiene</w:t>
      </w:r>
      <w:r>
        <w:t xml:space="preserve"> </w:t>
      </w:r>
      <w:r>
        <w:t xml:space="preserve">techo próximo: compone a 10.3% anual observado (base), con escenarios</w:t>
      </w:r>
      <w:r>
        <w:t xml:space="preserve"> </w:t>
      </w:r>
      <w:r>
        <w:t xml:space="preserve">conservador (la mitad) y acelerado (una vez y media, el mundo del</w:t>
      </w:r>
      <w:r>
        <w:t xml:space="preserve"> </w:t>
      </w:r>
      <w:r>
        <w:t xml:space="preserve">nearshoring): índices de 1.35, 1.80 y 2.36 sobre 2024 hacia 2030.</w:t>
      </w:r>
    </w:p>
    <w:p>
      <w:pPr>
        <w:pStyle w:val="BodyText"/>
      </w:pPr>
      <w:r>
        <w:t xml:space="preserve">La asimetría entre ambas curvas es uno de los hallazgos organizadores del</w:t>
      </w:r>
      <w:r>
        <w:t xml:space="preserve"> </w:t>
      </w:r>
      <w:r>
        <w:t xml:space="preserve">capítulo:</w:t>
      </w:r>
      <w:r>
        <w:t xml:space="preserve"> </w:t>
      </w:r>
      <w:r>
        <w:rPr>
          <w:bCs/>
          <w:b/>
        </w:rPr>
        <w:t xml:space="preserve">hacia el final de la década, el crecimiento de la presión se</w:t>
      </w:r>
      <w:r>
        <w:rPr>
          <w:bCs/>
          <w:b/>
        </w:rPr>
        <w:t xml:space="preserve"> </w:t>
      </w:r>
      <w:r>
        <w:rPr>
          <w:bCs/>
          <w:b/>
        </w:rPr>
        <w:t xml:space="preserve">desplaza hacia el polo encarnado</w:t>
      </w:r>
      <w:r>
        <w:t xml:space="preserve"> </w:t>
      </w:r>
      <w:r>
        <w:t xml:space="preserve">— el polo donde Jalisco está más</w:t>
      </w:r>
      <w:r>
        <w:t xml:space="preserve"> </w:t>
      </w:r>
      <w:r>
        <w:t xml:space="preserve">expuesto y hacia el cual el nearshoring canaliza capital.</w:t>
      </w:r>
    </w:p>
    <w:bookmarkEnd w:id="66"/>
    <w:bookmarkStart w:id="67" w:name="la-presión-sectorial"/>
    <w:p>
      <w:pPr>
        <w:pStyle w:val="Heading2"/>
      </w:pPr>
      <w:r>
        <w:t xml:space="preserve">6.2 La presión sectorial</w:t>
      </w:r>
    </w:p>
    <w:p>
      <w:pPr>
        <w:pStyle w:val="FirstParagraph"/>
      </w:pPr>
      <w:r>
        <w:t xml:space="preserve">La presión de cada sector —posición percentil de exposición × curva</w:t>
      </w:r>
      <w:r>
        <w:t xml:space="preserve"> </w:t>
      </w:r>
      <w:r>
        <w:t xml:space="preserve">tecnológica × posición percentil del incentivo (la moderación evidenciada</w:t>
      </w:r>
      <w:r>
        <w:t xml:space="preserve"> </w:t>
      </w:r>
      <w:r>
        <w:t xml:space="preserve">por H4)— produce un ordenamiento 2030 (escenario base) que mezcla ambos</w:t>
      </w:r>
      <w:r>
        <w:t xml:space="preserve"> </w:t>
      </w:r>
      <w:r>
        <w:t xml:space="preserve">polos en los primeros lugares: servicios profesionales y técnicos (presión</w:t>
      </w:r>
      <w:r>
        <w:t xml:space="preserve"> </w:t>
      </w:r>
      <w:r>
        <w:t xml:space="preserve">total 1.79, dominada por el eje cognitivo), construcción (1.63, encarnado),</w:t>
      </w:r>
      <w:r>
        <w:t xml:space="preserve"> </w:t>
      </w:r>
      <w:r>
        <w:t xml:space="preserve">industrias manufactureras (1.61, encarnado, y el sector de mayor empleo del</w:t>
      </w:r>
      <w:r>
        <w:t xml:space="preserve"> </w:t>
      </w:r>
      <w:r>
        <w:t xml:space="preserve">estado con 627 mil trabajadores formales censales), servicios educativos y</w:t>
      </w:r>
      <w:r>
        <w:t xml:space="preserve"> </w:t>
      </w:r>
      <w:r>
        <w:t xml:space="preserve">financieros (cognitivos). La lectura de política es inmediata: los sectores</w:t>
      </w:r>
      <w:r>
        <w:t xml:space="preserve"> </w:t>
      </w:r>
      <w:r>
        <w:t xml:space="preserve">bajo mayor presión no comparten tecnología amenazante — no admiten una</w:t>
      </w:r>
      <w:r>
        <w:t xml:space="preserve"> </w:t>
      </w:r>
      <w:r>
        <w:t xml:space="preserve">política única.</w:t>
      </w:r>
    </w:p>
    <w:bookmarkEnd w:id="67"/>
    <w:bookmarkStart w:id="69" w:name="Xdca52864ea02b9727456eca757808f50eb49f3a"/>
    <w:p>
      <w:pPr>
        <w:pStyle w:val="Heading2"/>
      </w:pPr>
      <w:r>
        <w:t xml:space="preserve">6.3 Trabajadores en riesgo: las cifras cabecera</w:t>
      </w:r>
    </w:p>
    <w:p>
      <w:pPr>
        <w:pStyle w:val="FirstParagraph"/>
      </w:pPr>
      <w:r>
        <w:t xml:space="preserve">En el nivel del trabajador, la cuantificación fija la barra τ en el tercil</w:t>
      </w:r>
      <w:r>
        <w:t xml:space="preserve"> </w:t>
      </w:r>
      <w:r>
        <w:t xml:space="preserve">superior de la presión total de 2024 —1.10 millones de trabajadores (33%)</w:t>
      </w:r>
      <w:r>
        <w:t xml:space="preserve"> </w:t>
      </w:r>
      <w:r>
        <w:t xml:space="preserve">la superan hoy, por construcción— y pregunta cuántos la superarán en 2030</w:t>
      </w:r>
      <w:r>
        <w:t xml:space="preserve"> </w:t>
      </w:r>
      <w:r>
        <w:t xml:space="preserve">conforme las curvas crecen: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p>
            <w:pPr>
              <w:pStyle w:val="Compact"/>
              <w:jc w:val="left"/>
            </w:pPr>
            <w:r>
              <w:t xml:space="preserve">Trabajadores sobre la barra de hoy (2030)</w:t>
            </w:r>
          </w:p>
        </w:tc>
        <w:tc>
          <w:p>
            <w:pPr>
              <w:pStyle w:val="Compact"/>
              <w:jc w:val="left"/>
            </w:pPr>
            <w:r>
              <w:t xml:space="preserve">% del empleo</w:t>
            </w:r>
          </w:p>
        </w:tc>
        <w:tc>
          <w:p>
            <w:pPr>
              <w:pStyle w:val="Compact"/>
              <w:jc w:val="left"/>
            </w:pPr>
            <w:r>
              <w:t xml:space="preserve">Nuevos vs. hoy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Conservador</w:t>
            </w:r>
          </w:p>
        </w:tc>
        <w:tc>
          <w:p>
            <w:pPr>
              <w:pStyle w:val="Compact"/>
              <w:jc w:val="left"/>
            </w:pPr>
            <w:r>
              <w:t xml:space="preserve">1.51 millones</w:t>
            </w:r>
          </w:p>
        </w:tc>
        <w:tc>
          <w:p>
            <w:pPr>
              <w:pStyle w:val="Compact"/>
              <w:jc w:val="left"/>
            </w:pPr>
            <w:r>
              <w:t xml:space="preserve">46%</w:t>
            </w:r>
          </w:p>
        </w:tc>
        <w:tc>
          <w:p>
            <w:pPr>
              <w:pStyle w:val="Compact"/>
              <w:jc w:val="left"/>
            </w:pPr>
            <w:r>
              <w:t xml:space="preserve">+0.40 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1.88 millones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+0.78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Acelerado</w:t>
            </w:r>
          </w:p>
        </w:tc>
        <w:tc>
          <w:p>
            <w:pPr>
              <w:pStyle w:val="Compact"/>
              <w:jc w:val="left"/>
            </w:pPr>
            <w:r>
              <w:t xml:space="preserve">1.98 millones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+0.88 M</w:t>
            </w:r>
          </w:p>
        </w:tc>
      </w:tr>
    </w:tbl>
    <w:p>
      <w:pPr>
        <w:pStyle w:val="BodyText"/>
      </w:pPr>
      <w:r>
        <w:t xml:space="preserve">Dos propiedades de estas cifras importan tanto como su magnitud. La primera</w:t>
      </w:r>
      <w:r>
        <w:t xml:space="preserve"> </w:t>
      </w:r>
      <w:r>
        <w:t xml:space="preserve">es composicional:</w:t>
      </w:r>
      <w:r>
        <w:t xml:space="preserve"> </w:t>
      </w:r>
      <w:r>
        <w:rPr>
          <w:bCs/>
          <w:b/>
        </w:rPr>
        <w:t xml:space="preserve">el polo dominante cambia con el escenario</w:t>
      </w:r>
      <w:r>
        <w:t xml:space="preserve">. Bajo el</w:t>
      </w:r>
      <w:r>
        <w:t xml:space="preserve"> </w:t>
      </w:r>
      <w:r>
        <w:t xml:space="preserve">escenario base predomina el componente cognitivo (1.01 contra 0.87</w:t>
      </w:r>
      <w:r>
        <w:t xml:space="preserve"> </w:t>
      </w:r>
      <w:r>
        <w:t xml:space="preserve">millones); bajo el acelerado —el del nearshoring— la composición se invierte</w:t>
      </w:r>
      <w:r>
        <w:t xml:space="preserve"> </w:t>
      </w:r>
      <w:r>
        <w:t xml:space="preserve">y domina el encarnado (1.08 millones), porque la curva robótica compone</w:t>
      </w:r>
      <w:r>
        <w:t xml:space="preserve"> </w:t>
      </w:r>
      <w:r>
        <w:t xml:space="preserve">mientras la cognitiva se satura. La segunda es de robustez: el análisis de</w:t>
      </w:r>
      <w:r>
        <w:t xml:space="preserve"> </w:t>
      </w:r>
      <w:r>
        <w:t xml:space="preserve">sensibilidad muestra que el orden de escenarios y la dirección del</w:t>
      </w:r>
      <w:r>
        <w:t xml:space="preserve"> </w:t>
      </w:r>
      <w:r>
        <w:t xml:space="preserve">crecimiento sobreviven a cualquier elección de barra (mediana, tercil,</w:t>
      </w:r>
      <w:r>
        <w:t xml:space="preserve"> </w:t>
      </w:r>
      <w:r>
        <w:t xml:space="preserve">cuartil o decil); la cuenta absoluta depende del umbral —como toda cuenta</w:t>
      </w:r>
      <w:r>
        <w:t xml:space="preserve"> </w:t>
      </w:r>
      <w:r>
        <w:t xml:space="preserve">umbralizada— y se reporta junto a él.</w:t>
      </w:r>
    </w:p>
    <w:p>
      <w:pPr>
        <w:pStyle w:val="BodyText"/>
      </w:pPr>
      <w:r>
        <w:t xml:space="preserve">El perfil de la población en riesgo (escenario base) matiza el del capítulo</w:t>
      </w:r>
      <w:r>
        <w:t xml:space="preserve"> </w:t>
      </w:r>
      <w:r>
        <w:t xml:space="preserve">4: por efecto de la moderación económica, el riesgo</w:t>
      </w:r>
      <w:r>
        <w:t xml:space="preserve"> </w:t>
      </w:r>
      <w:r>
        <w:rPr>
          <w:iCs/>
          <w:i/>
        </w:rPr>
        <w:t xml:space="preserve">moderado por</w:t>
      </w:r>
      <w:r>
        <w:rPr>
          <w:iCs/>
          <w:i/>
        </w:rPr>
        <w:t xml:space="preserve"> </w:t>
      </w:r>
      <w:r>
        <w:rPr>
          <w:iCs/>
          <w:i/>
        </w:rPr>
        <w:t xml:space="preserve">rentabilidad</w:t>
      </w:r>
      <w:r>
        <w:t xml:space="preserve"> </w:t>
      </w:r>
      <w:r>
        <w:t xml:space="preserve">se recarga hacia el sector formal (52% de la población en</w:t>
      </w:r>
      <w:r>
        <w:t xml:space="preserve"> </w:t>
      </w:r>
      <w:r>
        <w:t xml:space="preserve">riesgo contra 45% del empleo) y hacia la escolaridad media y superior — la</w:t>
      </w:r>
      <w:r>
        <w:t xml:space="preserve"> </w:t>
      </w:r>
      <w:r>
        <w:t xml:space="preserve">presión económicamente respaldada no es un fenómeno exclusivo de la base de</w:t>
      </w:r>
      <w:r>
        <w:t xml:space="preserve"> </w:t>
      </w:r>
      <w:r>
        <w:t xml:space="preserve">la pirámide.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Figura 6.1. Trabajadores por encima de la barra de presión alta de hoy hacia 2030, por escenario y polo dominante." title="" id="1" name="Picture"/>
            <a:graphic>
              <a:graphicData uri="http://schemas.openxmlformats.org/drawingml/2006/picture">
                <pic:pic>
                  <pic:nvPicPr>
                    <pic:cNvPr descr="C:/Users/carlo/OneDrive/Documentos/GitHub/ai-automation-risk-jalisco/figures/workers_at_ris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6.1. Trabajadores por encima de la barra de presión alta de hoy hacia 2030, por escenario y polo dominante.</w:t>
      </w:r>
    </w:p>
    <w:bookmarkEnd w:id="69"/>
    <w:bookmarkStart w:id="70" w:name="el-multiplicador-de-severidad"/>
    <w:p>
      <w:pPr>
        <w:pStyle w:val="Heading2"/>
      </w:pPr>
      <w:r>
        <w:t xml:space="preserve">6.4 El multiplicador de severidad</w:t>
      </w:r>
    </w:p>
    <w:p>
      <w:pPr>
        <w:pStyle w:val="FirstParagraph"/>
      </w:pPr>
      <w:r>
        <w:t xml:space="preserve">La informalidad convierte una parte de esa población en el grupo crítico de</w:t>
      </w:r>
      <w:r>
        <w:t xml:space="preserve"> </w:t>
      </w:r>
      <w:r>
        <w:t xml:space="preserve">política.</w:t>
      </w:r>
      <w:r>
        <w:t xml:space="preserve"> </w:t>
      </w:r>
      <w:r>
        <w:rPr>
          <w:bCs/>
          <w:b/>
        </w:rPr>
        <w:t xml:space="preserve">908 mil de los trabajadores en riesgo son informales</w:t>
      </w:r>
      <w:r>
        <w:t xml:space="preserve"> </w:t>
      </w:r>
      <w:r>
        <w:t xml:space="preserve">(48% del</w:t>
      </w:r>
      <w:r>
        <w:t xml:space="preserve"> </w:t>
      </w:r>
      <w:r>
        <w:t xml:space="preserve">total en riesgo): idéntica exposición, ninguna red — sin seguridad social,</w:t>
      </w:r>
      <w:r>
        <w:t xml:space="preserve"> </w:t>
      </w:r>
      <w:r>
        <w:t xml:space="preserve">sin indemnización, sin seguro de desempleo. Dentro de ese grupo, la celda de</w:t>
      </w:r>
      <w:r>
        <w:t xml:space="preserve"> </w:t>
      </w:r>
      <w:r>
        <w:t xml:space="preserve">triple vulnerabilidad — informal, del polo robótico y con nueve años o menos</w:t>
      </w:r>
      <w:r>
        <w:t xml:space="preserve"> </w:t>
      </w:r>
      <w:r>
        <w:t xml:space="preserve">de escolaridad — suma</w:t>
      </w:r>
      <w:r>
        <w:t xml:space="preserve"> </w:t>
      </w:r>
      <w:r>
        <w:rPr>
          <w:bCs/>
          <w:b/>
        </w:rPr>
        <w:t xml:space="preserve">348 mil trabajadores</w:t>
      </w:r>
      <w:r>
        <w:t xml:space="preserve">: expuestos, desprotegidos y</w:t>
      </w:r>
      <w:r>
        <w:t xml:space="preserve"> </w:t>
      </w:r>
      <w:r>
        <w:t xml:space="preserve">los más difíciles de reconvertir. Si la política pública derivada de esta</w:t>
      </w:r>
      <w:r>
        <w:t xml:space="preserve"> </w:t>
      </w:r>
      <w:r>
        <w:t xml:space="preserve">tesis tuviera que elegir un solo destinatario, sería esa celda.</w:t>
      </w:r>
    </w:p>
    <w:bookmarkEnd w:id="70"/>
    <w:bookmarkStart w:id="71" w:name="alcance-y-uso-de-la-proyección"/>
    <w:p>
      <w:pPr>
        <w:pStyle w:val="Heading2"/>
      </w:pPr>
      <w:r>
        <w:t xml:space="preserve">6.5 Alcance y uso de la proyección</w:t>
      </w:r>
    </w:p>
    <w:p>
      <w:pPr>
        <w:pStyle w:val="FirstParagraph"/>
      </w:pPr>
      <w:r>
        <w:t xml:space="preserve">Conviene cerrar fijando qué afirma y qué no afirma este capítulo. No afirma</w:t>
      </w:r>
      <w:r>
        <w:t xml:space="preserve"> </w:t>
      </w:r>
      <w:r>
        <w:t xml:space="preserve">que 1.88 millones de empleos desaparecerán: afirma que, de sostenerse las</w:t>
      </w:r>
      <w:r>
        <w:t xml:space="preserve"> </w:t>
      </w:r>
      <w:r>
        <w:t xml:space="preserve">trayectorias tecnológicas observadas y el mecanismo de adopción evidenciado,</w:t>
      </w:r>
      <w:r>
        <w:t xml:space="preserve"> </w:t>
      </w:r>
      <w:r>
        <w:t xml:space="preserve">para 2030 esa población trabajará bajo una presión de automatización que hoy</w:t>
      </w:r>
      <w:r>
        <w:t xml:space="preserve"> </w:t>
      </w:r>
      <w:r>
        <w:t xml:space="preserve">caracteriza al tercio superior — la antesala del patrón de crecimiento</w:t>
      </w:r>
      <w:r>
        <w:t xml:space="preserve"> </w:t>
      </w:r>
      <w:r>
        <w:t xml:space="preserve">perdido que el capítulo 5 documentó para las dos décadas previas. Los</w:t>
      </w:r>
      <w:r>
        <w:t xml:space="preserve"> </w:t>
      </w:r>
      <w:r>
        <w:t xml:space="preserve">supuestos que cargan la proyección —curvas, trasplante de contenido, umbral,</w:t>
      </w:r>
      <w:r>
        <w:t xml:space="preserve"> </w:t>
      </w:r>
      <w:r>
        <w:t xml:space="preserve">moderación— están declarados, contrastados donde fue posible y acotados</w:t>
      </w:r>
      <w:r>
        <w:t xml:space="preserve"> </w:t>
      </w:r>
      <w:r>
        <w:t xml:space="preserve">donde no (capítulo 7). El uso correcto de estas cifras es el de todo</w:t>
      </w:r>
      <w:r>
        <w:t xml:space="preserve"> </w:t>
      </w:r>
      <w:r>
        <w:t xml:space="preserve">escenario: no predecir el punto de llegada, sino dimensionar la decisión que</w:t>
      </w:r>
      <w:r>
        <w:t xml:space="preserve"> </w:t>
      </w:r>
      <w:r>
        <w:t xml:space="preserve">la ventana de política permite tomar antes de llegar a él.</w:t>
      </w:r>
    </w:p>
    <w:bookmarkEnd w:id="71"/>
    <w:bookmarkEnd w:id="72"/>
    <w:bookmarkStart w:id="77" w:name="capítulo-7.-discusión"/>
    <w:p>
      <w:pPr>
        <w:pStyle w:val="Heading1"/>
      </w:pPr>
      <w:r>
        <w:t xml:space="preserve">Capítulo 7. Discusión</w:t>
      </w:r>
    </w:p>
    <w:bookmarkStart w:id="73" w:name="los-hallazgos-frente-a-la-literatura"/>
    <w:p>
      <w:pPr>
        <w:pStyle w:val="Heading2"/>
      </w:pPr>
      <w:r>
        <w:t xml:space="preserve">7.1 Los hallazgos frente a la literatura</w:t>
      </w:r>
    </w:p>
    <w:p>
      <w:pPr>
        <w:pStyle w:val="FirstParagraph"/>
      </w:pPr>
      <w:r>
        <w:rPr>
          <w:bCs/>
          <w:b/>
        </w:rPr>
        <w:t xml:space="preserve">Donde Jalisco confirma la teoría.</w:t>
      </w:r>
      <w:r>
        <w:t xml:space="preserve"> </w:t>
      </w:r>
      <w:r>
        <w:t xml:space="preserve">La estructura bipolar (H2) confirma</w:t>
      </w:r>
      <w:r>
        <w:t xml:space="preserve"> </w:t>
      </w:r>
      <w:r>
        <w:t xml:space="preserve">con índices propios y en un país en desarrollo lo que Webb (2020) observó</w:t>
      </w:r>
      <w:r>
        <w:t xml:space="preserve"> </w:t>
      </w:r>
      <w:r>
        <w:t xml:space="preserve">con patentes en Estados Unidos: las dos fronteras de la inteligencia</w:t>
      </w:r>
      <w:r>
        <w:t xml:space="preserve"> </w:t>
      </w:r>
      <w:r>
        <w:t xml:space="preserve">artificial apuntan a ocupaciones opuestas. El gradiente cognitivo (H1)</w:t>
      </w:r>
      <w:r>
        <w:t xml:space="preserve"> </w:t>
      </w:r>
      <w:r>
        <w:t xml:space="preserve">confirma la inversión de la zona segura de Frey-Osborne que toda la</w:t>
      </w:r>
      <w:r>
        <w:t xml:space="preserve"> </w:t>
      </w:r>
      <w:r>
        <w:t xml:space="preserve">literatura post-LLM ha documentado, y la añade al microdato de un mercado</w:t>
      </w:r>
      <w:r>
        <w:t xml:space="preserve"> </w:t>
      </w:r>
      <w:r>
        <w:t xml:space="preserve">laboral latinoamericano con su correlato social: el cruce educativo en</w:t>
      </w:r>
      <w:r>
        <w:t xml:space="preserve"> </w:t>
      </w:r>
      <w:r>
        <w:t xml:space="preserve">espejo. La moderación económica (H4) aporta lo que la literatura de</w:t>
      </w:r>
      <w:r>
        <w:t xml:space="preserve"> </w:t>
      </w:r>
      <w:r>
        <w:t xml:space="preserve">exposición regional no suele tener: evidencia de comportamiento revelado,</w:t>
      </w:r>
      <w:r>
        <w:t xml:space="preserve"> </w:t>
      </w:r>
      <w:r>
        <w:t xml:space="preserve">con la forma exacta —crecimiento perdido, no despidos— que el modelo de</w:t>
      </w:r>
      <w:r>
        <w:t xml:space="preserve"> </w:t>
      </w:r>
      <w:r>
        <w:t xml:space="preserve">tecnologías mediocres de Acemoglu y Restrepo predice. Y el doble nulo del</w:t>
      </w:r>
      <w:r>
        <w:t xml:space="preserve"> </w:t>
      </w:r>
      <w:r>
        <w:t xml:space="preserve">choque generativo, leído junto al salto de 12.5 puntos en las expectativas,</w:t>
      </w:r>
      <w:r>
        <w:t xml:space="preserve"> </w:t>
      </w:r>
      <w:r>
        <w:t xml:space="preserve">es un caso de libro de la curva J: el intervalo entre capacidad y efecto que</w:t>
      </w:r>
      <w:r>
        <w:t xml:space="preserve"> </w:t>
      </w:r>
      <w:r>
        <w:t xml:space="preserve">Brynjolfsson, Rock y Syverson formalizaron.</w:t>
      </w:r>
    </w:p>
    <w:p>
      <w:pPr>
        <w:pStyle w:val="BodyText"/>
      </w:pPr>
      <w:r>
        <w:rPr>
          <w:bCs/>
          <w:b/>
        </w:rPr>
        <w:t xml:space="preserve">Donde Jalisco matiza la teoría.</w:t>
      </w:r>
      <w:r>
        <w:t xml:space="preserve"> </w:t>
      </w:r>
      <w:r>
        <w:t xml:space="preserve">Dos resultados se apartan de la lectura</w:t>
      </w:r>
      <w:r>
        <w:t xml:space="preserve"> </w:t>
      </w:r>
      <w:r>
        <w:t xml:space="preserve">estándar. Primero, la posición bifrontal: la literatura tiende a clasificar</w:t>
      </w:r>
      <w:r>
        <w:t xml:space="preserve"> </w:t>
      </w:r>
      <w:r>
        <w:t xml:space="preserve">a las economías como expuestas a una u otra frontera según su nivel de</w:t>
      </w:r>
      <w:r>
        <w:t xml:space="preserve"> </w:t>
      </w:r>
      <w:r>
        <w:t xml:space="preserve">desarrollo; Jalisco muestra que una economía intermedia con estructura dual</w:t>
      </w:r>
      <w:r>
        <w:t xml:space="preserve"> </w:t>
      </w:r>
      <w:r>
        <w:t xml:space="preserve">puede estar simultáneamente entre los territorios más expuestos de su país a</w:t>
      </w:r>
      <w:r>
        <w:t xml:space="preserve"> </w:t>
      </w:r>
      <w:r>
        <w:t xml:space="preserve">los modelos de lenguaje y acumulando exposición robótica vía nearshoring. El</w:t>
      </w:r>
      <w:r>
        <w:t xml:space="preserve"> </w:t>
      </w:r>
      <w:r>
        <w:t xml:space="preserve">riesgo no es una posición en un espectro: puede ser dos posiciones a la vez.</w:t>
      </w:r>
      <w:r>
        <w:t xml:space="preserve"> </w:t>
      </w:r>
      <w:r>
        <w:t xml:space="preserve">Segundo, la informalidad: el papel de amortiguador que la literatura</w:t>
      </w:r>
      <w:r>
        <w:t xml:space="preserve"> </w:t>
      </w:r>
      <w:r>
        <w:t xml:space="preserve">latinoamericana le asigna no aparece —la participación informal de los</w:t>
      </w:r>
      <w:r>
        <w:t xml:space="preserve"> </w:t>
      </w:r>
      <w:r>
        <w:t xml:space="preserve">sectores expuestos no creció tras el choque—, al menos todavía; lo que la</w:t>
      </w:r>
      <w:r>
        <w:t xml:space="preserve"> </w:t>
      </w:r>
      <w:r>
        <w:t xml:space="preserve">informalidad sí hace, y la literatura de automatización rara vez cuantifica,</w:t>
      </w:r>
      <w:r>
        <w:t xml:space="preserve"> </w:t>
      </w:r>
      <w:r>
        <w:t xml:space="preserve">es multiplicar la severidad del riesgo al despojarlo de toda red.</w:t>
      </w:r>
    </w:p>
    <w:p>
      <w:pPr>
        <w:pStyle w:val="BodyText"/>
      </w:pPr>
      <w:r>
        <w:rPr>
          <w:bCs/>
          <w:b/>
        </w:rPr>
        <w:t xml:space="preserve">El lugar de los índices propios.</w:t>
      </w:r>
      <w:r>
        <w:t xml:space="preserve"> </w:t>
      </w:r>
      <w:r>
        <w:t xml:space="preserve">El contraste contra el uso observado</w:t>
      </w:r>
      <w:r>
        <w:t xml:space="preserve"> </w:t>
      </w:r>
      <w:r>
        <w:t xml:space="preserve">sitúa la contribución con precisión: el DBOE iguala al índice publicado del</w:t>
      </w:r>
      <w:r>
        <w:t xml:space="preserve"> </w:t>
      </w:r>
      <w:r>
        <w:t xml:space="preserve">que parte (eran esperables resultados gemelos: r = 0.96 por construcción) y</w:t>
      </w:r>
      <w:r>
        <w:t xml:space="preserve"> </w:t>
      </w:r>
      <w:r>
        <w:t xml:space="preserve">es superado como predictor individual por el índice de Eloundou. Su valor no</w:t>
      </w:r>
      <w:r>
        <w:t xml:space="preserve"> </w:t>
      </w:r>
      <w:r>
        <w:t xml:space="preserve">es la supremacía predictiva sino tres propiedades que ningún rival reúne:</w:t>
      </w:r>
      <w:r>
        <w:t xml:space="preserve"> </w:t>
      </w:r>
      <w:r>
        <w:t xml:space="preserve">dinámica medida (no opinión de expertos ni calificación de un modelo),</w:t>
      </w:r>
      <w:r>
        <w:t xml:space="preserve"> </w:t>
      </w:r>
      <w:r>
        <w:t xml:space="preserve">reproducibilidad completa, y un gemelo encarnado construido con la misma</w:t>
      </w:r>
      <w:r>
        <w:t xml:space="preserve"> </w:t>
      </w:r>
      <w:r>
        <w:t xml:space="preserve">lógica — la condición para poder hablar de dos fronteras con un solo</w:t>
      </w:r>
      <w:r>
        <w:t xml:space="preserve"> </w:t>
      </w:r>
      <w:r>
        <w:t xml:space="preserve">lenguaje metodológico.</w:t>
      </w:r>
    </w:p>
    <w:bookmarkEnd w:id="73"/>
    <w:bookmarkStart w:id="74" w:name="el-estatus-de-los-supuestos"/>
    <w:p>
      <w:pPr>
        <w:pStyle w:val="Heading2"/>
      </w:pPr>
      <w:r>
        <w:t xml:space="preserve">7.2 El estatus de los supuestos</w:t>
      </w:r>
    </w:p>
    <w:p>
      <w:pPr>
        <w:pStyle w:val="FirstParagraph"/>
      </w:pPr>
      <w:r>
        <w:t xml:space="preserve">El marco descansa sobre cuatro supuestos mantenidos; su honestidad consiste</w:t>
      </w:r>
      <w:r>
        <w:t xml:space="preserve"> </w:t>
      </w:r>
      <w:r>
        <w:t xml:space="preserve">en declararlos junto a su grado de contraste.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 contenido de tareas de O*NET se transporta a México.</w:t>
      </w:r>
      <w:r>
        <w:t xml:space="preserve"> </w:t>
      </w:r>
      <w:r>
        <w:t xml:space="preserve">Es el</w:t>
      </w:r>
      <w:r>
        <w:t xml:space="preserve"> </w:t>
      </w:r>
      <w:r>
        <w:t xml:space="preserve">supuesto estándar de toda la literatura internacional, que lo adopta sin</w:t>
      </w:r>
      <w:r>
        <w:t xml:space="preserve"> </w:t>
      </w:r>
      <w:r>
        <w:t xml:space="preserve">prueba. Esta tesis lo sometió a la única prueba disponible —el perfil</w:t>
      </w:r>
      <w:r>
        <w:t xml:space="preserve"> </w:t>
      </w:r>
      <w:r>
        <w:t xml:space="preserve">ocupacional de uso observado de IA en México contra el estadounidense— y</w:t>
      </w:r>
      <w:r>
        <w:t xml:space="preserve"> </w:t>
      </w:r>
      <w:r>
        <w:t xml:space="preserve">obtuvo r = 0.97, con desviaciones documentadas (México concentra su uso</w:t>
      </w:r>
      <w:r>
        <w:t xml:space="preserve"> </w:t>
      </w:r>
      <w:r>
        <w:t xml:space="preserve">aún más en cómputo y educación). El matiz de Lewandowski et al. (2022)</w:t>
      </w:r>
      <w:r>
        <w:t xml:space="preserve"> </w:t>
      </w:r>
      <w:r>
        <w:t xml:space="preserve">—el mismo título ocupacional es más rutinario en países de menor</w:t>
      </w:r>
      <w:r>
        <w:t xml:space="preserve"> </w:t>
      </w:r>
      <w:r>
        <w:t xml:space="preserve">ingreso— permanece como sesgo posible de segundo orden.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Los benchmarks públicos representan la frontera cognitiva.</w:t>
      </w:r>
      <w:r>
        <w:t xml:space="preserve"> </w:t>
      </w:r>
      <w:r>
        <w:t xml:space="preserve">El corte</w:t>
      </w:r>
      <w:r>
        <w:t xml:space="preserve"> </w:t>
      </w:r>
      <w:r>
        <w:t xml:space="preserve">transversal del DBOE es insensible a la elección de benchmarks</w:t>
      </w:r>
      <w:r>
        <w:t xml:space="preserve"> </w:t>
      </w:r>
      <w:r>
        <w:t xml:space="preserve">(correlación superior a 0.999 excluyendo cualquiera de ellos); la</w:t>
      </w:r>
      <w:r>
        <w:t xml:space="preserve"> </w:t>
      </w:r>
      <w:r>
        <w:t xml:space="preserve">elección importa para el</w:t>
      </w:r>
      <w:r>
        <w:t xml:space="preserve"> </w:t>
      </w:r>
      <w:r>
        <w:rPr>
          <w:bCs/>
          <w:b/>
        </w:rPr>
        <w:t xml:space="preserve">nivel</w:t>
      </w:r>
      <w:r>
        <w:t xml:space="preserve"> </w:t>
      </w:r>
      <w:r>
        <w:t xml:space="preserve">de la curva, que por ello se reporta</w:t>
      </w:r>
      <w:r>
        <w:t xml:space="preserve"> </w:t>
      </w:r>
      <w:r>
        <w:t xml:space="preserve">con su convención de construcción explícita y alimenta solo los</w:t>
      </w:r>
      <w:r>
        <w:t xml:space="preserve"> </w:t>
      </w:r>
      <w:r>
        <w:t xml:space="preserve">escenarios, no los contrastes de hipótesis.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 adopción robótica representa la frontera encarnada.</w:t>
      </w:r>
      <w:r>
        <w:t xml:space="preserve"> </w:t>
      </w:r>
      <w:r>
        <w:t xml:space="preserve">No existe en</w:t>
      </w:r>
      <w:r>
        <w:t xml:space="preserve"> </w:t>
      </w:r>
      <w:r>
        <w:t xml:space="preserve">el mundo una batería de benchmarks de capacidad robótica; el acervo</w:t>
      </w:r>
      <w:r>
        <w:t xml:space="preserve"> </w:t>
      </w:r>
      <w:r>
        <w:t xml:space="preserve">operativo es el estándar de la literatura (Acemoglu-Restrepo; Graetz y</w:t>
      </w:r>
      <w:r>
        <w:t xml:space="preserve"> </w:t>
      </w:r>
      <w:r>
        <w:t xml:space="preserve">Michaels) y la asimetría capacidad/adopción entre las dos curvas queda</w:t>
      </w:r>
      <w:r>
        <w:t xml:space="preserve"> </w:t>
      </w:r>
      <w:r>
        <w:t xml:space="preserve">declarada como límite del diseño.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 uso observado de un proveedor en una semana representa el fenómeno</w:t>
      </w:r>
      <w:r>
        <w:rPr>
          <w:bCs/>
          <w:b/>
        </w:rPr>
        <w:t xml:space="preserve"> </w:t>
      </w:r>
      <w:r>
        <w:rPr>
          <w:bCs/>
          <w:b/>
        </w:rPr>
        <w:t xml:space="preserve">de uso.</w:t>
      </w:r>
      <w:r>
        <w:t xml:space="preserve"> </w:t>
      </w:r>
      <w:r>
        <w:t xml:space="preserve">Es la limitación del objetivo de Nivel 1 y la razón de que la</w:t>
      </w:r>
      <w:r>
        <w:t xml:space="preserve"> </w:t>
      </w:r>
      <w:r>
        <w:t xml:space="preserve">tesis lo emplee como prueba externa de validez y no como medida de</w:t>
      </w:r>
      <w:r>
        <w:t xml:space="preserve"> </w:t>
      </w:r>
      <w:r>
        <w:t xml:space="preserve">verdad: se complementa con la validación de país y con la comparación</w:t>
      </w:r>
      <w:r>
        <w:t xml:space="preserve"> </w:t>
      </w:r>
      <w:r>
        <w:t xml:space="preserve">contra rivales.</w:t>
      </w:r>
    </w:p>
    <w:bookmarkEnd w:id="74"/>
    <w:bookmarkStart w:id="75" w:name="X2e2e571fae935d5cd23a59e964a379a8f645658"/>
    <w:p>
      <w:pPr>
        <w:pStyle w:val="Heading2"/>
      </w:pPr>
      <w:r>
        <w:t xml:space="preserve">7.3 Limitaciones y la frontera de datos como agenda</w:t>
      </w:r>
    </w:p>
    <w:p>
      <w:pPr>
        <w:pStyle w:val="FirstParagraph"/>
      </w:pPr>
      <w:r>
        <w:t xml:space="preserve">Las limitaciones restantes no son corregibles con esfuerzo: son la frontera</w:t>
      </w:r>
      <w:r>
        <w:t xml:space="preserve"> </w:t>
      </w:r>
      <w:r>
        <w:t xml:space="preserve">de datos del campo, y se formulan como agenda.</w:t>
      </w:r>
      <w:r>
        <w:t xml:space="preserve"> </w:t>
      </w:r>
      <w:r>
        <w:rPr>
          <w:bCs/>
          <w:b/>
        </w:rPr>
        <w:t xml:space="preserve">(i)</w:t>
      </w:r>
      <w:r>
        <w:t xml:space="preserve"> </w:t>
      </w:r>
      <w:r>
        <w:t xml:space="preserve">No existe panel</w:t>
      </w:r>
      <w:r>
        <w:t xml:space="preserve"> </w:t>
      </w:r>
      <w:r>
        <w:t xml:space="preserve">ocupacional de empleo para México; el día que el INEGI o el IMSS publiquen</w:t>
      </w:r>
      <w:r>
        <w:t xml:space="preserve"> </w:t>
      </w:r>
      <w:r>
        <w:t xml:space="preserve">empleo por ocupación detallada en el tiempo, la proyección de esta tesis se</w:t>
      </w:r>
      <w:r>
        <w:t xml:space="preserve"> </w:t>
      </w:r>
      <w:r>
        <w:t xml:space="preserve">vuelve estimable y sus escenarios, contrastables.</w:t>
      </w:r>
      <w:r>
        <w:t xml:space="preserve"> </w:t>
      </w:r>
      <w:r>
        <w:rPr>
          <w:bCs/>
          <w:b/>
        </w:rPr>
        <w:t xml:space="preserve">(ii)</w:t>
      </w:r>
      <w:r>
        <w:t xml:space="preserve"> </w:t>
      </w:r>
      <w:r>
        <w:t xml:space="preserve">No existe</w:t>
      </w:r>
      <w:r>
        <w:t xml:space="preserve"> </w:t>
      </w:r>
      <w:r>
        <w:t xml:space="preserve">encuesta mexicana de adopción de IA — la ENDUTIH no incluyó módulo de IA</w:t>
      </w:r>
      <w:r>
        <w:t xml:space="preserve"> </w:t>
      </w:r>
      <w:r>
        <w:t xml:space="preserve">hasta su levantamiento de 2024; su eventual inclusión daría la medida de</w:t>
      </w:r>
      <w:r>
        <w:t xml:space="preserve"> </w:t>
      </w:r>
      <w:r>
        <w:t xml:space="preserve">difusión que hoy solo aproxima el índice de un proveedor.</w:t>
      </w:r>
      <w:r>
        <w:t xml:space="preserve"> </w:t>
      </w:r>
      <w:r>
        <w:rPr>
          <w:bCs/>
          <w:b/>
        </w:rPr>
        <w:t xml:space="preserve">(iii)</w:t>
      </w:r>
      <w:r>
        <w:t xml:space="preserve"> </w:t>
      </w:r>
      <w:r>
        <w:t xml:space="preserve">No</w:t>
      </w:r>
      <w:r>
        <w:t xml:space="preserve"> </w:t>
      </w:r>
      <w:r>
        <w:t xml:space="preserve">existen benchmarks de capacidad robótica comparables a los de lenguaje; su</w:t>
      </w:r>
      <w:r>
        <w:t xml:space="preserve"> </w:t>
      </w:r>
      <w:r>
        <w:t xml:space="preserve">aparición permitiría simetrizar las dos curvas.</w:t>
      </w:r>
      <w:r>
        <w:t xml:space="preserve"> </w:t>
      </w:r>
      <w:r>
        <w:rPr>
          <w:bCs/>
          <w:b/>
        </w:rPr>
        <w:t xml:space="preserve">(iv)</w:t>
      </w:r>
      <w:r>
        <w:t xml:space="preserve"> </w:t>
      </w:r>
      <w:r>
        <w:t xml:space="preserve">Los registros de</w:t>
      </w:r>
      <w:r>
        <w:t xml:space="preserve"> </w:t>
      </w:r>
      <w:r>
        <w:t xml:space="preserve">vacantes (el margen donde la evidencia estadounidense localiza el efecto</w:t>
      </w:r>
      <w:r>
        <w:t xml:space="preserve"> </w:t>
      </w:r>
      <w:r>
        <w:t xml:space="preserve">temprano) son privados y de pago para México.</w:t>
      </w:r>
      <w:r>
        <w:t xml:space="preserve"> </w:t>
      </w:r>
      <w:r>
        <w:rPr>
          <w:bCs/>
          <w:b/>
        </w:rPr>
        <w:t xml:space="preserve">(v)</w:t>
      </w:r>
      <w:r>
        <w:t xml:space="preserve"> </w:t>
      </w:r>
      <w:r>
        <w:t xml:space="preserve">El reporte de país de</w:t>
      </w:r>
      <w:r>
        <w:t xml:space="preserve"> </w:t>
      </w:r>
      <w:r>
        <w:t xml:space="preserve">la IFR —densidad robótica mexicana por industria— es de pago y engrosaría el</w:t>
      </w:r>
      <w:r>
        <w:t xml:space="preserve"> </w:t>
      </w:r>
      <w:r>
        <w:t xml:space="preserve">ancla local del eje encarnado.</w:t>
      </w:r>
    </w:p>
    <w:bookmarkEnd w:id="75"/>
    <w:bookmarkStart w:id="76" w:name="Xd4412ff90fe70ed35fd26514a76ffb2b7913433"/>
    <w:p>
      <w:pPr>
        <w:pStyle w:val="Heading2"/>
      </w:pPr>
      <w:r>
        <w:t xml:space="preserve">7.4 Falsabilidad: qué movería las conclusiones</w:t>
      </w:r>
    </w:p>
    <w:p>
      <w:pPr>
        <w:pStyle w:val="FirstParagraph"/>
      </w:pPr>
      <w:r>
        <w:t xml:space="preserve">Una tesis de escenarios debe decir qué evidencia la corregiría. Tres firmas,</w:t>
      </w:r>
      <w:r>
        <w:t xml:space="preserve"> </w:t>
      </w:r>
      <w:r>
        <w:t xml:space="preserve">todas monitoreables con los instrumentos aquí construidos, lo harían.</w:t>
      </w:r>
      <w:r>
        <w:t xml:space="preserve"> </w:t>
      </w:r>
      <w:r>
        <w:rPr>
          <w:bCs/>
          <w:b/>
        </w:rPr>
        <w:t xml:space="preserve">Contra la ventana de política</w:t>
      </w:r>
      <w:r>
        <w:t xml:space="preserve">: si las series del IMSS y de la ENOE</w:t>
      </w:r>
      <w:r>
        <w:t xml:space="preserve"> </w:t>
      </w:r>
      <w:r>
        <w:t xml:space="preserve">muestran, en los próximos levantamientos, contracción significativa del</w:t>
      </w:r>
      <w:r>
        <w:t xml:space="preserve"> </w:t>
      </w:r>
      <w:r>
        <w:t xml:space="preserve">empleo —o ascenso de la participación informal— concentrada en los sectores</w:t>
      </w:r>
      <w:r>
        <w:t xml:space="preserve"> </w:t>
      </w:r>
      <w:r>
        <w:t xml:space="preserve">expuestos al polo cognitivo, la ventana se habría cerrado antes de lo que</w:t>
      </w:r>
      <w:r>
        <w:t xml:space="preserve"> </w:t>
      </w:r>
      <w:r>
        <w:t xml:space="preserve">este análisis sostiene.</w:t>
      </w:r>
      <w:r>
        <w:t xml:space="preserve"> </w:t>
      </w:r>
      <w:r>
        <w:rPr>
          <w:bCs/>
          <w:b/>
        </w:rPr>
        <w:t xml:space="preserve">Contra la moderación económica</w:t>
      </w:r>
      <w:r>
        <w:t xml:space="preserve">: si la</w:t>
      </w:r>
      <w:r>
        <w:t xml:space="preserve"> </w:t>
      </w:r>
      <w:r>
        <w:t xml:space="preserve">profundización de capital del censo de 2028 dejara de responder al IRA</w:t>
      </w:r>
      <w:r>
        <w:t xml:space="preserve"> </w:t>
      </w:r>
      <w:r>
        <w:t xml:space="preserve">rezagado, el mecanismo de H4 habría cambiado de régimen.</w:t>
      </w:r>
      <w:r>
        <w:t xml:space="preserve"> </w:t>
      </w:r>
      <w:r>
        <w:rPr>
          <w:bCs/>
          <w:b/>
        </w:rPr>
        <w:t xml:space="preserve">Contra la</w:t>
      </w:r>
      <w:r>
        <w:rPr>
          <w:bCs/>
          <w:b/>
        </w:rPr>
        <w:t xml:space="preserve"> </w:t>
      </w:r>
      <w:r>
        <w:rPr>
          <w:bCs/>
          <w:b/>
        </w:rPr>
        <w:t xml:space="preserve">asimetría de curvas</w:t>
      </w:r>
      <w:r>
        <w:t xml:space="preserve">: si una nueva generación de benchmarks reabriera</w:t>
      </w:r>
      <w:r>
        <w:t xml:space="preserve"> </w:t>
      </w:r>
      <w:r>
        <w:t xml:space="preserve">recorrido medible a la frontera cognitiva, la composición de polos de la</w:t>
      </w:r>
      <w:r>
        <w:t xml:space="preserve"> </w:t>
      </w:r>
      <w:r>
        <w:t xml:space="preserve">proyección debería recalcularse — el aparato lo permite por construcción.</w:t>
      </w:r>
      <w:r>
        <w:t xml:space="preserve"> </w:t>
      </w:r>
      <w:r>
        <w:t xml:space="preserve">Esta tesis preferiría ser corregida por sus propios instrumentos antes que</w:t>
      </w:r>
      <w:r>
        <w:t xml:space="preserve"> </w:t>
      </w:r>
      <w:r>
        <w:t xml:space="preserve">defendida sin ellos.</w:t>
      </w:r>
    </w:p>
    <w:bookmarkEnd w:id="76"/>
    <w:bookmarkEnd w:id="77"/>
    <w:bookmarkStart w:id="82" w:name="Xe30cac1fe2f3acb2d3119c76dc5881e3ebb42a6"/>
    <w:p>
      <w:pPr>
        <w:pStyle w:val="Heading1"/>
      </w:pPr>
      <w:r>
        <w:t xml:space="preserve">Capítulo 8. Conclusiones y política pública</w:t>
      </w:r>
    </w:p>
    <w:bookmarkStart w:id="78" w:name="respuestas"/>
    <w:p>
      <w:pPr>
        <w:pStyle w:val="Heading2"/>
      </w:pPr>
      <w:r>
        <w:t xml:space="preserve">8.1 Respuestas</w:t>
      </w:r>
    </w:p>
    <w:p>
      <w:pPr>
        <w:pStyle w:val="FirstParagraph"/>
      </w:pPr>
      <w:r>
        <w:rPr>
          <w:bCs/>
          <w:b/>
        </w:rPr>
        <w:t xml:space="preserve">A la pregunta de investigación.</w:t>
      </w:r>
      <w:r>
        <w:t xml:space="preserve"> </w:t>
      </w:r>
      <w:r>
        <w:t xml:space="preserve">El riesgo de automatización por</w:t>
      </w:r>
      <w:r>
        <w:t xml:space="preserve"> </w:t>
      </w:r>
      <w:r>
        <w:t xml:space="preserve">inteligencia artificial en Jalisco se distribuye a lo largo de un eje</w:t>
      </w:r>
      <w:r>
        <w:t xml:space="preserve"> </w:t>
      </w:r>
      <w:r>
        <w:t xml:space="preserve">bipolar — no es un riesgo sino dos, opuestos y simultáneos. La frontera</w:t>
      </w:r>
      <w:r>
        <w:t xml:space="preserve"> </w:t>
      </w:r>
      <w:r>
        <w:t xml:space="preserve">cognitiva presiona al trabajo educado, formal y metropolitano; la encarnada,</w:t>
      </w:r>
      <w:r>
        <w:t xml:space="preserve"> </w:t>
      </w:r>
      <w:r>
        <w:t xml:space="preserve">al trabajo menos escolarizado, informal y del corredor industrial y</w:t>
      </w:r>
      <w:r>
        <w:t xml:space="preserve"> </w:t>
      </w:r>
      <w:r>
        <w:t xml:space="preserve">agroalimentario. Qué frontera domina en cada lugar lo determinan tres</w:t>
      </w:r>
      <w:r>
        <w:t xml:space="preserve"> </w:t>
      </w:r>
      <w:r>
        <w:t xml:space="preserve">factores medibles: el contenido de tareas de la ocupación, la composición</w:t>
      </w:r>
      <w:r>
        <w:t xml:space="preserve"> </w:t>
      </w:r>
      <w:r>
        <w:t xml:space="preserve">del empleo del sector o territorio, y el incentivo económico que decide si</w:t>
      </w:r>
      <w:r>
        <w:t xml:space="preserve"> </w:t>
      </w:r>
      <w:r>
        <w:t xml:space="preserve">la exposición se convierte en sustitución.</w:t>
      </w:r>
    </w:p>
    <w:p>
      <w:pPr>
        <w:pStyle w:val="BodyText"/>
      </w:pPr>
      <w:r>
        <w:rPr>
          <w:bCs/>
          <w:b/>
        </w:rPr>
        <w:t xml:space="preserve">A las hipótesis.</w:t>
      </w:r>
      <w:r>
        <w:t xml:space="preserve"> </w:t>
      </w:r>
      <w:r>
        <w:t xml:space="preserve">H1 se confirma: la exposición cognitiva recorre la</w:t>
      </w:r>
      <w:r>
        <w:t xml:space="preserve"> </w:t>
      </w:r>
      <w:r>
        <w:t xml:space="preserve">jerarquía ocupacional en sentido inverso al riesgo clásico, de +0.89 en el</w:t>
      </w:r>
      <w:r>
        <w:t xml:space="preserve"> </w:t>
      </w:r>
      <w:r>
        <w:t xml:space="preserve">trabajo directivo a −1.3 en el agropecuario, con su espejo encarnado exacto.</w:t>
      </w:r>
      <w:r>
        <w:t xml:space="preserve"> </w:t>
      </w:r>
      <w:r>
        <w:t xml:space="preserve">H2 se confirma: las dos exposiciones forman una dimensión bipolar dominante</w:t>
      </w:r>
      <w:r>
        <w:t xml:space="preserve"> </w:t>
      </w:r>
      <w:r>
        <w:t xml:space="preserve">(57% de la varianza; φ = −0.67), visible desde las ocupaciones hasta la</w:t>
      </w:r>
      <w:r>
        <w:t xml:space="preserve"> </w:t>
      </w:r>
      <w:r>
        <w:t xml:space="preserve">recta que alinean los 32 estados del país. H3 se confirma y se refina:</w:t>
      </w:r>
      <w:r>
        <w:t xml:space="preserve"> </w:t>
      </w:r>
      <w:r>
        <w:t xml:space="preserve">Jalisco está por debajo del promedio ocupacional en exposición cognitiva y</w:t>
      </w:r>
      <w:r>
        <w:t xml:space="preserve"> </w:t>
      </w:r>
      <w:r>
        <w:t xml:space="preserve">por encima en la encarnada, pero dentro de México es un estado</w:t>
      </w:r>
      <w:r>
        <w:t xml:space="preserve"> </w:t>
      </w:r>
      <w:r>
        <w:rPr>
          <w:bCs/>
          <w:b/>
        </w:rPr>
        <w:t xml:space="preserve">bifrontal</w:t>
      </w:r>
      <w:r>
        <w:t xml:space="preserve"> </w:t>
      </w:r>
      <w:r>
        <w:t xml:space="preserve">— octavo en la primera, vigésimo noveno en la segunda. H4 se confirma con</w:t>
      </w:r>
      <w:r>
        <w:t xml:space="preserve"> </w:t>
      </w:r>
      <w:r>
        <w:t xml:space="preserve">veinte años de comportamiento revelado: donde automatizar fue rentable, el</w:t>
      </w:r>
      <w:r>
        <w:t xml:space="preserve"> </w:t>
      </w:r>
      <w:r>
        <w:t xml:space="preserve">mercado profundizó capital, redujo la participación laboral y dejó de crear</w:t>
      </w:r>
      <w:r>
        <w:t xml:space="preserve"> </w:t>
      </w:r>
      <w:r>
        <w:t xml:space="preserve">empleos — tres puntos porcentuales anuales de crecimiento perdido frente a</w:t>
      </w:r>
      <w:r>
        <w:t xml:space="preserve"> </w:t>
      </w:r>
      <w:r>
        <w:t xml:space="preserve">los sectores sin exposición ni incentivo.</w:t>
      </w:r>
    </w:p>
    <w:p>
      <w:pPr>
        <w:pStyle w:val="BodyText"/>
      </w:pPr>
      <w:r>
        <w:rPr>
          <w:bCs/>
          <w:b/>
        </w:rPr>
        <w:t xml:space="preserve">Sobre el presente.</w:t>
      </w:r>
      <w:r>
        <w:t xml:space="preserve"> </w:t>
      </w:r>
      <w:r>
        <w:t xml:space="preserve">El choque de capacidad de la frontera cognitiva ya</w:t>
      </w:r>
      <w:r>
        <w:t xml:space="preserve"> </w:t>
      </w:r>
      <w:r>
        <w:t xml:space="preserve">ocurrió y las expectativas de los trabajadores ya lo registraron (+12.5</w:t>
      </w:r>
      <w:r>
        <w:t xml:space="preserve"> </w:t>
      </w:r>
      <w:r>
        <w:t xml:space="preserve">puntos en tres años). El empleo, aún no: ni el formal, ni el total, ni por</w:t>
      </w:r>
      <w:r>
        <w:t xml:space="preserve"> </w:t>
      </w:r>
      <w:r>
        <w:t xml:space="preserve">la puerta de la informalidad. Ese intervalo — la ventana de política — es el</w:t>
      </w:r>
      <w:r>
        <w:t xml:space="preserve"> </w:t>
      </w:r>
      <w:r>
        <w:t xml:space="preserve">recurso más valioso que esta tesis documenta, porque es el único que se</w:t>
      </w:r>
      <w:r>
        <w:t xml:space="preserve"> </w:t>
      </w:r>
      <w:r>
        <w:t xml:space="preserve">agota solo.</w:t>
      </w:r>
    </w:p>
    <w:bookmarkEnd w:id="78"/>
    <w:bookmarkStart w:id="79" w:name="política-pública-dos-polos-dos-políticas"/>
    <w:p>
      <w:pPr>
        <w:pStyle w:val="Heading2"/>
      </w:pPr>
      <w:r>
        <w:t xml:space="preserve">8.2 Política pública: dos polos, dos políticas</w:t>
      </w:r>
    </w:p>
    <w:p>
      <w:pPr>
        <w:pStyle w:val="FirstParagraph"/>
      </w:pPr>
      <w:r>
        <w:t xml:space="preserve">La consecuencia central del hallazgo bipolar es que</w:t>
      </w:r>
      <w:r>
        <w:t xml:space="preserve"> </w:t>
      </w:r>
      <w:r>
        <w:rPr>
          <w:bCs/>
          <w:b/>
        </w:rPr>
        <w:t xml:space="preserve">no existe una política</w:t>
      </w:r>
      <w:r>
        <w:rPr>
          <w:bCs/>
          <w:b/>
        </w:rPr>
        <w:t xml:space="preserve"> </w:t>
      </w:r>
      <w:r>
        <w:rPr>
          <w:bCs/>
          <w:b/>
        </w:rPr>
        <w:t xml:space="preserve">de automatización</w:t>
      </w:r>
      <w:r>
        <w:t xml:space="preserve">: existen dos, con destinatarios, instrumentos y relojes</w:t>
      </w:r>
      <w:r>
        <w:t xml:space="preserve"> </w:t>
      </w:r>
      <w:r>
        <w:t xml:space="preserve">distintos.</w:t>
      </w:r>
    </w:p>
    <w:p>
      <w:pPr>
        <w:pStyle w:val="BodyText"/>
      </w:pPr>
      <w:r>
        <w:rPr>
          <w:bCs/>
          <w:b/>
        </w:rPr>
        <w:t xml:space="preserve">Para el polo cognitivo</w:t>
      </w:r>
      <w:r>
        <w:t xml:space="preserve"> </w:t>
      </w:r>
      <w:r>
        <w:t xml:space="preserve">— la minoría educada y formal (~0.9 millones), la</w:t>
      </w:r>
      <w:r>
        <w:t xml:space="preserve"> </w:t>
      </w:r>
      <w:r>
        <w:t xml:space="preserve">prima salarial del +23% que constituye el incentivo del adoptante, el</w:t>
      </w:r>
      <w:r>
        <w:t xml:space="preserve"> </w:t>
      </w:r>
      <w:r>
        <w:t xml:space="preserve">empleo metropolitano de servicios: la política es de</w:t>
      </w:r>
      <w:r>
        <w:t xml:space="preserve"> </w:t>
      </w:r>
      <w:r>
        <w:rPr>
          <w:bCs/>
          <w:b/>
        </w:rPr>
        <w:t xml:space="preserve">transición de</w:t>
      </w:r>
      <w:r>
        <w:rPr>
          <w:bCs/>
          <w:b/>
        </w:rPr>
        <w:t xml:space="preserve"> </w:t>
      </w:r>
      <w:r>
        <w:rPr>
          <w:bCs/>
          <w:b/>
        </w:rPr>
        <w:t xml:space="preserve">tareas</w:t>
      </w:r>
      <w:r>
        <w:t xml:space="preserve">, no de rescate. Integración temprana de herramientas de IA en las</w:t>
      </w:r>
      <w:r>
        <w:t xml:space="preserve"> </w:t>
      </w:r>
      <w:r>
        <w:t xml:space="preserve">ocupaciones expuestas (la evidencia de uso muestra complementariedad antes</w:t>
      </w:r>
      <w:r>
        <w:t xml:space="preserve"> </w:t>
      </w:r>
      <w:r>
        <w:t xml:space="preserve">que sustitución), recomposición de los programas de educación superior hacia</w:t>
      </w:r>
      <w:r>
        <w:t xml:space="preserve"> </w:t>
      </w:r>
      <w:r>
        <w:t xml:space="preserve">las tareas donde el juicio humano conserva ventaja, y observación fina de</w:t>
      </w:r>
      <w:r>
        <w:t xml:space="preserve"> </w:t>
      </w:r>
      <w:r>
        <w:t xml:space="preserve">los márgenes donde el efecto llegará primero: contratación de nivel de</w:t>
      </w:r>
      <w:r>
        <w:t xml:space="preserve"> </w:t>
      </w:r>
      <w:r>
        <w:t xml:space="preserve">entrada y composición de vacantes.</w:t>
      </w:r>
    </w:p>
    <w:p>
      <w:pPr>
        <w:pStyle w:val="BodyText"/>
      </w:pPr>
      <w:r>
        <w:rPr>
          <w:bCs/>
          <w:b/>
        </w:rPr>
        <w:t xml:space="preserve">Para el polo encarnado</w:t>
      </w:r>
      <w:r>
        <w:t xml:space="preserve"> </w:t>
      </w:r>
      <w:r>
        <w:t xml:space="preserve">— la mayoría menos escolarizada (~2.5 millones),</w:t>
      </w:r>
      <w:r>
        <w:t xml:space="preserve"> </w:t>
      </w:r>
      <w:r>
        <w:t xml:space="preserve">el corredor industrial que el nearshoring expande, el agro: la política es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reconversión y protección</w:t>
      </w:r>
      <w:r>
        <w:t xml:space="preserve">, y su urgencia crece con la década porque</w:t>
      </w:r>
      <w:r>
        <w:t xml:space="preserve"> </w:t>
      </w:r>
      <w:r>
        <w:t xml:space="preserve">la curva robótica compone mientras la cognitiva se satura. Reconversión</w:t>
      </w:r>
      <w:r>
        <w:t xml:space="preserve"> </w:t>
      </w:r>
      <w:r>
        <w:t xml:space="preserve">técnica orientada a la operación, mantenimiento e integración de la</w:t>
      </w:r>
      <w:r>
        <w:t xml:space="preserve"> </w:t>
      </w:r>
      <w:r>
        <w:t xml:space="preserve">automatización que el capital entrante trae consigo —los empleos</w:t>
      </w:r>
      <w:r>
        <w:t xml:space="preserve"> </w:t>
      </w:r>
      <w:r>
        <w:t xml:space="preserve">complementarios del robot—, y condicionalidad inteligente sobre los</w:t>
      </w:r>
      <w:r>
        <w:t xml:space="preserve"> </w:t>
      </w:r>
      <w:r>
        <w:t xml:space="preserve">incentivos al nearshoring: la misma inversión que hoy crea empleo importa la</w:t>
      </w:r>
      <w:r>
        <w:t xml:space="preserve"> </w:t>
      </w:r>
      <w:r>
        <w:t xml:space="preserve">tecnología que mañana lo presiona, y el estado puede negociar contenido de</w:t>
      </w:r>
      <w:r>
        <w:t xml:space="preserve"> </w:t>
      </w:r>
      <w:r>
        <w:t xml:space="preserve">empleo y formación mientras la inversión llega.</w:t>
      </w:r>
    </w:p>
    <w:p>
      <w:pPr>
        <w:pStyle w:val="BodyText"/>
      </w:pPr>
      <w:r>
        <w:rPr>
          <w:bCs/>
          <w:b/>
        </w:rPr>
        <w:t xml:space="preserve">Para la celda crítica</w:t>
      </w:r>
      <w:r>
        <w:t xml:space="preserve"> </w:t>
      </w:r>
      <w:r>
        <w:t xml:space="preserve">— los 348 mil trabajadores informales, del polo</w:t>
      </w:r>
      <w:r>
        <w:t xml:space="preserve"> </w:t>
      </w:r>
      <w:r>
        <w:t xml:space="preserve">robótico y con nueve años o menos de escolaridad: ninguna de las dos</w:t>
      </w:r>
      <w:r>
        <w:t xml:space="preserve"> </w:t>
      </w:r>
      <w:r>
        <w:t xml:space="preserve">políticas anteriores los alcanza, porque la reconversión supone base</w:t>
      </w:r>
      <w:r>
        <w:t xml:space="preserve"> </w:t>
      </w:r>
      <w:r>
        <w:t xml:space="preserve">educativa y la protección supone formalidad. Para ellos el orden es inverso:</w:t>
      </w:r>
      <w:r>
        <w:t xml:space="preserve"> </w:t>
      </w:r>
      <w:r>
        <w:t xml:space="preserve">primero la red —formalización y acceso a seguridad social—, después la</w:t>
      </w:r>
      <w:r>
        <w:t xml:space="preserve"> </w:t>
      </w:r>
      <w:r>
        <w:t xml:space="preserve">reconversión. Son el destinatario prioritario porque concentran las tres</w:t>
      </w:r>
      <w:r>
        <w:t xml:space="preserve"> </w:t>
      </w:r>
      <w:r>
        <w:t xml:space="preserve">vulnerabilidades y porque ningún instrumento existente los cubre.</w:t>
      </w:r>
    </w:p>
    <w:p>
      <w:pPr>
        <w:pStyle w:val="BodyText"/>
      </w:pPr>
      <w:r>
        <w:rPr>
          <w:bCs/>
          <w:b/>
        </w:rPr>
        <w:t xml:space="preserve">El instrumento transversal: monitorear la ventana.</w:t>
      </w:r>
      <w:r>
        <w:t xml:space="preserve"> </w:t>
      </w:r>
      <w:r>
        <w:t xml:space="preserve">Todos los indicadores</w:t>
      </w:r>
      <w:r>
        <w:t xml:space="preserve"> </w:t>
      </w:r>
      <w:r>
        <w:t xml:space="preserve">de esta tesis son reutilizables a costo marginal: la presión sectorial y las</w:t>
      </w:r>
      <w:r>
        <w:t xml:space="preserve"> </w:t>
      </w:r>
      <w:r>
        <w:t xml:space="preserve">curvas se actualizan con cada publicación de benchmarks y de la IFR; los</w:t>
      </w:r>
      <w:r>
        <w:t xml:space="preserve"> </w:t>
      </w:r>
      <w:r>
        <w:t xml:space="preserve">contrastes de empleo y absorción, con cada trimestre de la ENOE y cada mes</w:t>
      </w:r>
      <w:r>
        <w:t xml:space="preserve"> </w:t>
      </w:r>
      <w:r>
        <w:t xml:space="preserve">del IMSS; la percepción, con cada oleada del Latinobarómetro. Un tablero</w:t>
      </w:r>
      <w:r>
        <w:t xml:space="preserve"> </w:t>
      </w:r>
      <w:r>
        <w:t xml:space="preserve">público con esas series —el costo es de integración, no de generación—</w:t>
      </w:r>
      <w:r>
        <w:t xml:space="preserve"> </w:t>
      </w:r>
      <w:r>
        <w:t xml:space="preserve">convertiría la ventana de política en un objeto observado en lugar de una</w:t>
      </w:r>
      <w:r>
        <w:t xml:space="preserve"> </w:t>
      </w:r>
      <w:r>
        <w:t xml:space="preserve">conjetura, y daría a la entidad la capacidad de detectar el cierre de la</w:t>
      </w:r>
      <w:r>
        <w:t xml:space="preserve"> </w:t>
      </w:r>
      <w:r>
        <w:t xml:space="preserve">ventana en el trimestre en que empiece, no en el sexenio en que se vuelva</w:t>
      </w:r>
      <w:r>
        <w:t xml:space="preserve"> </w:t>
      </w:r>
      <w:r>
        <w:t xml:space="preserve">evidente.</w:t>
      </w:r>
    </w:p>
    <w:bookmarkEnd w:id="79"/>
    <w:bookmarkStart w:id="80" w:name="agenda-de-investigación"/>
    <w:p>
      <w:pPr>
        <w:pStyle w:val="Heading2"/>
      </w:pPr>
      <w:r>
        <w:t xml:space="preserve">8.3 Agenda de investigación</w:t>
      </w:r>
    </w:p>
    <w:p>
      <w:pPr>
        <w:pStyle w:val="FirstParagraph"/>
      </w:pPr>
      <w:r>
        <w:t xml:space="preserve">La frontera de datos del capítulo 7 es, leída en positivo, la agenda: el</w:t>
      </w:r>
      <w:r>
        <w:t xml:space="preserve"> </w:t>
      </w:r>
      <w:r>
        <w:t xml:space="preserve">panel ocupacional de empleo que volvería estimable lo que hoy es escenario;</w:t>
      </w:r>
      <w:r>
        <w:t xml:space="preserve"> </w:t>
      </w:r>
      <w:r>
        <w:t xml:space="preserve">el módulo de adopción de IA en la ENDUTIH que mediría la difusión real; los</w:t>
      </w:r>
      <w:r>
        <w:t xml:space="preserve"> </w:t>
      </w:r>
      <w:r>
        <w:t xml:space="preserve">benchmarks de capacidad robótica que simetrizarían las dos curvas; los</w:t>
      </w:r>
      <w:r>
        <w:t xml:space="preserve"> </w:t>
      </w:r>
      <w:r>
        <w:t xml:space="preserve">registros de vacantes que captarían el efecto en su margen más temprano. A</w:t>
      </w:r>
      <w:r>
        <w:t xml:space="preserve"> </w:t>
      </w:r>
      <w:r>
        <w:t xml:space="preserve">ella se añade la extensión natural del diseño: replicar la cadena completa</w:t>
      </w:r>
      <w:r>
        <w:t xml:space="preserve"> </w:t>
      </w:r>
      <w:r>
        <w:t xml:space="preserve">—que esta tesis deja construida y documentada de extremo a extremo— en las</w:t>
      </w:r>
      <w:r>
        <w:t xml:space="preserve"> </w:t>
      </w:r>
      <w:r>
        <w:t xml:space="preserve">otras 31 entidades, para las cuales el contraste nacional del capítulo 4 ya</w:t>
      </w:r>
      <w:r>
        <w:t xml:space="preserve"> </w:t>
      </w:r>
      <w:r>
        <w:t xml:space="preserve">calculó el punto de partida.</w:t>
      </w:r>
    </w:p>
    <w:bookmarkEnd w:id="80"/>
    <w:bookmarkStart w:id="81" w:name="cierre"/>
    <w:p>
      <w:pPr>
        <w:pStyle w:val="Heading2"/>
      </w:pPr>
      <w:r>
        <w:t xml:space="preserve">8.4 Cierre</w:t>
      </w:r>
    </w:p>
    <w:p>
      <w:pPr>
        <w:pStyle w:val="FirstParagraph"/>
      </w:pPr>
      <w:r>
        <w:t xml:space="preserve">Esta tesis comenzó con una pregunta mal planteada que el debate público</w:t>
      </w:r>
      <w:r>
        <w:t xml:space="preserve"> </w:t>
      </w:r>
      <w:r>
        <w:t xml:space="preserve">repite —¿cuántos empleos destruirá la IA?— y terminó respondiendo tres</w:t>
      </w:r>
      <w:r>
        <w:t xml:space="preserve"> </w:t>
      </w:r>
      <w:r>
        <w:t xml:space="preserve">mejores: dónde puede actuar cada frontera, dónde le es rentable actuar, y</w:t>
      </w:r>
      <w:r>
        <w:t xml:space="preserve"> </w:t>
      </w:r>
      <w:r>
        <w:t xml:space="preserve">cuánto tiempo queda antes de que actúe. Las respuestas caben en una frase:</w:t>
      </w:r>
      <w:r>
        <w:t xml:space="preserve"> </w:t>
      </w:r>
      <w:r>
        <w:t xml:space="preserve">en Jalisco, la inteligencia artificial amenaza dos veces — a su minoría</w:t>
      </w:r>
      <w:r>
        <w:t xml:space="preserve"> </w:t>
      </w:r>
      <w:r>
        <w:t xml:space="preserve">educada por el lado del lenguaje y a su mayoría trabajadora por el lado de</w:t>
      </w:r>
      <w:r>
        <w:t xml:space="preserve"> </w:t>
      </w:r>
      <w:r>
        <w:t xml:space="preserve">las máquinas —, el mercado ha demostrado durante veinte años que sustituye</w:t>
      </w:r>
      <w:r>
        <w:t xml:space="preserve"> </w:t>
      </w:r>
      <w:r>
        <w:t xml:space="preserve">donde le conviene, y la ventana entre el choque tecnológico y el laboral</w:t>
      </w:r>
      <w:r>
        <w:t xml:space="preserve"> </w:t>
      </w:r>
      <w:r>
        <w:t xml:space="preserve">sigue, por ahora, abierta. Lo que esta tesis no puede determinar es lo único</w:t>
      </w:r>
      <w:r>
        <w:t xml:space="preserve"> </w:t>
      </w:r>
      <w:r>
        <w:t xml:space="preserve">que de verdad importa: si esa ventana se usa.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48" Target="media/rId48.png" /><Relationship Type="http://schemas.openxmlformats.org/officeDocument/2006/relationships/image" Id="rId60" Target="media/rId60.png" /><Relationship Type="http://schemas.openxmlformats.org/officeDocument/2006/relationships/image" Id="rId62" Target="media/rId62.png" /><Relationship Type="http://schemas.openxmlformats.org/officeDocument/2006/relationships/image" Id="rId46" Target="media/rId46.png" /><Relationship Type="http://schemas.openxmlformats.org/officeDocument/2006/relationships/image" Id="rId44" Target="media/rId44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Riesgo de automatización laboral por inteligencia artificial en Jalisco</dc:title>
  <dc:creator>Carlos Pulido Rosas — Maestría en Ciencias de los Datos, CUCEA, Universidad de Guadalajara</dc:creator>
  <dc:language>es</dc:language>
  <cp:keywords/>
  <dcterms:created xsi:type="dcterms:W3CDTF">2026-06-11T09:31:32Z</dcterms:created>
  <dcterms:modified xsi:type="dcterms:W3CDTF">2026-06-11T09:31:32Z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BORRADOR PARA REVISIÓN — junio de 2026</vt:lpwstr>
  </property>
  <property fmtid="{D5CDD505-2E9C-101B-9397-08002B2CF9AE}" pid="3" name="subtitle">
    <vt:lpwstr>Exposición cognitiva y encarnada, incentivo económico y proyección 2025–2030</vt:lpwstr>
  </property>
</Properties>
</file>