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540"/>
        <w:gridCol w:w="8540"/>
      </w:tblGrid>
      <w:tr w:rsidR="00AF3200" w:rsidRPr="00007695" w14:paraId="5867A577" w14:textId="77777777">
        <w:tc>
          <w:tcPr>
            <w:tcW w:w="1300" w:type="dxa"/>
            <w:vAlign w:val="center"/>
          </w:tcPr>
          <w:p w14:paraId="46E4EC4F" w14:textId="77777777" w:rsidR="00AF3200" w:rsidRDefault="00000000">
            <w:pPr>
              <w:jc w:val="center"/>
            </w:pPr>
            <w:r>
              <w:rPr>
                <w:noProof/>
              </w:rPr>
              <w:drawing>
                <wp:inline distT="0" distB="0" distL="0" distR="0" wp14:anchorId="1C3858B4" wp14:editId="38AFACCF">
                  <wp:extent cx="841248" cy="841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deg_flat.png"/>
                          <pic:cNvPicPr/>
                        </pic:nvPicPr>
                        <pic:blipFill>
                          <a:blip r:embed="rId6"/>
                          <a:stretch>
                            <a:fillRect/>
                          </a:stretch>
                        </pic:blipFill>
                        <pic:spPr>
                          <a:xfrm>
                            <a:off x="0" y="0"/>
                            <a:ext cx="841248" cy="841248"/>
                          </a:xfrm>
                          <a:prstGeom prst="rect">
                            <a:avLst/>
                          </a:prstGeom>
                        </pic:spPr>
                      </pic:pic>
                    </a:graphicData>
                  </a:graphic>
                </wp:inline>
              </w:drawing>
            </w:r>
          </w:p>
        </w:tc>
        <w:tc>
          <w:tcPr>
            <w:tcW w:w="8780" w:type="dxa"/>
            <w:vAlign w:val="center"/>
          </w:tcPr>
          <w:p w14:paraId="574A5EC0" w14:textId="77777777" w:rsidR="00AF3200" w:rsidRPr="00007695" w:rsidRDefault="00000000">
            <w:pPr>
              <w:spacing w:before="20" w:after="20"/>
              <w:rPr>
                <w:lang w:val="es-MX"/>
              </w:rPr>
            </w:pPr>
            <w:r w:rsidRPr="00007695">
              <w:rPr>
                <w:b/>
                <w:color w:val="1A237E"/>
                <w:sz w:val="24"/>
                <w:lang w:val="es-MX"/>
              </w:rPr>
              <w:t>Universidad de Guadalajara</w:t>
            </w:r>
          </w:p>
          <w:p w14:paraId="5B21D399" w14:textId="77777777" w:rsidR="00AF3200" w:rsidRPr="00007695" w:rsidRDefault="00000000">
            <w:pPr>
              <w:spacing w:before="20" w:after="20"/>
              <w:rPr>
                <w:lang w:val="es-MX"/>
              </w:rPr>
            </w:pPr>
            <w:r w:rsidRPr="00007695">
              <w:rPr>
                <w:color w:val="1A237E"/>
                <w:lang w:val="es-MX"/>
              </w:rPr>
              <w:t>Centro Universitario de Ciencias Económico-Administrativas</w:t>
            </w:r>
          </w:p>
          <w:p w14:paraId="3BBF8B58" w14:textId="4C7E1FC1" w:rsidR="00AF3200" w:rsidRPr="00007695" w:rsidRDefault="00000000">
            <w:pPr>
              <w:spacing w:before="20" w:after="20"/>
              <w:rPr>
                <w:lang w:val="es-MX"/>
              </w:rPr>
            </w:pPr>
            <w:r w:rsidRPr="00007695">
              <w:rPr>
                <w:color w:val="1A237E"/>
                <w:lang w:val="es-MX"/>
              </w:rPr>
              <w:t>Maestría en Ciencias de los Datos | 3er Semestre</w:t>
            </w:r>
          </w:p>
          <w:p w14:paraId="3E5184FD" w14:textId="77777777" w:rsidR="00AF3200" w:rsidRPr="00007695" w:rsidRDefault="00000000">
            <w:pPr>
              <w:spacing w:before="20" w:after="20"/>
              <w:rPr>
                <w:lang w:val="es-MX"/>
              </w:rPr>
            </w:pPr>
            <w:r w:rsidRPr="00007695">
              <w:rPr>
                <w:color w:val="1A237E"/>
                <w:lang w:val="es-MX"/>
              </w:rPr>
              <w:t>Materia: Visualización de Grandes Bases de Datos</w:t>
            </w:r>
          </w:p>
        </w:tc>
      </w:tr>
    </w:tbl>
    <w:p w14:paraId="73B1CDEB" w14:textId="77777777" w:rsidR="00007695" w:rsidRDefault="00007695">
      <w:pPr>
        <w:pBdr>
          <w:bottom w:val="single" w:sz="6" w:space="1" w:color="F9A825"/>
        </w:pBdr>
        <w:spacing w:before="40" w:after="40"/>
        <w:rPr>
          <w:lang w:val="es-MX"/>
        </w:rPr>
      </w:pPr>
    </w:p>
    <w:p w14:paraId="36EECCA9" w14:textId="0811316B" w:rsidR="00007695" w:rsidRPr="00007695" w:rsidRDefault="00007695" w:rsidP="00007695">
      <w:pPr>
        <w:pBdr>
          <w:bottom w:val="single" w:sz="18" w:space="1" w:color="1A237E"/>
        </w:pBdr>
        <w:spacing w:before="80" w:after="40"/>
        <w:jc w:val="center"/>
        <w:rPr>
          <w:b/>
          <w:color w:val="1A237E"/>
          <w:sz w:val="30"/>
          <w:lang w:val="es-MX"/>
        </w:rPr>
      </w:pPr>
      <w:r>
        <w:rPr>
          <w:rFonts w:ascii="Calibri" w:hAnsi="Calibri"/>
          <w:b/>
          <w:color w:val="1F497D"/>
          <w:sz w:val="26"/>
        </w:rPr>
        <w:t>Tarea 1.6. Imputación del NO₂ y exploración de su relación con el PM10 y el PM2.5</w:t>
        <w:br/>
        <w:t>Estación de monitoreo Centro, Zona Metropolitana de Guadalajara, 2024</w:t>
      </w:r>
    </w:p>
    <w:p w14:paraId="56346EEE" w14:textId="77777777" w:rsidR="00007695" w:rsidRPr="00007695" w:rsidRDefault="00007695">
      <w:pPr>
        <w:pBdr>
          <w:bottom w:val="single" w:sz="6" w:space="1" w:color="F9A825"/>
        </w:pBdr>
        <w:spacing w:before="40" w:after="40"/>
        <w:rPr>
          <w:lang w:val="es-MX"/>
        </w:rPr>
      </w:pPr>
    </w:p>
    <w:tbl>
      <w:tblPr>
        <w:tblStyle w:val="TableGrid"/>
        <w:tblW w:w="0" w:type="auto"/>
        <w:tblLook w:val="04A0" w:firstRow="1" w:lastRow="0" w:firstColumn="1" w:lastColumn="0" w:noHBand="0" w:noVBand="1"/>
      </w:tblPr>
      <w:tblGrid>
        <w:gridCol w:w="1799"/>
        <w:gridCol w:w="8271"/>
      </w:tblGrid>
      <w:tr w:rsidR="00AF3200" w14:paraId="0EA24C6B" w14:textId="77777777">
        <w:tc>
          <w:tcPr>
            <w:tcW w:w="1800" w:type="dxa"/>
            <w:shd w:val="clear" w:color="auto" w:fill="E8EAF6"/>
          </w:tcPr>
          <w:p w14:paraId="0F0FA54E" w14:textId="77777777" w:rsidR="00AF3200" w:rsidRDefault="00000000">
            <w:pPr>
              <w:spacing w:before="40" w:after="40"/>
            </w:pPr>
            <w:proofErr w:type="spellStart"/>
            <w:r>
              <w:rPr>
                <w:b/>
                <w:color w:val="1A237E"/>
              </w:rPr>
              <w:t>Alumno</w:t>
            </w:r>
            <w:proofErr w:type="spellEnd"/>
            <w:r>
              <w:rPr>
                <w:b/>
                <w:color w:val="1A237E"/>
              </w:rPr>
              <w:t>:</w:t>
            </w:r>
          </w:p>
        </w:tc>
        <w:tc>
          <w:tcPr>
            <w:tcW w:w="8280" w:type="dxa"/>
            <w:shd w:val="clear" w:color="auto" w:fill="E8EAF6"/>
          </w:tcPr>
          <w:p w14:paraId="664560E0" w14:textId="77777777" w:rsidR="00AF3200" w:rsidRDefault="00000000">
            <w:pPr>
              <w:spacing w:before="40" w:after="40"/>
            </w:pPr>
            <w:r>
              <w:rPr>
                <w:color w:val="1A237E"/>
              </w:rPr>
              <w:t>Carlos Pulido Rosas</w:t>
            </w:r>
          </w:p>
        </w:tc>
      </w:tr>
      <w:tr w:rsidR="00AF3200" w:rsidRPr="00007695" w14:paraId="3135AEEB" w14:textId="77777777">
        <w:tc>
          <w:tcPr>
            <w:tcW w:w="1800" w:type="dxa"/>
            <w:shd w:val="clear" w:color="auto" w:fill="E8EAF6"/>
          </w:tcPr>
          <w:p w14:paraId="035A4C96" w14:textId="77777777" w:rsidR="00AF3200" w:rsidRDefault="00000000">
            <w:pPr>
              <w:spacing w:before="40" w:after="40"/>
            </w:pPr>
            <w:r>
              <w:rPr>
                <w:b/>
                <w:color w:val="1A237E"/>
              </w:rPr>
              <w:t>Fecha:</w:t>
            </w:r>
          </w:p>
        </w:tc>
        <w:tc>
          <w:tcPr>
            <w:tcW w:w="8280" w:type="dxa"/>
            <w:shd w:val="clear" w:color="auto" w:fill="E8EAF6"/>
          </w:tcPr>
          <w:p w14:paraId="3A38D44F" w14:textId="77777777" w:rsidR="00AF3200" w:rsidRPr="00007695" w:rsidRDefault="00000000">
            <w:pPr>
              <w:spacing w:before="40" w:after="40"/>
              <w:rPr>
                <w:lang w:val="es-MX"/>
              </w:rPr>
            </w:pPr>
            <w:r w:rsidRPr="00007695">
              <w:rPr>
                <w:color w:val="1A237E"/>
                <w:lang w:val="es-MX"/>
              </w:rPr>
              <w:t>13 de octubre de 2026</w:t>
            </w:r>
          </w:p>
        </w:tc>
      </w:tr>
      <w:tr w:rsidR="00AF3200" w:rsidRPr="00007695" w14:paraId="0FA8133E" w14:textId="77777777">
        <w:tc>
          <w:tcPr>
            <w:tcW w:w="1800" w:type="dxa"/>
            <w:shd w:val="clear" w:color="auto" w:fill="E8EAF6"/>
          </w:tcPr>
          <w:p w14:paraId="73844D80" w14:textId="77777777" w:rsidR="00AF3200" w:rsidRDefault="00000000">
            <w:pPr>
              <w:spacing w:before="40" w:after="40"/>
            </w:pPr>
            <w:proofErr w:type="spellStart"/>
            <w:r>
              <w:rPr>
                <w:b/>
                <w:color w:val="1A237E"/>
              </w:rPr>
              <w:t>Actividad</w:t>
            </w:r>
            <w:proofErr w:type="spellEnd"/>
            <w:r>
              <w:rPr>
                <w:b/>
                <w:color w:val="1A237E"/>
              </w:rPr>
              <w:t>:</w:t>
            </w:r>
          </w:p>
        </w:tc>
        <w:tc>
          <w:tcPr>
            <w:tcW w:w="8280" w:type="dxa"/>
            <w:shd w:val="clear" w:color="auto" w:fill="E8EAF6"/>
          </w:tcPr>
          <w:p w14:paraId="359E296D" w14:textId="77777777" w:rsidR="00AF3200" w:rsidRPr="00007695" w:rsidRDefault="00000000">
            <w:pPr>
              <w:spacing w:before="40" w:after="40"/>
              <w:rPr>
                <w:lang w:val="es-MX"/>
              </w:rPr>
            </w:pPr>
            <w:r w:rsidRPr="00007695">
              <w:rPr>
                <w:color w:val="1A237E"/>
                <w:lang w:val="es-MX"/>
              </w:rPr>
              <w:t>Tarea 1.6. Exploración entre NO₂ y PM2.5/PM10</w:t>
            </w:r>
          </w:p>
        </w:tc>
      </w:tr>
      <w:tr w:rsidR="00AF3200" w14:paraId="57F81E8B" w14:textId="77777777">
        <w:tc>
          <w:tcPr>
            <w:tcW w:w="1800" w:type="dxa"/>
            <w:shd w:val="clear" w:color="auto" w:fill="E8EAF6"/>
          </w:tcPr>
          <w:p w14:paraId="3DF6E06E" w14:textId="77777777" w:rsidR="00AF3200" w:rsidRDefault="00000000">
            <w:pPr>
              <w:spacing w:before="40" w:after="40"/>
            </w:pPr>
            <w:proofErr w:type="spellStart"/>
            <w:r>
              <w:rPr>
                <w:b/>
                <w:color w:val="1A237E"/>
              </w:rPr>
              <w:t>Herramienta</w:t>
            </w:r>
            <w:proofErr w:type="spellEnd"/>
            <w:r>
              <w:rPr>
                <w:b/>
                <w:color w:val="1A237E"/>
              </w:rPr>
              <w:t>:</w:t>
            </w:r>
          </w:p>
        </w:tc>
        <w:tc>
          <w:tcPr>
            <w:tcW w:w="8280" w:type="dxa"/>
            <w:shd w:val="clear" w:color="auto" w:fill="E8EAF6"/>
          </w:tcPr>
          <w:p w14:paraId="430CAA90" w14:textId="77777777" w:rsidR="00AF3200" w:rsidRDefault="00000000">
            <w:pPr>
              <w:spacing w:before="40" w:after="40"/>
            </w:pPr>
            <w:r>
              <w:rPr>
                <w:color w:val="1A237E"/>
              </w:rPr>
              <w:t>Python 3.13 (pandas, NumPy, Matplotlib, statsmodels)</w:t>
            </w:r>
          </w:p>
        </w:tc>
      </w:tr>
      <w:tr w:rsidR="00AF3200" w14:paraId="70BC04B6" w14:textId="77777777">
        <w:tc>
          <w:tcPr>
            <w:tcW w:w="1800" w:type="dxa"/>
            <w:shd w:val="clear" w:color="auto" w:fill="E8EAF6"/>
          </w:tcPr>
          <w:p w14:paraId="64B8983B" w14:textId="77777777" w:rsidR="00AF3200" w:rsidRDefault="00000000">
            <w:pPr>
              <w:spacing w:before="40" w:after="40"/>
            </w:pPr>
            <w:r>
              <w:rPr>
                <w:b/>
                <w:color w:val="1A237E"/>
              </w:rPr>
              <w:t>Versión:</w:t>
            </w:r>
          </w:p>
        </w:tc>
        <w:tc>
          <w:tcPr>
            <w:tcW w:w="8280" w:type="dxa"/>
            <w:shd w:val="clear" w:color="auto" w:fill="E8EAF6"/>
          </w:tcPr>
          <w:p w14:paraId="18B4F231" w14:textId="77777777" w:rsidR="00AF3200" w:rsidRDefault="00000000">
            <w:pPr>
              <w:spacing w:before="40" w:after="40"/>
            </w:pPr>
            <w:r>
              <w:rPr>
                <w:color w:val="1A237E"/>
              </w:rPr>
              <w:t>SIMAJ, base de calidad del aire 2024 (BD_2024)</w:t>
            </w:r>
          </w:p>
        </w:tc>
      </w:tr>
      <w:tr w:rsidR="00AF3200" w:rsidRPr="00007695" w14:paraId="066607D6" w14:textId="77777777">
        <w:tc>
          <w:tcPr>
            <w:tcW w:w="1800" w:type="dxa"/>
            <w:shd w:val="clear" w:color="auto" w:fill="E8EAF6"/>
          </w:tcPr>
          <w:p w14:paraId="780D9BD2" w14:textId="77777777" w:rsidR="00AF3200" w:rsidRDefault="00000000">
            <w:pPr>
              <w:spacing w:before="40" w:after="40"/>
            </w:pPr>
            <w:r>
              <w:rPr>
                <w:b/>
                <w:color w:val="1A237E"/>
              </w:rPr>
              <w:t>Entorno:</w:t>
            </w:r>
          </w:p>
        </w:tc>
        <w:tc>
          <w:tcPr>
            <w:tcW w:w="8280" w:type="dxa"/>
            <w:shd w:val="clear" w:color="auto" w:fill="E8EAF6"/>
          </w:tcPr>
          <w:p w14:paraId="3D1FC219" w14:textId="77777777" w:rsidR="00AF3200" w:rsidRPr="00007695" w:rsidRDefault="00000000">
            <w:pPr>
              <w:spacing w:before="40" w:after="40"/>
              <w:rPr>
                <w:lang w:val="es-MX"/>
              </w:rPr>
            </w:pPr>
            <w:r w:rsidRPr="00007695">
              <w:rPr>
                <w:color w:val="1A237E"/>
                <w:lang w:val="es-MX"/>
              </w:rPr>
              <w:t>Equipo personal, entorno conda MCD</w:t>
            </w:r>
            <w:proofErr w:type="spellStart"/>
            <w:r w:rsidRPr="00007695">
              <w:rPr>
                <w:color w:val="1A237E"/>
                <w:lang w:val="es-MX"/>
              </w:rPr>
            </w:r>
            <w:proofErr w:type="spellEnd"/>
            <w:r w:rsidRPr="00007695">
              <w:rPr>
                <w:color w:val="1A237E"/>
                <w:lang w:val="es-MX"/>
              </w:rPr>
            </w:r>
          </w:p>
        </w:tc>
      </w:tr>
      <w:tr w:rsidR="00AF3200" w:rsidRPr="00007695" w14:paraId="75599C32" w14:textId="77777777">
        <w:tc>
          <w:tcPr>
            <w:tcW w:w="1800" w:type="dxa"/>
            <w:shd w:val="clear" w:color="auto" w:fill="E8EAF6"/>
          </w:tcPr>
          <w:p w14:paraId="13474C8D" w14:textId="77777777" w:rsidR="00AF3200" w:rsidRDefault="00000000">
            <w:pPr>
              <w:spacing w:before="40" w:after="40"/>
            </w:pPr>
            <w:r>
              <w:rPr>
                <w:b/>
                <w:color w:val="1A237E"/>
              </w:rPr>
              <w:t>Dataset:</w:t>
            </w:r>
          </w:p>
        </w:tc>
        <w:tc>
          <w:tcPr>
            <w:tcW w:w="8280" w:type="dxa"/>
            <w:shd w:val="clear" w:color="auto" w:fill="E8EAF6"/>
          </w:tcPr>
          <w:p w14:paraId="31506C5B" w14:textId="77777777" w:rsidR="00AF3200" w:rsidRPr="00007695" w:rsidRDefault="00000000">
            <w:pPr>
              <w:spacing w:before="40" w:after="40"/>
              <w:rPr>
                <w:lang w:val="es-MX"/>
              </w:rPr>
            </w:pPr>
            <w:r w:rsidRPr="00007695">
              <w:rPr>
                <w:color w:val="1A237E"/>
                <w:lang w:val="es-MX"/>
              </w:rPr>
              <w:t>Calidad del aire ZMG 2024, estación Centro (CEN)</w:t>
            </w:r>
            <w:proofErr w:type="spellStart"/>
            <w:r w:rsidRPr="00007695">
              <w:rPr>
                <w:color w:val="1A237E"/>
                <w:lang w:val="es-MX"/>
              </w:rPr>
            </w:r>
            <w:proofErr w:type="spellEnd"/>
            <w:r w:rsidRPr="00007695">
              <w:rPr>
                <w:color w:val="1A237E"/>
                <w:lang w:val="es-MX"/>
              </w:rPr>
            </w:r>
          </w:p>
        </w:tc>
      </w:tr>
    </w:tbl>
    <w:p>
      <w:pPr>
        <w:keepNext w:val="0"/>
        <w:spacing w:before="160" w:after="0"/>
        <w:jc w:val="both"/>
      </w:pPr>
    </w:p>
    <w:p>
      <w:pPr>
        <w:keepNext/>
        <w:spacing w:before="200" w:after="60"/>
        <w:jc w:val="left"/>
      </w:pPr>
      <w:r>
        <w:rPr>
          <w:rFonts w:ascii="Calibri" w:hAnsi="Calibri"/>
          <w:b/>
          <w:i w:val="0"/>
          <w:color w:val="1F497D"/>
          <w:sz w:val="26"/>
        </w:rPr>
        <w:t>1. Introducción</w:t>
      </w:r>
    </w:p>
    <w:p>
      <w:pPr>
        <w:keepNext w:val="0"/>
        <w:spacing w:before="0" w:after="100"/>
        <w:jc w:val="both"/>
      </w:pPr>
      <w:r>
        <w:rPr>
          <w:rFonts w:ascii="Calibri" w:hAnsi="Calibri"/>
          <w:b w:val="0"/>
          <w:i w:val="0"/>
          <w:sz w:val="20"/>
        </w:rPr>
        <w:t>En la estación Centro del SIMAJ el dióxido de nitrógeno (NO₂) solo se midió de septiembre a diciembre de 2024. De las 8,784 horas del año, a 6,078 les falta el dato (69.2 %). En esta tarea primero completé esos valores con los modelos de regresión lineal simple de las tareas 1.4 y 1.5 y después, con la serie ya completa, revisé cómo se relaciona el NO₂ con las partículas PM10 y PM2.5. Para la segunda parte seguí lo visto en la sesión 8: gráficas del NO₂ contra cada partícula, gráficas de las partículas entre sí para buscar colinealidad y modelos de regresión múltiple, que se pueden ver como un plano o una superficie.</w:t>
      </w:r>
    </w:p>
    <w:p>
      <w:pPr>
        <w:keepNext/>
        <w:spacing w:before="200" w:after="60"/>
        <w:jc w:val="left"/>
      </w:pPr>
      <w:r>
        <w:rPr>
          <w:rFonts w:ascii="Calibri" w:hAnsi="Calibri"/>
          <w:b/>
          <w:i w:val="0"/>
          <w:color w:val="1F497D"/>
          <w:sz w:val="26"/>
        </w:rPr>
        <w:t>2. Imputación de los valores faltantes de NO₂</w:t>
      </w:r>
    </w:p>
    <w:p>
      <w:pPr>
        <w:keepNext/>
        <w:spacing w:before="140" w:after="60"/>
        <w:jc w:val="left"/>
      </w:pPr>
      <w:r>
        <w:rPr>
          <w:rFonts w:ascii="Calibri" w:hAnsi="Calibri"/>
          <w:b/>
          <w:i w:val="0"/>
          <w:color w:val="1F497D"/>
          <w:sz w:val="22"/>
        </w:rPr>
        <w:t>2.1 Elección de la variable explicativa</w:t>
      </w:r>
    </w:p>
    <w:p>
      <w:pPr>
        <w:keepNext w:val="0"/>
        <w:spacing w:before="0" w:after="100"/>
        <w:jc w:val="both"/>
      </w:pPr>
      <w:r>
        <w:rPr>
          <w:rFonts w:ascii="Calibri" w:hAnsi="Calibri"/>
          <w:b w:val="0"/>
          <w:i w:val="0"/>
          <w:sz w:val="20"/>
        </w:rPr>
        <w:t>El NOx fue el contaminante con mayor correlación en las tareas anteriores, pero no sirve para imputar. Por un lado incluye al NO₂ en su cálculo, y por otro le faltan las mismas horas, ya que los dos salen del mismo analizador. Por eso usé el CO, que fue el siguiente con mayor correlación (r = 0.909 en la Tarea 1.5) y que se midió casi todo el año. Con él se pueden completar 5,711 de las 6,078 horas faltantes. Las otras 367 tampoco tienen CO y las dejé vacías, porque estimarlas a partir de otra estimación ya no tendría mucho sentido.</w:t>
      </w:r>
    </w:p>
    <w:p>
      <w:pPr>
        <w:keepNext w:val="0"/>
        <w:spacing w:before="0" w:after="100"/>
        <w:jc w:val="both"/>
      </w:pPr>
      <w:r>
        <w:rPr>
          <w:rFonts w:ascii="Calibri" w:hAnsi="Calibri"/>
          <w:b w:val="0"/>
          <w:i w:val="0"/>
          <w:sz w:val="20"/>
        </w:rPr>
        <w:t>Revisé también las demás estaciones. De las 13 que tiene la base, 12 miden NO₂, y en ninguna hay datos antes de agosto. El hueco de enero a julio es de toda la red, así que no hay una estación vecina contra la cual comparar los valores imputados.</w:t>
      </w:r>
    </w:p>
    <w:p>
      <w:pPr>
        <w:keepNext/>
        <w:spacing w:before="140" w:after="60"/>
        <w:jc w:val="left"/>
      </w:pPr>
      <w:r>
        <w:rPr>
          <w:rFonts w:ascii="Calibri" w:hAnsi="Calibri"/>
          <w:b/>
          <w:i w:val="0"/>
          <w:color w:val="1F497D"/>
          <w:sz w:val="22"/>
        </w:rPr>
        <w:t>2.2 Comparación de los modelos de las tareas 1.4 y 1.5</w:t>
      </w:r>
    </w:p>
    <w:p>
      <w:pPr>
        <w:keepNext/>
        <w:spacing w:before="0" w:after="100"/>
        <w:jc w:val="both"/>
      </w:pPr>
      <w:r>
        <w:rPr>
          <w:rFonts w:ascii="Calibri" w:hAnsi="Calibri"/>
          <w:b w:val="0"/>
          <w:i w:val="0"/>
          <w:sz w:val="20"/>
        </w:rPr>
        <w:t>Comparé los dos modelos simples del NO₂ en función del CO. El de la Tarea 1.4 tiene intercepto y se ajustó con todas las horas (NO₂ = 0.0084 + 0.0132·CO). El de la Tarea 1.5 pasa por el origen y se ajustó sin atípicos (NO₂ = 0.0279·CO). En la Tabla 1 están sus errores en las horas donde sí hay NO₂, separando las horas con CO por debajo y por encima de la cerca de Tukey (2.128 ppm), que marca el rango con el que se estimó el modelo 1.5.</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3024"/>
            <w:shd w:val="clear" w:color="auto" w:fill="1F497D"/>
          </w:tcPr>
          <w:p>
            <w:pPr>
              <w:keepNext/>
              <w:jc w:val="center"/>
            </w:pPr>
            <w:r>
              <w:rPr>
                <w:rFonts w:ascii="Calibri" w:hAnsi="Calibri"/>
                <w:b/>
                <w:i w:val="0"/>
                <w:color w:val="FFFFFF"/>
                <w:sz w:val="18"/>
              </w:rPr>
              <w:t>Modelo</w:t>
            </w:r>
          </w:p>
        </w:tc>
        <w:tc>
          <w:tcPr>
            <w:tcW w:type="dxa" w:w="1152"/>
            <w:shd w:val="clear" w:color="auto" w:fill="1F497D"/>
          </w:tcPr>
          <w:p>
            <w:pPr>
              <w:keepNext/>
              <w:jc w:val="center"/>
            </w:pPr>
            <w:r>
              <w:rPr>
                <w:rFonts w:ascii="Calibri" w:hAnsi="Calibri"/>
                <w:b/>
                <w:i w:val="0"/>
                <w:color w:val="FFFFFF"/>
                <w:sz w:val="18"/>
              </w:rPr>
              <w:t>RMSE total</w:t>
            </w:r>
          </w:p>
        </w:tc>
        <w:tc>
          <w:tcPr>
            <w:tcW w:type="dxa" w:w="1440"/>
            <w:shd w:val="clear" w:color="auto" w:fill="1F497D"/>
          </w:tcPr>
          <w:p>
            <w:pPr>
              <w:keepNext/>
              <w:jc w:val="center"/>
            </w:pPr>
            <w:r>
              <w:rPr>
                <w:rFonts w:ascii="Calibri" w:hAnsi="Calibri"/>
                <w:b/>
                <w:i w:val="0"/>
                <w:color w:val="FFFFFF"/>
                <w:sz w:val="18"/>
              </w:rPr>
              <w:t>RMSE CO ≤ 2.13</w:t>
            </w:r>
          </w:p>
        </w:tc>
        <w:tc>
          <w:tcPr>
            <w:tcW w:type="dxa" w:w="1440"/>
            <w:shd w:val="clear" w:color="auto" w:fill="1F497D"/>
          </w:tcPr>
          <w:p>
            <w:pPr>
              <w:keepNext/>
              <w:jc w:val="center"/>
            </w:pPr>
            <w:r>
              <w:rPr>
                <w:rFonts w:ascii="Calibri" w:hAnsi="Calibri"/>
                <w:b/>
                <w:i w:val="0"/>
                <w:color w:val="FFFFFF"/>
                <w:sz w:val="18"/>
              </w:rPr>
              <w:t>RMSE CO &gt; 2.13</w:t>
            </w:r>
          </w:p>
        </w:tc>
        <w:tc>
          <w:tcPr>
            <w:tcW w:type="dxa" w:w="1440"/>
            <w:shd w:val="clear" w:color="auto" w:fill="1F497D"/>
          </w:tcPr>
          <w:p>
            <w:pPr>
              <w:keepNext/>
              <w:jc w:val="center"/>
            </w:pPr>
            <w:r>
              <w:rPr>
                <w:rFonts w:ascii="Calibri" w:hAnsi="Calibri"/>
                <w:b/>
                <w:i w:val="0"/>
                <w:color w:val="FFFFFF"/>
                <w:sz w:val="18"/>
              </w:rPr>
              <w:t>Sesgo CO &gt; 2.13</w:t>
            </w:r>
          </w:p>
        </w:tc>
        <w:tc>
          <w:tcPr>
            <w:tcW w:type="dxa" w:w="1296"/>
            <w:shd w:val="clear" w:color="auto" w:fill="1F497D"/>
          </w:tcPr>
          <w:p>
            <w:pPr>
              <w:keepNext/>
              <w:jc w:val="center"/>
            </w:pPr>
            <w:r>
              <w:rPr>
                <w:rFonts w:ascii="Calibri" w:hAnsi="Calibri"/>
                <w:b/>
                <w:i w:val="0"/>
                <w:color w:val="FFFFFF"/>
                <w:sz w:val="18"/>
              </w:rPr>
              <w:t>RMSE nov-dic*</w:t>
            </w:r>
          </w:p>
        </w:tc>
      </w:tr>
      <w:tr>
        <w:tc>
          <w:tcPr>
            <w:tcW w:type="dxa" w:w="3024"/>
            <w:shd w:val="clear" w:color="auto" w:fill="FFFFFF"/>
          </w:tcPr>
          <w:p>
            <w:pPr>
              <w:keepNext/>
              <w:jc w:val="left"/>
            </w:pPr>
            <w:r>
              <w:rPr>
                <w:rFonts w:ascii="Calibri" w:hAnsi="Calibri"/>
                <w:b w:val="0"/>
                <w:i w:val="0"/>
                <w:sz w:val="18"/>
              </w:rPr>
              <w:t>Modelo 1.4 (con intercepto)</w:t>
            </w:r>
          </w:p>
        </w:tc>
        <w:tc>
          <w:tcPr>
            <w:tcW w:type="dxa" w:w="1152"/>
            <w:shd w:val="clear" w:color="auto" w:fill="FFFFFF"/>
          </w:tcPr>
          <w:p>
            <w:pPr>
              <w:keepNext/>
              <w:jc w:val="center"/>
            </w:pPr>
            <w:r>
              <w:rPr>
                <w:rFonts w:ascii="Calibri" w:hAnsi="Calibri"/>
                <w:b w:val="0"/>
                <w:i w:val="0"/>
                <w:sz w:val="18"/>
              </w:rPr>
              <w:t>0.0086</w:t>
            </w:r>
          </w:p>
        </w:tc>
        <w:tc>
          <w:tcPr>
            <w:tcW w:type="dxa" w:w="1440"/>
            <w:shd w:val="clear" w:color="auto" w:fill="FFFFFF"/>
          </w:tcPr>
          <w:p>
            <w:pPr>
              <w:keepNext/>
              <w:jc w:val="center"/>
            </w:pPr>
            <w:r>
              <w:rPr>
                <w:rFonts w:ascii="Calibri" w:hAnsi="Calibri"/>
                <w:b w:val="0"/>
                <w:i w:val="0"/>
                <w:sz w:val="18"/>
              </w:rPr>
              <w:t>0.0076</w:t>
            </w:r>
          </w:p>
        </w:tc>
        <w:tc>
          <w:tcPr>
            <w:tcW w:type="dxa" w:w="1440"/>
            <w:shd w:val="clear" w:color="auto" w:fill="FFFFFF"/>
          </w:tcPr>
          <w:p>
            <w:pPr>
              <w:keepNext/>
              <w:jc w:val="center"/>
            </w:pPr>
            <w:r>
              <w:rPr>
                <w:rFonts w:ascii="Calibri" w:hAnsi="Calibri"/>
                <w:b w:val="0"/>
                <w:i w:val="0"/>
                <w:sz w:val="18"/>
              </w:rPr>
              <w:t>0.0157</w:t>
            </w:r>
          </w:p>
        </w:tc>
        <w:tc>
          <w:tcPr>
            <w:tcW w:type="dxa" w:w="1440"/>
            <w:shd w:val="clear" w:color="auto" w:fill="FFFFFF"/>
          </w:tcPr>
          <w:p>
            <w:pPr>
              <w:keepNext/>
              <w:jc w:val="center"/>
            </w:pPr>
            <w:r>
              <w:rPr>
                <w:rFonts w:ascii="Calibri" w:hAnsi="Calibri"/>
                <w:b w:val="0"/>
                <w:i w:val="0"/>
                <w:sz w:val="18"/>
              </w:rPr>
              <w:t>-0.0040</w:t>
            </w:r>
          </w:p>
        </w:tc>
        <w:tc>
          <w:tcPr>
            <w:tcW w:type="dxa" w:w="1296"/>
            <w:shd w:val="clear" w:color="auto" w:fill="FFFFFF"/>
          </w:tcPr>
          <w:p>
            <w:pPr>
              <w:keepNext/>
              <w:jc w:val="center"/>
            </w:pPr>
            <w:r>
              <w:rPr>
                <w:rFonts w:ascii="Calibri" w:hAnsi="Calibri"/>
                <w:b w:val="0"/>
                <w:i w:val="0"/>
                <w:sz w:val="18"/>
              </w:rPr>
              <w:t>0.0191</w:t>
            </w:r>
          </w:p>
        </w:tc>
      </w:tr>
      <w:tr>
        <w:tc>
          <w:tcPr>
            <w:tcW w:type="dxa" w:w="3024"/>
            <w:shd w:val="clear" w:color="auto" w:fill="F2F2F2"/>
          </w:tcPr>
          <w:p>
            <w:pPr>
              <w:keepNext/>
              <w:jc w:val="left"/>
            </w:pPr>
            <w:r>
              <w:rPr>
                <w:rFonts w:ascii="Calibri" w:hAnsi="Calibri"/>
                <w:b w:val="0"/>
                <w:i w:val="0"/>
                <w:sz w:val="18"/>
              </w:rPr>
              <w:t>Modelo 1.5 (por el origen)</w:t>
            </w:r>
          </w:p>
        </w:tc>
        <w:tc>
          <w:tcPr>
            <w:tcW w:type="dxa" w:w="1152"/>
            <w:shd w:val="clear" w:color="auto" w:fill="F2F2F2"/>
          </w:tcPr>
          <w:p>
            <w:pPr>
              <w:keepNext/>
              <w:jc w:val="center"/>
            </w:pPr>
            <w:r>
              <w:rPr>
                <w:rFonts w:ascii="Calibri" w:hAnsi="Calibri"/>
                <w:b w:val="0"/>
                <w:i w:val="0"/>
                <w:sz w:val="18"/>
              </w:rPr>
              <w:t>0.0164</w:t>
            </w:r>
          </w:p>
        </w:tc>
        <w:tc>
          <w:tcPr>
            <w:tcW w:type="dxa" w:w="1440"/>
            <w:shd w:val="clear" w:color="auto" w:fill="F2F2F2"/>
          </w:tcPr>
          <w:p>
            <w:pPr>
              <w:keepNext/>
              <w:jc w:val="center"/>
            </w:pPr>
            <w:r>
              <w:rPr>
                <w:rFonts w:ascii="Calibri" w:hAnsi="Calibri"/>
                <w:b w:val="0"/>
                <w:i w:val="0"/>
                <w:sz w:val="18"/>
              </w:rPr>
              <w:t>0.0060</w:t>
            </w:r>
          </w:p>
        </w:tc>
        <w:tc>
          <w:tcPr>
            <w:tcW w:type="dxa" w:w="1440"/>
            <w:shd w:val="clear" w:color="auto" w:fill="F2F2F2"/>
          </w:tcPr>
          <w:p>
            <w:pPr>
              <w:keepNext/>
              <w:jc w:val="center"/>
            </w:pPr>
            <w:r>
              <w:rPr>
                <w:rFonts w:ascii="Calibri" w:hAnsi="Calibri"/>
                <w:b w:val="0"/>
                <w:i w:val="0"/>
                <w:sz w:val="18"/>
              </w:rPr>
              <w:t>0.0517</w:t>
            </w:r>
          </w:p>
        </w:tc>
        <w:tc>
          <w:tcPr>
            <w:tcW w:type="dxa" w:w="1440"/>
            <w:shd w:val="clear" w:color="auto" w:fill="F2F2F2"/>
          </w:tcPr>
          <w:p>
            <w:pPr>
              <w:keepNext/>
              <w:jc w:val="center"/>
            </w:pPr>
            <w:r>
              <w:rPr>
                <w:rFonts w:ascii="Calibri" w:hAnsi="Calibri"/>
                <w:b w:val="0"/>
                <w:i w:val="0"/>
                <w:sz w:val="18"/>
              </w:rPr>
              <w:t>-0.0440</w:t>
            </w:r>
          </w:p>
        </w:tc>
        <w:tc>
          <w:tcPr>
            <w:tcW w:type="dxa" w:w="1296"/>
            <w:shd w:val="clear" w:color="auto" w:fill="F2F2F2"/>
          </w:tcPr>
          <w:p>
            <w:pPr>
              <w:keepNext/>
              <w:jc w:val="center"/>
            </w:pPr>
            <w:r>
              <w:rPr>
                <w:rFonts w:ascii="Calibri" w:hAnsi="Calibri"/>
                <w:b w:val="0"/>
                <w:i w:val="0"/>
                <w:sz w:val="18"/>
              </w:rPr>
              <w:t>0.0204</w:t>
            </w:r>
          </w:p>
        </w:tc>
      </w:tr>
      <w:tr>
        <w:tc>
          <w:tcPr>
            <w:tcW w:type="dxa" w:w="3024"/>
            <w:shd w:val="clear" w:color="auto" w:fill="FFFFFF"/>
          </w:tcPr>
          <w:p>
            <w:pPr>
              <w:keepNext/>
              <w:jc w:val="left"/>
            </w:pPr>
            <w:r>
              <w:rPr>
                <w:rFonts w:ascii="Calibri" w:hAnsi="Calibri"/>
                <w:b w:val="0"/>
                <w:i w:val="0"/>
                <w:sz w:val="18"/>
              </w:rPr>
              <w:t>Regla combinada (1.5 y 1.4)</w:t>
            </w:r>
          </w:p>
        </w:tc>
        <w:tc>
          <w:tcPr>
            <w:tcW w:type="dxa" w:w="1152"/>
            <w:shd w:val="clear" w:color="auto" w:fill="FFFFFF"/>
          </w:tcPr>
          <w:p>
            <w:pPr>
              <w:keepNext/>
              <w:jc w:val="center"/>
            </w:pPr>
            <w:r>
              <w:rPr>
                <w:rFonts w:ascii="Calibri" w:hAnsi="Calibri"/>
                <w:b w:val="0"/>
                <w:i w:val="0"/>
                <w:sz w:val="18"/>
              </w:rPr>
              <w:t>0.0074</w:t>
            </w:r>
          </w:p>
        </w:tc>
        <w:tc>
          <w:tcPr>
            <w:tcW w:type="dxa" w:w="1440"/>
            <w:shd w:val="clear" w:color="auto" w:fill="FFFFFF"/>
          </w:tcPr>
          <w:p>
            <w:pPr>
              <w:keepNext/>
              <w:jc w:val="center"/>
            </w:pPr>
            <w:r>
              <w:rPr>
                <w:rFonts w:ascii="Calibri" w:hAnsi="Calibri"/>
                <w:b w:val="0"/>
                <w:i w:val="0"/>
                <w:sz w:val="18"/>
              </w:rPr>
              <w:t>0.0060</w:t>
            </w:r>
          </w:p>
        </w:tc>
        <w:tc>
          <w:tcPr>
            <w:tcW w:type="dxa" w:w="1440"/>
            <w:shd w:val="clear" w:color="auto" w:fill="FFFFFF"/>
          </w:tcPr>
          <w:p>
            <w:pPr>
              <w:keepNext/>
              <w:jc w:val="center"/>
            </w:pPr>
            <w:r>
              <w:rPr>
                <w:rFonts w:ascii="Calibri" w:hAnsi="Calibri"/>
                <w:b w:val="0"/>
                <w:i w:val="0"/>
                <w:sz w:val="18"/>
              </w:rPr>
              <w:t>0.0157</w:t>
            </w:r>
          </w:p>
        </w:tc>
        <w:tc>
          <w:tcPr>
            <w:tcW w:type="dxa" w:w="1440"/>
            <w:shd w:val="clear" w:color="auto" w:fill="FFFFFF"/>
          </w:tcPr>
          <w:p>
            <w:pPr>
              <w:keepNext/>
              <w:jc w:val="center"/>
            </w:pPr>
            <w:r>
              <w:rPr>
                <w:rFonts w:ascii="Calibri" w:hAnsi="Calibri"/>
                <w:b w:val="0"/>
                <w:i w:val="0"/>
                <w:sz w:val="18"/>
              </w:rPr>
              <w:t>-0.0040</w:t>
            </w:r>
          </w:p>
        </w:tc>
        <w:tc>
          <w:tcPr>
            <w:tcW w:type="dxa" w:w="1296"/>
            <w:shd w:val="clear" w:color="auto" w:fill="FFFFFF"/>
          </w:tcPr>
          <w:p>
            <w:pPr>
              <w:keepNext/>
              <w:jc w:val="center"/>
            </w:pPr>
            <w:r>
              <w:rPr>
                <w:rFonts w:ascii="Calibri" w:hAnsi="Calibri"/>
                <w:b w:val="0"/>
                <w:i w:val="0"/>
                <w:sz w:val="18"/>
              </w:rPr>
              <w:t>0.0191</w:t>
            </w:r>
          </w:p>
        </w:tc>
      </w:tr>
      <w:tr>
        <w:tc>
          <w:tcPr>
            <w:tcW w:type="dxa" w:w="3024"/>
            <w:shd w:val="clear" w:color="auto" w:fill="FCE4B8"/>
          </w:tcPr>
          <w:p>
            <w:pPr>
              <w:keepNext/>
              <w:jc w:val="left"/>
            </w:pPr>
            <w:r>
              <w:rPr>
                <w:rFonts w:ascii="Calibri" w:hAnsi="Calibri"/>
                <w:b/>
                <w:i w:val="0"/>
                <w:sz w:val="18"/>
              </w:rPr>
              <w:t>Modelo 1.5 acotado</w:t>
            </w:r>
          </w:p>
        </w:tc>
        <w:tc>
          <w:tcPr>
            <w:tcW w:type="dxa" w:w="1152"/>
            <w:shd w:val="clear" w:color="auto" w:fill="FCE4B8"/>
          </w:tcPr>
          <w:p>
            <w:pPr>
              <w:keepNext/>
              <w:jc w:val="center"/>
            </w:pPr>
            <w:r>
              <w:rPr>
                <w:rFonts w:ascii="Calibri" w:hAnsi="Calibri"/>
                <w:b/>
                <w:i w:val="0"/>
                <w:sz w:val="18"/>
              </w:rPr>
              <w:t>0.0075</w:t>
            </w:r>
          </w:p>
        </w:tc>
        <w:tc>
          <w:tcPr>
            <w:tcW w:type="dxa" w:w="1440"/>
            <w:shd w:val="clear" w:color="auto" w:fill="FCE4B8"/>
          </w:tcPr>
          <w:p>
            <w:pPr>
              <w:keepNext/>
              <w:jc w:val="center"/>
            </w:pPr>
            <w:r>
              <w:rPr>
                <w:rFonts w:ascii="Calibri" w:hAnsi="Calibri"/>
                <w:b/>
                <w:i w:val="0"/>
                <w:sz w:val="18"/>
              </w:rPr>
              <w:t>0.0060</w:t>
            </w:r>
          </w:p>
        </w:tc>
        <w:tc>
          <w:tcPr>
            <w:tcW w:type="dxa" w:w="1440"/>
            <w:shd w:val="clear" w:color="auto" w:fill="FCE4B8"/>
          </w:tcPr>
          <w:p>
            <w:pPr>
              <w:keepNext/>
              <w:jc w:val="center"/>
            </w:pPr>
            <w:r>
              <w:rPr>
                <w:rFonts w:ascii="Calibri" w:hAnsi="Calibri"/>
                <w:b/>
                <w:i w:val="0"/>
                <w:sz w:val="18"/>
              </w:rPr>
              <w:t>0.0163</w:t>
            </w:r>
          </w:p>
        </w:tc>
        <w:tc>
          <w:tcPr>
            <w:tcW w:type="dxa" w:w="1440"/>
            <w:shd w:val="clear" w:color="auto" w:fill="FCE4B8"/>
          </w:tcPr>
          <w:p>
            <w:pPr>
              <w:keepNext/>
              <w:jc w:val="center"/>
            </w:pPr>
            <w:r>
              <w:rPr>
                <w:rFonts w:ascii="Calibri" w:hAnsi="Calibri"/>
                <w:b/>
                <w:i w:val="0"/>
                <w:sz w:val="18"/>
              </w:rPr>
              <w:t>-0.0116</w:t>
            </w:r>
          </w:p>
        </w:tc>
        <w:tc>
          <w:tcPr>
            <w:tcW w:type="dxa" w:w="1296"/>
            <w:shd w:val="clear" w:color="auto" w:fill="FCE4B8"/>
          </w:tcPr>
          <w:p>
            <w:pPr>
              <w:keepNext/>
              <w:jc w:val="center"/>
            </w:pPr>
            <w:r>
              <w:rPr>
                <w:rFonts w:ascii="Calibri" w:hAnsi="Calibri"/>
                <w:b/>
                <w:i w:val="0"/>
                <w:sz w:val="18"/>
              </w:rPr>
              <w:t>0.0088</w:t>
            </w:r>
          </w:p>
        </w:tc>
      </w:tr>
    </w:tbl>
    <w:p>
      <w:pPr>
        <w:keepNext w:val="0"/>
        <w:spacing w:before="40" w:after="160"/>
        <w:jc w:val="center"/>
      </w:pPr>
      <w:r>
        <w:rPr>
          <w:rFonts w:ascii="Calibri" w:hAnsi="Calibri"/>
          <w:b w:val="0"/>
          <w:i/>
          <w:color w:val="404040"/>
          <w:sz w:val="18"/>
        </w:rPr>
        <w:t>Tabla 1. Error de imputación (ppm) sobre las 2,706 horas con NO₂ y CO observados; 241 de ellas tienen CO por encima de la cerca. *Validación fuera de muestra: modelos reestimados con septiembre y octubre y evaluados en noviembre y diciembre. Sesgo = observado − estimado.</w:t>
      </w:r>
    </w:p>
    <w:p>
      <w:pPr>
        <w:keepNext w:val="0"/>
        <w:spacing w:before="0" w:after="100"/>
        <w:jc w:val="both"/>
      </w:pPr>
      <w:r>
        <w:rPr>
          <w:rFonts w:ascii="Calibri" w:hAnsi="Calibri"/>
          <w:b w:val="0"/>
          <w:i w:val="0"/>
          <w:sz w:val="20"/>
        </w:rPr>
        <w:t>Con CO normal, el modelo 1.5 se equivoca menos (RMSE de 0.0060 contra 0.0076 ppm). El problema aparece cuando el CO pasa de la cerca. Ahí la recta sigue subiendo, pero el NO₂ real ya no, porque la relación se aplana en valores altos (lo mismo que se vio en la Tarea 1.4), y el modelo termina sobrestimando el NO₂ en 0.044 ppm en promedio. El modelo 1.4 tiene menos pendiente y en ese tramo falla mucho menos.</w:t>
      </w:r>
    </w:p>
    <w:p>
      <w:pPr>
        <w:keepNext/>
        <w:spacing w:before="0" w:after="100"/>
        <w:jc w:val="both"/>
      </w:pPr>
      <w:r>
        <w:rPr>
          <w:rFonts w:ascii="Calibri" w:hAnsi="Calibri"/>
          <w:b w:val="0"/>
          <w:i w:val="0"/>
          <w:sz w:val="20"/>
        </w:rPr>
        <w:t>Con eso en mente probé dos reglas más. La primera combina los modelos: el 1.5 hasta la cerca y el 1.4 de ahí en adelante. La segunda usa solo el 1.5, pero sin dejar que se salga de su rango: si el CO rebasa la cerca, el NO₂ se queda en el valor que el modelo da justo en ella (0.0593 ppm).</w:t>
      </w:r>
    </w:p>
    <w:p>
      <w:pPr>
        <w:keepNext/>
        <w:jc w:val="center"/>
      </w:pPr>
      <w:r>
        <w:drawing>
          <wp:inline xmlns:a="http://schemas.openxmlformats.org/drawingml/2006/main" xmlns:pic="http://schemas.openxmlformats.org/drawingml/2006/picture">
            <wp:extent cx="5120640" cy="2710144"/>
            <wp:docPr id="2" name="Picture 2"/>
            <wp:cNvGraphicFramePr>
              <a:graphicFrameLocks noChangeAspect="1"/>
            </wp:cNvGraphicFramePr>
            <a:graphic>
              <a:graphicData uri="http://schemas.openxmlformats.org/drawingml/2006/picture">
                <pic:pic>
                  <pic:nvPicPr>
                    <pic:cNvPr id="0" name="modelos_imputacion.png"/>
                    <pic:cNvPicPr/>
                  </pic:nvPicPr>
                  <pic:blipFill>
                    <a:blip r:embed="rId9"/>
                    <a:stretch>
                      <a:fillRect/>
                    </a:stretch>
                  </pic:blipFill>
                  <pic:spPr>
                    <a:xfrm>
                      <a:off x="0" y="0"/>
                      <a:ext cx="5120640" cy="2710144"/>
                    </a:xfrm>
                    <a:prstGeom prst="rect"/>
                  </pic:spPr>
                </pic:pic>
              </a:graphicData>
            </a:graphic>
          </wp:inline>
        </w:drawing>
      </w:r>
    </w:p>
    <w:p>
      <w:pPr>
        <w:keepNext w:val="0"/>
        <w:spacing w:before="40" w:after="160"/>
        <w:jc w:val="center"/>
      </w:pPr>
      <w:r>
        <w:rPr>
          <w:rFonts w:ascii="Calibri" w:hAnsi="Calibri"/>
          <w:b w:val="0"/>
          <w:i/>
          <w:color w:val="404040"/>
          <w:sz w:val="18"/>
        </w:rPr>
        <w:t>Figura 1. Modelos de regresión simple del NO₂ en función del CO y reglas de imputación evaluadas. La línea azul gruesa es la regla adoptada.</w:t>
      </w:r>
    </w:p>
    <w:p>
      <w:pPr>
        <w:keepNext w:val="0"/>
        <w:spacing w:before="0" w:after="100"/>
        <w:jc w:val="both"/>
      </w:pPr>
      <w:r>
        <w:rPr>
          <w:rFonts w:ascii="Calibri" w:hAnsi="Calibri"/>
          <w:b w:val="0"/>
          <w:i w:val="0"/>
          <w:sz w:val="20"/>
        </w:rPr>
        <w:t>Medida con los mismos datos del ajuste, la regla combinada sale un poco mejor (RMSE de 0.0074 contra 0.0075 ppm). Sin embargo, tiene un salto en la cerca: el NO₂ estimado baja de golpe de 0.059 a 0.036 ppm, lo cual no tiene explicación física. Para decidir hice una prueba fuera de muestra: reajusté los modelos solo con septiembre y octubre y los apliqué a noviembre y diciembre. Las tres opciones que prolongan una recta quedaron con errores parecidos, alrededor de 0.019 ppm, y el modelo acotado bajó a 0.0088 ppm. Por eso me quedé con el modelo 1.5 acotado. La prueba también deja ver que la relación entre el NO₂ y el CO no es igual todos los meses, así que los valores imputados hay que leerlos como una aproximación.</w:t>
      </w:r>
    </w:p>
    <w:p>
      <w:pPr>
        <w:keepNext/>
        <w:spacing w:before="140" w:after="60"/>
        <w:jc w:val="left"/>
      </w:pPr>
      <w:r>
        <w:rPr>
          <w:rFonts w:ascii="Calibri" w:hAnsi="Calibri"/>
          <w:b/>
          <w:i w:val="0"/>
          <w:color w:val="1F497D"/>
          <w:sz w:val="22"/>
        </w:rPr>
        <w:t>2.3 Serie completada</w:t>
      </w:r>
    </w:p>
    <w:p>
      <w:pPr>
        <w:keepNext/>
        <w:spacing w:before="0" w:after="100"/>
        <w:jc w:val="both"/>
      </w:pPr>
      <w:r>
        <w:rPr>
          <w:rFonts w:ascii="Calibri" w:hAnsi="Calibri"/>
          <w:b w:val="0"/>
          <w:i w:val="0"/>
          <w:sz w:val="20"/>
        </w:rPr>
        <w:t>En total se imputaron 5,711 horas. En 446 de ellas el CO estaba por encima de la cerca y el NO₂ se quedó en el valor límite. La Figura 2 muestra la serie diaria y la Tabla 2 los promedios por mes.</w:t>
      </w:r>
    </w:p>
    <w:p>
      <w:pPr>
        <w:keepNext/>
        <w:jc w:val="center"/>
      </w:pPr>
      <w:r>
        <w:drawing>
          <wp:inline xmlns:a="http://schemas.openxmlformats.org/drawingml/2006/main" xmlns:pic="http://schemas.openxmlformats.org/drawingml/2006/picture">
            <wp:extent cx="5852160" cy="2066933"/>
            <wp:docPr id="3" name="Picture 3"/>
            <wp:cNvGraphicFramePr>
              <a:graphicFrameLocks noChangeAspect="1"/>
            </wp:cNvGraphicFramePr>
            <a:graphic>
              <a:graphicData uri="http://schemas.openxmlformats.org/drawingml/2006/picture">
                <pic:pic>
                  <pic:nvPicPr>
                    <pic:cNvPr id="0" name="serie_no2_imputada.png"/>
                    <pic:cNvPicPr/>
                  </pic:nvPicPr>
                  <pic:blipFill>
                    <a:blip r:embed="rId10"/>
                    <a:stretch>
                      <a:fillRect/>
                    </a:stretch>
                  </pic:blipFill>
                  <pic:spPr>
                    <a:xfrm>
                      <a:off x="0" y="0"/>
                      <a:ext cx="5852160" cy="2066933"/>
                    </a:xfrm>
                    <a:prstGeom prst="rect"/>
                  </pic:spPr>
                </pic:pic>
              </a:graphicData>
            </a:graphic>
          </wp:inline>
        </w:drawing>
      </w:r>
    </w:p>
    <w:p>
      <w:pPr>
        <w:keepNext w:val="0"/>
        <w:spacing w:before="40" w:after="160"/>
        <w:jc w:val="center"/>
      </w:pPr>
      <w:r>
        <w:rPr>
          <w:rFonts w:ascii="Calibri" w:hAnsi="Calibri"/>
          <w:b w:val="0"/>
          <w:i/>
          <w:color w:val="404040"/>
          <w:sz w:val="18"/>
        </w:rPr>
        <w:t>Figura 2. Promedio diario de NO₂ observado (septiembre a diciembre) e imputado a partir del CO, estación Centro, 2024.</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872"/>
            <w:shd w:val="clear" w:color="auto" w:fill="1F497D"/>
          </w:tcPr>
          <w:p>
            <w:pPr>
              <w:keepNext/>
              <w:jc w:val="center"/>
            </w:pPr>
            <w:r>
              <w:rPr>
                <w:rFonts w:ascii="Calibri" w:hAnsi="Calibri"/>
                <w:b/>
                <w:i w:val="0"/>
                <w:color w:val="FFFFFF"/>
                <w:sz w:val="18"/>
              </w:rPr>
              <w:t>Mes</w:t>
            </w:r>
          </w:p>
        </w:tc>
        <w:tc>
          <w:tcPr>
            <w:tcW w:type="dxa" w:w="1584"/>
            <w:shd w:val="clear" w:color="auto" w:fill="1F497D"/>
          </w:tcPr>
          <w:p>
            <w:pPr>
              <w:keepNext/>
              <w:jc w:val="center"/>
            </w:pPr>
            <w:r>
              <w:rPr>
                <w:rFonts w:ascii="Calibri" w:hAnsi="Calibri"/>
                <w:b/>
                <w:i w:val="0"/>
                <w:color w:val="FFFFFF"/>
                <w:sz w:val="18"/>
              </w:rPr>
              <w:t>Horas observadas</w:t>
            </w:r>
          </w:p>
        </w:tc>
        <w:tc>
          <w:tcPr>
            <w:tcW w:type="dxa" w:w="1584"/>
            <w:shd w:val="clear" w:color="auto" w:fill="1F497D"/>
          </w:tcPr>
          <w:p>
            <w:pPr>
              <w:keepNext/>
              <w:jc w:val="center"/>
            </w:pPr>
            <w:r>
              <w:rPr>
                <w:rFonts w:ascii="Calibri" w:hAnsi="Calibri"/>
                <w:b/>
                <w:i w:val="0"/>
                <w:color w:val="FFFFFF"/>
                <w:sz w:val="18"/>
              </w:rPr>
              <w:t>Horas imputadas</w:t>
            </w:r>
          </w:p>
        </w:tc>
        <w:tc>
          <w:tcPr>
            <w:tcW w:type="dxa" w:w="1584"/>
            <w:shd w:val="clear" w:color="auto" w:fill="1F497D"/>
          </w:tcPr>
          <w:p>
            <w:pPr>
              <w:keepNext/>
              <w:jc w:val="center"/>
            </w:pPr>
            <w:r>
              <w:rPr>
                <w:rFonts w:ascii="Calibri" w:hAnsi="Calibri"/>
                <w:b/>
                <w:i w:val="0"/>
                <w:color w:val="FFFFFF"/>
                <w:sz w:val="18"/>
              </w:rPr>
              <w:t>NO₂ observado</w:t>
            </w:r>
          </w:p>
        </w:tc>
        <w:tc>
          <w:tcPr>
            <w:tcW w:type="dxa" w:w="1584"/>
            <w:shd w:val="clear" w:color="auto" w:fill="1F497D"/>
          </w:tcPr>
          <w:p>
            <w:pPr>
              <w:keepNext/>
              <w:jc w:val="center"/>
            </w:pPr>
            <w:r>
              <w:rPr>
                <w:rFonts w:ascii="Calibri" w:hAnsi="Calibri"/>
                <w:b/>
                <w:i w:val="0"/>
                <w:color w:val="FFFFFF"/>
                <w:sz w:val="18"/>
              </w:rPr>
              <w:t>NO₂ completado</w:t>
            </w:r>
          </w:p>
        </w:tc>
      </w:tr>
      <w:tr>
        <w:tc>
          <w:tcPr>
            <w:tcW w:type="dxa" w:w="1872"/>
            <w:shd w:val="clear" w:color="auto" w:fill="FFFFFF"/>
          </w:tcPr>
          <w:p>
            <w:pPr>
              <w:keepNext/>
              <w:jc w:val="left"/>
            </w:pPr>
            <w:r>
              <w:rPr>
                <w:rFonts w:ascii="Calibri" w:hAnsi="Calibri"/>
                <w:b w:val="0"/>
                <w:i w:val="0"/>
                <w:sz w:val="18"/>
              </w:rPr>
              <w:t>Enero</w:t>
            </w:r>
          </w:p>
        </w:tc>
        <w:tc>
          <w:tcPr>
            <w:tcW w:type="dxa" w:w="1584"/>
            <w:shd w:val="clear" w:color="auto" w:fill="FFFFFF"/>
          </w:tcPr>
          <w:p>
            <w:pPr>
              <w:keepNext/>
              <w:jc w:val="center"/>
            </w:pPr>
            <w:r>
              <w:rPr>
                <w:rFonts w:ascii="Calibri" w:hAnsi="Calibri"/>
                <w:b w:val="0"/>
                <w:i w:val="0"/>
                <w:sz w:val="18"/>
              </w:rPr>
              <w:t>0</w:t>
            </w:r>
          </w:p>
        </w:tc>
        <w:tc>
          <w:tcPr>
            <w:tcW w:type="dxa" w:w="1584"/>
            <w:shd w:val="clear" w:color="auto" w:fill="FFFFFF"/>
          </w:tcPr>
          <w:p>
            <w:pPr>
              <w:keepNext/>
              <w:jc w:val="center"/>
            </w:pPr>
            <w:r>
              <w:rPr>
                <w:rFonts w:ascii="Calibri" w:hAnsi="Calibri"/>
                <w:b w:val="0"/>
                <w:i w:val="0"/>
                <w:sz w:val="18"/>
              </w:rPr>
              <w:t>711</w:t>
            </w:r>
          </w:p>
        </w:tc>
        <w:tc>
          <w:tcPr>
            <w:tcW w:type="dxa" w:w="1584"/>
            <w:shd w:val="clear" w:color="auto" w:fill="FFFFFF"/>
          </w:tcPr>
          <w:p>
            <w:pPr>
              <w:keepNext/>
              <w:jc w:val="center"/>
            </w:pPr>
            <w:r>
              <w:rPr>
                <w:rFonts w:ascii="Calibri" w:hAnsi="Calibri"/>
                <w:b w:val="0"/>
                <w:i w:val="0"/>
                <w:sz w:val="18"/>
              </w:rPr>
            </w:r>
          </w:p>
        </w:tc>
        <w:tc>
          <w:tcPr>
            <w:tcW w:type="dxa" w:w="1584"/>
            <w:shd w:val="clear" w:color="auto" w:fill="FFFFFF"/>
          </w:tcPr>
          <w:p>
            <w:pPr>
              <w:keepNext/>
              <w:jc w:val="center"/>
            </w:pPr>
            <w:r>
              <w:rPr>
                <w:rFonts w:ascii="Calibri" w:hAnsi="Calibri"/>
                <w:b w:val="0"/>
                <w:i w:val="0"/>
                <w:sz w:val="18"/>
              </w:rPr>
              <w:t>0.0409</w:t>
            </w:r>
          </w:p>
        </w:tc>
      </w:tr>
      <w:tr>
        <w:tc>
          <w:tcPr>
            <w:tcW w:type="dxa" w:w="1872"/>
            <w:shd w:val="clear" w:color="auto" w:fill="F2F2F2"/>
          </w:tcPr>
          <w:p>
            <w:pPr>
              <w:keepNext/>
              <w:jc w:val="left"/>
            </w:pPr>
            <w:r>
              <w:rPr>
                <w:rFonts w:ascii="Calibri" w:hAnsi="Calibri"/>
                <w:b w:val="0"/>
                <w:i w:val="0"/>
                <w:sz w:val="18"/>
              </w:rPr>
              <w:t>Febrero</w:t>
            </w:r>
          </w:p>
        </w:tc>
        <w:tc>
          <w:tcPr>
            <w:tcW w:type="dxa" w:w="1584"/>
            <w:shd w:val="clear" w:color="auto" w:fill="F2F2F2"/>
          </w:tcPr>
          <w:p>
            <w:pPr>
              <w:keepNext/>
              <w:jc w:val="center"/>
            </w:pPr>
            <w:r>
              <w:rPr>
                <w:rFonts w:ascii="Calibri" w:hAnsi="Calibri"/>
                <w:b w:val="0"/>
                <w:i w:val="0"/>
                <w:sz w:val="18"/>
              </w:rPr>
              <w:t>0</w:t>
            </w:r>
          </w:p>
        </w:tc>
        <w:tc>
          <w:tcPr>
            <w:tcW w:type="dxa" w:w="1584"/>
            <w:shd w:val="clear" w:color="auto" w:fill="F2F2F2"/>
          </w:tcPr>
          <w:p>
            <w:pPr>
              <w:keepNext/>
              <w:jc w:val="center"/>
            </w:pPr>
            <w:r>
              <w:rPr>
                <w:rFonts w:ascii="Calibri" w:hAnsi="Calibri"/>
                <w:b w:val="0"/>
                <w:i w:val="0"/>
                <w:sz w:val="18"/>
              </w:rPr>
              <w:t>692</w:t>
            </w:r>
          </w:p>
        </w:tc>
        <w:tc>
          <w:tcPr>
            <w:tcW w:type="dxa" w:w="1584"/>
            <w:shd w:val="clear" w:color="auto" w:fill="F2F2F2"/>
          </w:tcPr>
          <w:p>
            <w:pPr>
              <w:keepNext/>
              <w:jc w:val="center"/>
            </w:pPr>
            <w:r>
              <w:rPr>
                <w:rFonts w:ascii="Calibri" w:hAnsi="Calibri"/>
                <w:b w:val="0"/>
                <w:i w:val="0"/>
                <w:sz w:val="18"/>
              </w:rPr>
            </w:r>
          </w:p>
        </w:tc>
        <w:tc>
          <w:tcPr>
            <w:tcW w:type="dxa" w:w="1584"/>
            <w:shd w:val="clear" w:color="auto" w:fill="F2F2F2"/>
          </w:tcPr>
          <w:p>
            <w:pPr>
              <w:keepNext/>
              <w:jc w:val="center"/>
            </w:pPr>
            <w:r>
              <w:rPr>
                <w:rFonts w:ascii="Calibri" w:hAnsi="Calibri"/>
                <w:b w:val="0"/>
                <w:i w:val="0"/>
                <w:sz w:val="18"/>
              </w:rPr>
              <w:t>0.0348</w:t>
            </w:r>
          </w:p>
        </w:tc>
      </w:tr>
      <w:tr>
        <w:tc>
          <w:tcPr>
            <w:tcW w:type="dxa" w:w="1872"/>
            <w:shd w:val="clear" w:color="auto" w:fill="FFFFFF"/>
          </w:tcPr>
          <w:p>
            <w:pPr>
              <w:keepNext/>
              <w:jc w:val="left"/>
            </w:pPr>
            <w:r>
              <w:rPr>
                <w:rFonts w:ascii="Calibri" w:hAnsi="Calibri"/>
                <w:b w:val="0"/>
                <w:i w:val="0"/>
                <w:sz w:val="18"/>
              </w:rPr>
              <w:t>Marzo</w:t>
            </w:r>
          </w:p>
        </w:tc>
        <w:tc>
          <w:tcPr>
            <w:tcW w:type="dxa" w:w="1584"/>
            <w:shd w:val="clear" w:color="auto" w:fill="FFFFFF"/>
          </w:tcPr>
          <w:p>
            <w:pPr>
              <w:keepNext/>
              <w:jc w:val="center"/>
            </w:pPr>
            <w:r>
              <w:rPr>
                <w:rFonts w:ascii="Calibri" w:hAnsi="Calibri"/>
                <w:b w:val="0"/>
                <w:i w:val="0"/>
                <w:sz w:val="18"/>
              </w:rPr>
              <w:t>0</w:t>
            </w:r>
          </w:p>
        </w:tc>
        <w:tc>
          <w:tcPr>
            <w:tcW w:type="dxa" w:w="1584"/>
            <w:shd w:val="clear" w:color="auto" w:fill="FFFFFF"/>
          </w:tcPr>
          <w:p>
            <w:pPr>
              <w:keepNext/>
              <w:jc w:val="center"/>
            </w:pPr>
            <w:r>
              <w:rPr>
                <w:rFonts w:ascii="Calibri" w:hAnsi="Calibri"/>
                <w:b w:val="0"/>
                <w:i w:val="0"/>
                <w:sz w:val="18"/>
              </w:rPr>
              <w:t>741</w:t>
            </w:r>
          </w:p>
        </w:tc>
        <w:tc>
          <w:tcPr>
            <w:tcW w:type="dxa" w:w="1584"/>
            <w:shd w:val="clear" w:color="auto" w:fill="FFFFFF"/>
          </w:tcPr>
          <w:p>
            <w:pPr>
              <w:keepNext/>
              <w:jc w:val="center"/>
            </w:pPr>
            <w:r>
              <w:rPr>
                <w:rFonts w:ascii="Calibri" w:hAnsi="Calibri"/>
                <w:b w:val="0"/>
                <w:i w:val="0"/>
                <w:sz w:val="18"/>
              </w:rPr>
            </w:r>
          </w:p>
        </w:tc>
        <w:tc>
          <w:tcPr>
            <w:tcW w:type="dxa" w:w="1584"/>
            <w:shd w:val="clear" w:color="auto" w:fill="FFFFFF"/>
          </w:tcPr>
          <w:p>
            <w:pPr>
              <w:keepNext/>
              <w:jc w:val="center"/>
            </w:pPr>
            <w:r>
              <w:rPr>
                <w:rFonts w:ascii="Calibri" w:hAnsi="Calibri"/>
                <w:b w:val="0"/>
                <w:i w:val="0"/>
                <w:sz w:val="18"/>
              </w:rPr>
              <w:t>0.0302</w:t>
            </w:r>
          </w:p>
        </w:tc>
      </w:tr>
      <w:tr>
        <w:tc>
          <w:tcPr>
            <w:tcW w:type="dxa" w:w="1872"/>
            <w:shd w:val="clear" w:color="auto" w:fill="F2F2F2"/>
          </w:tcPr>
          <w:p>
            <w:pPr>
              <w:keepNext/>
              <w:jc w:val="left"/>
            </w:pPr>
            <w:r>
              <w:rPr>
                <w:rFonts w:ascii="Calibri" w:hAnsi="Calibri"/>
                <w:b w:val="0"/>
                <w:i w:val="0"/>
                <w:sz w:val="18"/>
              </w:rPr>
              <w:t>Abril</w:t>
            </w:r>
          </w:p>
        </w:tc>
        <w:tc>
          <w:tcPr>
            <w:tcW w:type="dxa" w:w="1584"/>
            <w:shd w:val="clear" w:color="auto" w:fill="F2F2F2"/>
          </w:tcPr>
          <w:p>
            <w:pPr>
              <w:keepNext/>
              <w:jc w:val="center"/>
            </w:pPr>
            <w:r>
              <w:rPr>
                <w:rFonts w:ascii="Calibri" w:hAnsi="Calibri"/>
                <w:b w:val="0"/>
                <w:i w:val="0"/>
                <w:sz w:val="18"/>
              </w:rPr>
              <w:t>0</w:t>
            </w:r>
          </w:p>
        </w:tc>
        <w:tc>
          <w:tcPr>
            <w:tcW w:type="dxa" w:w="1584"/>
            <w:shd w:val="clear" w:color="auto" w:fill="F2F2F2"/>
          </w:tcPr>
          <w:p>
            <w:pPr>
              <w:keepNext/>
              <w:jc w:val="center"/>
            </w:pPr>
            <w:r>
              <w:rPr>
                <w:rFonts w:ascii="Calibri" w:hAnsi="Calibri"/>
                <w:b w:val="0"/>
                <w:i w:val="0"/>
                <w:sz w:val="18"/>
              </w:rPr>
              <w:t>706</w:t>
            </w:r>
          </w:p>
        </w:tc>
        <w:tc>
          <w:tcPr>
            <w:tcW w:type="dxa" w:w="1584"/>
            <w:shd w:val="clear" w:color="auto" w:fill="F2F2F2"/>
          </w:tcPr>
          <w:p>
            <w:pPr>
              <w:keepNext/>
              <w:jc w:val="center"/>
            </w:pPr>
            <w:r>
              <w:rPr>
                <w:rFonts w:ascii="Calibri" w:hAnsi="Calibri"/>
                <w:b w:val="0"/>
                <w:i w:val="0"/>
                <w:sz w:val="18"/>
              </w:rPr>
            </w:r>
          </w:p>
        </w:tc>
        <w:tc>
          <w:tcPr>
            <w:tcW w:type="dxa" w:w="1584"/>
            <w:shd w:val="clear" w:color="auto" w:fill="F2F2F2"/>
          </w:tcPr>
          <w:p>
            <w:pPr>
              <w:keepNext/>
              <w:jc w:val="center"/>
            </w:pPr>
            <w:r>
              <w:rPr>
                <w:rFonts w:ascii="Calibri" w:hAnsi="Calibri"/>
                <w:b w:val="0"/>
                <w:i w:val="0"/>
                <w:sz w:val="18"/>
              </w:rPr>
              <w:t>0.0269</w:t>
            </w:r>
          </w:p>
        </w:tc>
      </w:tr>
      <w:tr>
        <w:tc>
          <w:tcPr>
            <w:tcW w:type="dxa" w:w="1872"/>
            <w:shd w:val="clear" w:color="auto" w:fill="FFFFFF"/>
          </w:tcPr>
          <w:p>
            <w:pPr>
              <w:keepNext/>
              <w:jc w:val="left"/>
            </w:pPr>
            <w:r>
              <w:rPr>
                <w:rFonts w:ascii="Calibri" w:hAnsi="Calibri"/>
                <w:b w:val="0"/>
                <w:i w:val="0"/>
                <w:sz w:val="18"/>
              </w:rPr>
              <w:t>Mayo</w:t>
            </w:r>
          </w:p>
        </w:tc>
        <w:tc>
          <w:tcPr>
            <w:tcW w:type="dxa" w:w="1584"/>
            <w:shd w:val="clear" w:color="auto" w:fill="FFFFFF"/>
          </w:tcPr>
          <w:p>
            <w:pPr>
              <w:keepNext/>
              <w:jc w:val="center"/>
            </w:pPr>
            <w:r>
              <w:rPr>
                <w:rFonts w:ascii="Calibri" w:hAnsi="Calibri"/>
                <w:b w:val="0"/>
                <w:i w:val="0"/>
                <w:sz w:val="18"/>
              </w:rPr>
              <w:t>0</w:t>
            </w:r>
          </w:p>
        </w:tc>
        <w:tc>
          <w:tcPr>
            <w:tcW w:type="dxa" w:w="1584"/>
            <w:shd w:val="clear" w:color="auto" w:fill="FFFFFF"/>
          </w:tcPr>
          <w:p>
            <w:pPr>
              <w:keepNext/>
              <w:jc w:val="center"/>
            </w:pPr>
            <w:r>
              <w:rPr>
                <w:rFonts w:ascii="Calibri" w:hAnsi="Calibri"/>
                <w:b w:val="0"/>
                <w:i w:val="0"/>
                <w:sz w:val="18"/>
              </w:rPr>
              <w:t>742</w:t>
            </w:r>
          </w:p>
        </w:tc>
        <w:tc>
          <w:tcPr>
            <w:tcW w:type="dxa" w:w="1584"/>
            <w:shd w:val="clear" w:color="auto" w:fill="FFFFFF"/>
          </w:tcPr>
          <w:p>
            <w:pPr>
              <w:keepNext/>
              <w:jc w:val="center"/>
            </w:pPr>
            <w:r>
              <w:rPr>
                <w:rFonts w:ascii="Calibri" w:hAnsi="Calibri"/>
                <w:b w:val="0"/>
                <w:i w:val="0"/>
                <w:sz w:val="18"/>
              </w:rPr>
            </w:r>
          </w:p>
        </w:tc>
        <w:tc>
          <w:tcPr>
            <w:tcW w:type="dxa" w:w="1584"/>
            <w:shd w:val="clear" w:color="auto" w:fill="FFFFFF"/>
          </w:tcPr>
          <w:p>
            <w:pPr>
              <w:keepNext/>
              <w:jc w:val="center"/>
            </w:pPr>
            <w:r>
              <w:rPr>
                <w:rFonts w:ascii="Calibri" w:hAnsi="Calibri"/>
                <w:b w:val="0"/>
                <w:i w:val="0"/>
                <w:sz w:val="18"/>
              </w:rPr>
              <w:t>0.0263</w:t>
            </w:r>
          </w:p>
        </w:tc>
      </w:tr>
      <w:tr>
        <w:tc>
          <w:tcPr>
            <w:tcW w:type="dxa" w:w="1872"/>
            <w:shd w:val="clear" w:color="auto" w:fill="F2F2F2"/>
          </w:tcPr>
          <w:p>
            <w:pPr>
              <w:keepNext/>
              <w:jc w:val="left"/>
            </w:pPr>
            <w:r>
              <w:rPr>
                <w:rFonts w:ascii="Calibri" w:hAnsi="Calibri"/>
                <w:b w:val="0"/>
                <w:i w:val="0"/>
                <w:sz w:val="18"/>
              </w:rPr>
              <w:t>Junio</w:t>
            </w:r>
          </w:p>
        </w:tc>
        <w:tc>
          <w:tcPr>
            <w:tcW w:type="dxa" w:w="1584"/>
            <w:shd w:val="clear" w:color="auto" w:fill="F2F2F2"/>
          </w:tcPr>
          <w:p>
            <w:pPr>
              <w:keepNext/>
              <w:jc w:val="center"/>
            </w:pPr>
            <w:r>
              <w:rPr>
                <w:rFonts w:ascii="Calibri" w:hAnsi="Calibri"/>
                <w:b w:val="0"/>
                <w:i w:val="0"/>
                <w:sz w:val="18"/>
              </w:rPr>
              <w:t>0</w:t>
            </w:r>
          </w:p>
        </w:tc>
        <w:tc>
          <w:tcPr>
            <w:tcW w:type="dxa" w:w="1584"/>
            <w:shd w:val="clear" w:color="auto" w:fill="F2F2F2"/>
          </w:tcPr>
          <w:p>
            <w:pPr>
              <w:keepNext/>
              <w:jc w:val="center"/>
            </w:pPr>
            <w:r>
              <w:rPr>
                <w:rFonts w:ascii="Calibri" w:hAnsi="Calibri"/>
                <w:b w:val="0"/>
                <w:i w:val="0"/>
                <w:sz w:val="18"/>
              </w:rPr>
              <w:t>720</w:t>
            </w:r>
          </w:p>
        </w:tc>
        <w:tc>
          <w:tcPr>
            <w:tcW w:type="dxa" w:w="1584"/>
            <w:shd w:val="clear" w:color="auto" w:fill="F2F2F2"/>
          </w:tcPr>
          <w:p>
            <w:pPr>
              <w:keepNext/>
              <w:jc w:val="center"/>
            </w:pPr>
            <w:r>
              <w:rPr>
                <w:rFonts w:ascii="Calibri" w:hAnsi="Calibri"/>
                <w:b w:val="0"/>
                <w:i w:val="0"/>
                <w:sz w:val="18"/>
              </w:rPr>
            </w:r>
          </w:p>
        </w:tc>
        <w:tc>
          <w:tcPr>
            <w:tcW w:type="dxa" w:w="1584"/>
            <w:shd w:val="clear" w:color="auto" w:fill="F2F2F2"/>
          </w:tcPr>
          <w:p>
            <w:pPr>
              <w:keepNext/>
              <w:jc w:val="center"/>
            </w:pPr>
            <w:r>
              <w:rPr>
                <w:rFonts w:ascii="Calibri" w:hAnsi="Calibri"/>
                <w:b w:val="0"/>
                <w:i w:val="0"/>
                <w:sz w:val="18"/>
              </w:rPr>
              <w:t>0.0244</w:t>
            </w:r>
          </w:p>
        </w:tc>
      </w:tr>
      <w:tr>
        <w:tc>
          <w:tcPr>
            <w:tcW w:type="dxa" w:w="1872"/>
            <w:shd w:val="clear" w:color="auto" w:fill="FFFFFF"/>
          </w:tcPr>
          <w:p>
            <w:pPr>
              <w:keepNext/>
              <w:jc w:val="left"/>
            </w:pPr>
            <w:r>
              <w:rPr>
                <w:rFonts w:ascii="Calibri" w:hAnsi="Calibri"/>
                <w:b w:val="0"/>
                <w:i w:val="0"/>
                <w:sz w:val="18"/>
              </w:rPr>
              <w:t>Julio</w:t>
            </w:r>
          </w:p>
        </w:tc>
        <w:tc>
          <w:tcPr>
            <w:tcW w:type="dxa" w:w="1584"/>
            <w:shd w:val="clear" w:color="auto" w:fill="FFFFFF"/>
          </w:tcPr>
          <w:p>
            <w:pPr>
              <w:keepNext/>
              <w:jc w:val="center"/>
            </w:pPr>
            <w:r>
              <w:rPr>
                <w:rFonts w:ascii="Calibri" w:hAnsi="Calibri"/>
                <w:b w:val="0"/>
                <w:i w:val="0"/>
                <w:sz w:val="18"/>
              </w:rPr>
              <w:t>0</w:t>
            </w:r>
          </w:p>
        </w:tc>
        <w:tc>
          <w:tcPr>
            <w:tcW w:type="dxa" w:w="1584"/>
            <w:shd w:val="clear" w:color="auto" w:fill="FFFFFF"/>
          </w:tcPr>
          <w:p>
            <w:pPr>
              <w:keepNext/>
              <w:jc w:val="center"/>
            </w:pPr>
            <w:r>
              <w:rPr>
                <w:rFonts w:ascii="Calibri" w:hAnsi="Calibri"/>
                <w:b w:val="0"/>
                <w:i w:val="0"/>
                <w:sz w:val="18"/>
              </w:rPr>
              <w:t>688</w:t>
            </w:r>
          </w:p>
        </w:tc>
        <w:tc>
          <w:tcPr>
            <w:tcW w:type="dxa" w:w="1584"/>
            <w:shd w:val="clear" w:color="auto" w:fill="FFFFFF"/>
          </w:tcPr>
          <w:p>
            <w:pPr>
              <w:keepNext/>
              <w:jc w:val="center"/>
            </w:pPr>
            <w:r>
              <w:rPr>
                <w:rFonts w:ascii="Calibri" w:hAnsi="Calibri"/>
                <w:b w:val="0"/>
                <w:i w:val="0"/>
                <w:sz w:val="18"/>
              </w:rPr>
            </w:r>
          </w:p>
        </w:tc>
        <w:tc>
          <w:tcPr>
            <w:tcW w:type="dxa" w:w="1584"/>
            <w:shd w:val="clear" w:color="auto" w:fill="FFFFFF"/>
          </w:tcPr>
          <w:p>
            <w:pPr>
              <w:keepNext/>
              <w:jc w:val="center"/>
            </w:pPr>
            <w:r>
              <w:rPr>
                <w:rFonts w:ascii="Calibri" w:hAnsi="Calibri"/>
                <w:b w:val="0"/>
                <w:i w:val="0"/>
                <w:sz w:val="18"/>
              </w:rPr>
              <w:t>0.0264</w:t>
            </w:r>
          </w:p>
        </w:tc>
      </w:tr>
      <w:tr>
        <w:tc>
          <w:tcPr>
            <w:tcW w:type="dxa" w:w="1872"/>
            <w:shd w:val="clear" w:color="auto" w:fill="F2F2F2"/>
          </w:tcPr>
          <w:p>
            <w:pPr>
              <w:keepNext/>
              <w:jc w:val="left"/>
            </w:pPr>
            <w:r>
              <w:rPr>
                <w:rFonts w:ascii="Calibri" w:hAnsi="Calibri"/>
                <w:b w:val="0"/>
                <w:i w:val="0"/>
                <w:sz w:val="18"/>
              </w:rPr>
              <w:t>Agosto</w:t>
            </w:r>
          </w:p>
        </w:tc>
        <w:tc>
          <w:tcPr>
            <w:tcW w:type="dxa" w:w="1584"/>
            <w:shd w:val="clear" w:color="auto" w:fill="F2F2F2"/>
          </w:tcPr>
          <w:p>
            <w:pPr>
              <w:keepNext/>
              <w:jc w:val="center"/>
            </w:pPr>
            <w:r>
              <w:rPr>
                <w:rFonts w:ascii="Calibri" w:hAnsi="Calibri"/>
                <w:b w:val="0"/>
                <w:i w:val="0"/>
                <w:sz w:val="18"/>
              </w:rPr>
              <w:t>0</w:t>
            </w:r>
          </w:p>
        </w:tc>
        <w:tc>
          <w:tcPr>
            <w:tcW w:type="dxa" w:w="1584"/>
            <w:shd w:val="clear" w:color="auto" w:fill="F2F2F2"/>
          </w:tcPr>
          <w:p>
            <w:pPr>
              <w:keepNext/>
              <w:jc w:val="center"/>
            </w:pPr>
            <w:r>
              <w:rPr>
                <w:rFonts w:ascii="Calibri" w:hAnsi="Calibri"/>
                <w:b w:val="0"/>
                <w:i w:val="0"/>
                <w:sz w:val="18"/>
              </w:rPr>
              <w:t>653</w:t>
            </w:r>
          </w:p>
        </w:tc>
        <w:tc>
          <w:tcPr>
            <w:tcW w:type="dxa" w:w="1584"/>
            <w:shd w:val="clear" w:color="auto" w:fill="F2F2F2"/>
          </w:tcPr>
          <w:p>
            <w:pPr>
              <w:keepNext/>
              <w:jc w:val="center"/>
            </w:pPr>
            <w:r>
              <w:rPr>
                <w:rFonts w:ascii="Calibri" w:hAnsi="Calibri"/>
                <w:b w:val="0"/>
                <w:i w:val="0"/>
                <w:sz w:val="18"/>
              </w:rPr>
            </w:r>
          </w:p>
        </w:tc>
        <w:tc>
          <w:tcPr>
            <w:tcW w:type="dxa" w:w="1584"/>
            <w:shd w:val="clear" w:color="auto" w:fill="F2F2F2"/>
          </w:tcPr>
          <w:p>
            <w:pPr>
              <w:keepNext/>
              <w:jc w:val="center"/>
            </w:pPr>
            <w:r>
              <w:rPr>
                <w:rFonts w:ascii="Calibri" w:hAnsi="Calibri"/>
                <w:b w:val="0"/>
                <w:i w:val="0"/>
                <w:sz w:val="18"/>
              </w:rPr>
              <w:t>0.0156</w:t>
            </w:r>
          </w:p>
        </w:tc>
      </w:tr>
      <w:tr>
        <w:tc>
          <w:tcPr>
            <w:tcW w:type="dxa" w:w="1872"/>
            <w:shd w:val="clear" w:color="auto" w:fill="FFFFFF"/>
          </w:tcPr>
          <w:p>
            <w:pPr>
              <w:keepNext/>
              <w:jc w:val="left"/>
            </w:pPr>
            <w:r>
              <w:rPr>
                <w:rFonts w:ascii="Calibri" w:hAnsi="Calibri"/>
                <w:b w:val="0"/>
                <w:i w:val="0"/>
                <w:sz w:val="18"/>
              </w:rPr>
              <w:t>Septiembre</w:t>
            </w:r>
          </w:p>
        </w:tc>
        <w:tc>
          <w:tcPr>
            <w:tcW w:type="dxa" w:w="1584"/>
            <w:shd w:val="clear" w:color="auto" w:fill="FFFFFF"/>
          </w:tcPr>
          <w:p>
            <w:pPr>
              <w:keepNext/>
              <w:jc w:val="center"/>
            </w:pPr>
            <w:r>
              <w:rPr>
                <w:rFonts w:ascii="Calibri" w:hAnsi="Calibri"/>
                <w:b w:val="0"/>
                <w:i w:val="0"/>
                <w:sz w:val="18"/>
              </w:rPr>
              <w:t>535</w:t>
            </w:r>
          </w:p>
        </w:tc>
        <w:tc>
          <w:tcPr>
            <w:tcW w:type="dxa" w:w="1584"/>
            <w:shd w:val="clear" w:color="auto" w:fill="FFFFFF"/>
          </w:tcPr>
          <w:p>
            <w:pPr>
              <w:keepNext/>
              <w:jc w:val="center"/>
            </w:pPr>
            <w:r>
              <w:rPr>
                <w:rFonts w:ascii="Calibri" w:hAnsi="Calibri"/>
                <w:b w:val="0"/>
                <w:i w:val="0"/>
                <w:sz w:val="18"/>
              </w:rPr>
              <w:t>32</w:t>
            </w:r>
          </w:p>
        </w:tc>
        <w:tc>
          <w:tcPr>
            <w:tcW w:type="dxa" w:w="1584"/>
            <w:shd w:val="clear" w:color="auto" w:fill="FFFFFF"/>
          </w:tcPr>
          <w:p>
            <w:pPr>
              <w:keepNext/>
              <w:jc w:val="center"/>
            </w:pPr>
            <w:r>
              <w:rPr>
                <w:rFonts w:ascii="Calibri" w:hAnsi="Calibri"/>
                <w:b w:val="0"/>
                <w:i w:val="0"/>
                <w:sz w:val="18"/>
              </w:rPr>
              <w:t>0.0123</w:t>
            </w:r>
          </w:p>
        </w:tc>
        <w:tc>
          <w:tcPr>
            <w:tcW w:type="dxa" w:w="1584"/>
            <w:shd w:val="clear" w:color="auto" w:fill="FFFFFF"/>
          </w:tcPr>
          <w:p>
            <w:pPr>
              <w:keepNext/>
              <w:jc w:val="center"/>
            </w:pPr>
            <w:r>
              <w:rPr>
                <w:rFonts w:ascii="Calibri" w:hAnsi="Calibri"/>
                <w:b w:val="0"/>
                <w:i w:val="0"/>
                <w:sz w:val="18"/>
              </w:rPr>
              <w:t>0.0122</w:t>
            </w:r>
          </w:p>
        </w:tc>
      </w:tr>
      <w:tr>
        <w:tc>
          <w:tcPr>
            <w:tcW w:type="dxa" w:w="1872"/>
            <w:shd w:val="clear" w:color="auto" w:fill="F2F2F2"/>
          </w:tcPr>
          <w:p>
            <w:pPr>
              <w:keepNext/>
              <w:jc w:val="left"/>
            </w:pPr>
            <w:r>
              <w:rPr>
                <w:rFonts w:ascii="Calibri" w:hAnsi="Calibri"/>
                <w:b w:val="0"/>
                <w:i w:val="0"/>
                <w:sz w:val="18"/>
              </w:rPr>
              <w:t>Octubre</w:t>
            </w:r>
          </w:p>
        </w:tc>
        <w:tc>
          <w:tcPr>
            <w:tcW w:type="dxa" w:w="1584"/>
            <w:shd w:val="clear" w:color="auto" w:fill="F2F2F2"/>
          </w:tcPr>
          <w:p>
            <w:pPr>
              <w:keepNext/>
              <w:jc w:val="center"/>
            </w:pPr>
            <w:r>
              <w:rPr>
                <w:rFonts w:ascii="Calibri" w:hAnsi="Calibri"/>
                <w:b w:val="0"/>
                <w:i w:val="0"/>
                <w:sz w:val="18"/>
              </w:rPr>
              <w:t>720</w:t>
            </w:r>
          </w:p>
        </w:tc>
        <w:tc>
          <w:tcPr>
            <w:tcW w:type="dxa" w:w="1584"/>
            <w:shd w:val="clear" w:color="auto" w:fill="F2F2F2"/>
          </w:tcPr>
          <w:p>
            <w:pPr>
              <w:keepNext/>
              <w:jc w:val="center"/>
            </w:pPr>
            <w:r>
              <w:rPr>
                <w:rFonts w:ascii="Calibri" w:hAnsi="Calibri"/>
                <w:b w:val="0"/>
                <w:i w:val="0"/>
                <w:sz w:val="18"/>
              </w:rPr>
              <w:t>13</w:t>
            </w:r>
          </w:p>
        </w:tc>
        <w:tc>
          <w:tcPr>
            <w:tcW w:type="dxa" w:w="1584"/>
            <w:shd w:val="clear" w:color="auto" w:fill="F2F2F2"/>
          </w:tcPr>
          <w:p>
            <w:pPr>
              <w:keepNext/>
              <w:jc w:val="center"/>
            </w:pPr>
            <w:r>
              <w:rPr>
                <w:rFonts w:ascii="Calibri" w:hAnsi="Calibri"/>
                <w:b w:val="0"/>
                <w:i w:val="0"/>
                <w:sz w:val="18"/>
              </w:rPr>
              <w:t>0.0185</w:t>
            </w:r>
          </w:p>
        </w:tc>
        <w:tc>
          <w:tcPr>
            <w:tcW w:type="dxa" w:w="1584"/>
            <w:shd w:val="clear" w:color="auto" w:fill="F2F2F2"/>
          </w:tcPr>
          <w:p>
            <w:pPr>
              <w:keepNext/>
              <w:jc w:val="center"/>
            </w:pPr>
            <w:r>
              <w:rPr>
                <w:rFonts w:ascii="Calibri" w:hAnsi="Calibri"/>
                <w:b w:val="0"/>
                <w:i w:val="0"/>
                <w:sz w:val="18"/>
              </w:rPr>
              <w:t>0.0183</w:t>
            </w:r>
          </w:p>
        </w:tc>
      </w:tr>
      <w:tr>
        <w:tc>
          <w:tcPr>
            <w:tcW w:type="dxa" w:w="1872"/>
            <w:shd w:val="clear" w:color="auto" w:fill="FFFFFF"/>
          </w:tcPr>
          <w:p>
            <w:pPr>
              <w:keepNext/>
              <w:jc w:val="left"/>
            </w:pPr>
            <w:r>
              <w:rPr>
                <w:rFonts w:ascii="Calibri" w:hAnsi="Calibri"/>
                <w:b w:val="0"/>
                <w:i w:val="0"/>
                <w:sz w:val="18"/>
              </w:rPr>
              <w:t>Noviembre</w:t>
            </w:r>
          </w:p>
        </w:tc>
        <w:tc>
          <w:tcPr>
            <w:tcW w:type="dxa" w:w="1584"/>
            <w:shd w:val="clear" w:color="auto" w:fill="FFFFFF"/>
          </w:tcPr>
          <w:p>
            <w:pPr>
              <w:keepNext/>
              <w:jc w:val="center"/>
            </w:pPr>
            <w:r>
              <w:rPr>
                <w:rFonts w:ascii="Calibri" w:hAnsi="Calibri"/>
                <w:b w:val="0"/>
                <w:i w:val="0"/>
                <w:sz w:val="18"/>
              </w:rPr>
              <w:t>717</w:t>
            </w:r>
          </w:p>
        </w:tc>
        <w:tc>
          <w:tcPr>
            <w:tcW w:type="dxa" w:w="1584"/>
            <w:shd w:val="clear" w:color="auto" w:fill="FFFFFF"/>
          </w:tcPr>
          <w:p>
            <w:pPr>
              <w:keepNext/>
              <w:jc w:val="center"/>
            </w:pPr>
            <w:r>
              <w:rPr>
                <w:rFonts w:ascii="Calibri" w:hAnsi="Calibri"/>
                <w:b w:val="0"/>
                <w:i w:val="0"/>
                <w:sz w:val="18"/>
              </w:rPr>
              <w:t>3</w:t>
            </w:r>
          </w:p>
        </w:tc>
        <w:tc>
          <w:tcPr>
            <w:tcW w:type="dxa" w:w="1584"/>
            <w:shd w:val="clear" w:color="auto" w:fill="FFFFFF"/>
          </w:tcPr>
          <w:p>
            <w:pPr>
              <w:keepNext/>
              <w:jc w:val="center"/>
            </w:pPr>
            <w:r>
              <w:rPr>
                <w:rFonts w:ascii="Calibri" w:hAnsi="Calibri"/>
                <w:b w:val="0"/>
                <w:i w:val="0"/>
                <w:sz w:val="18"/>
              </w:rPr>
              <w:t>0.0227</w:t>
            </w:r>
          </w:p>
        </w:tc>
        <w:tc>
          <w:tcPr>
            <w:tcW w:type="dxa" w:w="1584"/>
            <w:shd w:val="clear" w:color="auto" w:fill="FFFFFF"/>
          </w:tcPr>
          <w:p>
            <w:pPr>
              <w:keepNext/>
              <w:jc w:val="center"/>
            </w:pPr>
            <w:r>
              <w:rPr>
                <w:rFonts w:ascii="Calibri" w:hAnsi="Calibri"/>
                <w:b w:val="0"/>
                <w:i w:val="0"/>
                <w:sz w:val="18"/>
              </w:rPr>
              <w:t>0.0226</w:t>
            </w:r>
          </w:p>
        </w:tc>
      </w:tr>
      <w:tr>
        <w:tc>
          <w:tcPr>
            <w:tcW w:type="dxa" w:w="1872"/>
            <w:shd w:val="clear" w:color="auto" w:fill="F2F2F2"/>
          </w:tcPr>
          <w:p>
            <w:pPr>
              <w:keepNext/>
              <w:jc w:val="left"/>
            </w:pPr>
            <w:r>
              <w:rPr>
                <w:rFonts w:ascii="Calibri" w:hAnsi="Calibri"/>
                <w:b w:val="0"/>
                <w:i w:val="0"/>
                <w:sz w:val="18"/>
              </w:rPr>
              <w:t>Diciembre</w:t>
            </w:r>
          </w:p>
        </w:tc>
        <w:tc>
          <w:tcPr>
            <w:tcW w:type="dxa" w:w="1584"/>
            <w:shd w:val="clear" w:color="auto" w:fill="F2F2F2"/>
          </w:tcPr>
          <w:p>
            <w:pPr>
              <w:keepNext/>
              <w:jc w:val="center"/>
            </w:pPr>
            <w:r>
              <w:rPr>
                <w:rFonts w:ascii="Calibri" w:hAnsi="Calibri"/>
                <w:b w:val="0"/>
                <w:i w:val="0"/>
                <w:sz w:val="18"/>
              </w:rPr>
              <w:t>734</w:t>
            </w:r>
          </w:p>
        </w:tc>
        <w:tc>
          <w:tcPr>
            <w:tcW w:type="dxa" w:w="1584"/>
            <w:shd w:val="clear" w:color="auto" w:fill="F2F2F2"/>
          </w:tcPr>
          <w:p>
            <w:pPr>
              <w:keepNext/>
              <w:jc w:val="center"/>
            </w:pPr>
            <w:r>
              <w:rPr>
                <w:rFonts w:ascii="Calibri" w:hAnsi="Calibri"/>
                <w:b w:val="0"/>
                <w:i w:val="0"/>
                <w:sz w:val="18"/>
              </w:rPr>
              <w:t>10</w:t>
            </w:r>
          </w:p>
        </w:tc>
        <w:tc>
          <w:tcPr>
            <w:tcW w:type="dxa" w:w="1584"/>
            <w:shd w:val="clear" w:color="auto" w:fill="F2F2F2"/>
          </w:tcPr>
          <w:p>
            <w:pPr>
              <w:keepNext/>
              <w:jc w:val="center"/>
            </w:pPr>
            <w:r>
              <w:rPr>
                <w:rFonts w:ascii="Calibri" w:hAnsi="Calibri"/>
                <w:b w:val="0"/>
                <w:i w:val="0"/>
                <w:sz w:val="18"/>
              </w:rPr>
              <w:t>0.0261</w:t>
            </w:r>
          </w:p>
        </w:tc>
        <w:tc>
          <w:tcPr>
            <w:tcW w:type="dxa" w:w="1584"/>
            <w:shd w:val="clear" w:color="auto" w:fill="F2F2F2"/>
          </w:tcPr>
          <w:p>
            <w:pPr>
              <w:keepNext/>
              <w:jc w:val="center"/>
            </w:pPr>
            <w:r>
              <w:rPr>
                <w:rFonts w:ascii="Calibri" w:hAnsi="Calibri"/>
                <w:b w:val="0"/>
                <w:i w:val="0"/>
                <w:sz w:val="18"/>
              </w:rPr>
              <w:t>0.0263</w:t>
            </w:r>
          </w:p>
        </w:tc>
      </w:tr>
    </w:tbl>
    <w:p>
      <w:pPr>
        <w:keepNext w:val="0"/>
        <w:spacing w:before="40" w:after="160"/>
        <w:jc w:val="center"/>
      </w:pPr>
      <w:r>
        <w:rPr>
          <w:rFonts w:ascii="Calibri" w:hAnsi="Calibri"/>
          <w:b w:val="0"/>
          <w:i/>
          <w:color w:val="404040"/>
          <w:sz w:val="18"/>
        </w:rPr>
        <w:t>Tabla 2. Horas observadas e imputadas y promedio mensual de NO₂ (ppm).</w:t>
      </w:r>
    </w:p>
    <w:p>
      <w:pPr>
        <w:keepNext w:val="0"/>
        <w:spacing w:before="0" w:after="100"/>
        <w:jc w:val="both"/>
      </w:pPr>
      <w:r>
        <w:rPr>
          <w:rFonts w:ascii="Calibri" w:hAnsi="Calibri"/>
          <w:b w:val="0"/>
          <w:i w:val="0"/>
          <w:sz w:val="20"/>
        </w:rPr>
        <w:t>De septiembre a diciembre los promedios casi no se mueven, porque ahí solo se rellenaron 222 horas sueltas. De enero a agosto, en cambio, todo viene del CO. El resultado se ve lógico: enero tiene el promedio más alto (0.0409 ppm) y los valores bajan hacia el verano. Eso cuadra con lo que pasa en Guadalajara, donde en los meses secos las inversiones térmicas atrapan los contaminantes y en la temporada de lluvias se dispersan mejor. Aun así, este patrón viene del CO y no hay mediciones de NO₂ en esos meses para confirmarlo.</w:t>
      </w:r>
    </w:p>
    <w:p>
      <w:pPr>
        <w:keepNext/>
        <w:spacing w:before="200" w:after="60"/>
        <w:jc w:val="left"/>
      </w:pPr>
      <w:r>
        <w:rPr>
          <w:rFonts w:ascii="Calibri" w:hAnsi="Calibri"/>
          <w:b/>
          <w:i w:val="0"/>
          <w:color w:val="1F497D"/>
          <w:sz w:val="26"/>
        </w:rPr>
        <w:t>3. Relación del NO₂ con el PM10 y el PM2.5</w:t>
      </w:r>
    </w:p>
    <w:p>
      <w:pPr>
        <w:keepNext/>
        <w:spacing w:before="140" w:after="60"/>
        <w:jc w:val="left"/>
      </w:pPr>
      <w:r>
        <w:rPr>
          <w:rFonts w:ascii="Calibri" w:hAnsi="Calibri"/>
          <w:b/>
          <w:i w:val="0"/>
          <w:color w:val="1F497D"/>
          <w:sz w:val="22"/>
        </w:rPr>
        <w:t>3.1 Las partículas PM10 y PM2.5</w:t>
      </w:r>
    </w:p>
    <w:p>
      <w:pPr>
        <w:keepNext w:val="0"/>
        <w:spacing w:before="0" w:after="100"/>
        <w:jc w:val="both"/>
      </w:pPr>
      <w:r>
        <w:rPr>
          <w:rFonts w:ascii="Calibri" w:hAnsi="Calibri"/>
          <w:b w:val="0"/>
          <w:i w:val="0"/>
          <w:sz w:val="20"/>
        </w:rPr>
        <w:t>El material particulado (PM) es la mezcla de partículas sólidas y gotitas que quedan suspendidas en el aire. Se clasifica por tamaño. El PM10 son las partículas de 10 µm o menos y el PM2.5 las de 2.5 µm o menos, unas treinta veces más delgadas que un cabello. El PM2.5 forma parte del PM10, y lo que queda entre los dos (partículas de 2.5 a 10 µm) se conoce como fracción gruesa. A diferencia del NO₂ y del CO, que son gases, las partículas se miden en µg/m³ (Seinfeld y Pandis, 2016).</w:t>
      </w:r>
    </w:p>
    <w:p>
      <w:pPr>
        <w:keepNext w:val="0"/>
        <w:spacing w:before="0" w:after="100"/>
        <w:jc w:val="both"/>
      </w:pPr>
      <w:r>
        <w:rPr>
          <w:rFonts w:ascii="Calibri" w:hAnsi="Calibri"/>
          <w:b w:val="0"/>
          <w:i w:val="0"/>
          <w:sz w:val="20"/>
        </w:rPr>
        <w:t>Las dos fracciones vienen de fuentes distintas. La gruesa se genera sobre todo por procesos mecánicos, como el polvo que levantan el viento y los coches, la construcción o el desgaste de llantas y frenos. El PM2.5 sale principalmente de la combustión, en especial de motores diésel, aunque una parte se forma en la propia atmósfera. Ahí entra el NO₂, que se oxida a ácido nítrico y, al reaccionar con amoniaco, forma nitrato de amonio, que termina como PM2.5 (Seinfeld y Pandis, 2016). Por lo tanto, se esperaría encontrar alguna relación entre el NO₂ y las partículas finas, tanto por la fuente vehicular que comparten como por esta química.</w:t>
      </w:r>
    </w:p>
    <w:p>
      <w:pPr>
        <w:keepNext w:val="0"/>
        <w:spacing w:before="0" w:after="100"/>
        <w:jc w:val="both"/>
      </w:pPr>
      <w:r>
        <w:rPr>
          <w:rFonts w:ascii="Calibri" w:hAnsi="Calibri"/>
          <w:b w:val="0"/>
          <w:i w:val="0"/>
          <w:sz w:val="20"/>
        </w:rPr>
        <w:t>En la salud, el tamaño importa. El PM10 llega hasta los bronquios y el PM2.5 entra a los alvéolos y puede pasar a la sangre, por lo que se asocia con enfermedades respiratorias y cardiovasculares. La OMS (2021) recomienda no pasar de 45 µg/m³ de PM10 ni de 15 µg/m³ de PM2.5 en promedio de 24 horas. En la estación Centro, en 2024, el PM10 promedió 40.1 µg/m³ y el PM2.5 17.1 µg/m³. El promedio diario rebasó la recomendación en 123 de 350 días para el PM10 y en 155 de 336 para el PM2.5. Además, la mediana del cociente PM2.5/PM10 fue de 0.41; es decir, en esta estación algo menos de la mitad de la masa de partículas es fracción fina.</w:t>
      </w:r>
    </w:p>
    <w:p>
      <w:pPr>
        <w:keepNext/>
        <w:spacing w:before="140" w:after="60"/>
        <w:jc w:val="left"/>
      </w:pPr>
      <w:r>
        <w:rPr>
          <w:rFonts w:ascii="Calibri" w:hAnsi="Calibri"/>
          <w:b/>
          <w:i w:val="0"/>
          <w:color w:val="1F497D"/>
          <w:sz w:val="22"/>
        </w:rPr>
        <w:t>3.2 Corpus de análisis</w:t>
      </w:r>
    </w:p>
    <w:p>
      <w:pPr>
        <w:keepNext w:val="0"/>
        <w:spacing w:before="0" w:after="100"/>
        <w:jc w:val="both"/>
      </w:pPr>
      <w:r>
        <w:rPr>
          <w:rFonts w:ascii="Calibri" w:hAnsi="Calibri"/>
          <w:b w:val="0"/>
          <w:i w:val="0"/>
          <w:sz w:val="20"/>
        </w:rPr>
        <w:t>Tomé las horas que tienen NO₂ (medido o imputado), PM10 y PM2.5 al mismo tiempo, que son 6,752. Igual que en la Tarea 1.5, quité las horas atípicas en cualquiera de las tres variables con el criterio de Tukey, y quedaron 6,260, de las cuales 3,878 tienen NO₂ imputado. Para tener una referencia, repetí todos los modelos usando solo las horas con NO₂ medido (2,395 después de la misma limpieza).</w:t>
      </w:r>
    </w:p>
    <w:p>
      <w:pPr>
        <w:keepNext/>
        <w:spacing w:before="140" w:after="60"/>
        <w:jc w:val="left"/>
      </w:pPr>
      <w:r>
        <w:rPr>
          <w:rFonts w:ascii="Calibri" w:hAnsi="Calibri"/>
          <w:b/>
          <w:i w:val="0"/>
          <w:color w:val="1F497D"/>
          <w:sz w:val="22"/>
        </w:rPr>
        <w:t>3.3 Dispersión entre las variables y colinealidad</w:t>
      </w:r>
    </w:p>
    <w:p>
      <w:pPr>
        <w:keepNext/>
        <w:spacing w:before="0" w:after="100"/>
        <w:jc w:val="both"/>
      </w:pPr>
      <w:r>
        <w:rPr>
          <w:rFonts w:ascii="Calibri" w:hAnsi="Calibri"/>
          <w:b w:val="0"/>
          <w:i w:val="0"/>
          <w:sz w:val="20"/>
        </w:rPr>
        <w:t>Siguiendo la sesión 8, la Figura 3 muestra el NO₂ contra cada partícula y, en el tercer panel, las dos partículas entre sí. Los coeficientes de correlación están en la Tabla 3.</w:t>
      </w:r>
    </w:p>
    <w:p>
      <w:pPr>
        <w:keepNext/>
        <w:jc w:val="center"/>
      </w:pPr>
      <w:r>
        <w:drawing>
          <wp:inline xmlns:a="http://schemas.openxmlformats.org/drawingml/2006/main" xmlns:pic="http://schemas.openxmlformats.org/drawingml/2006/picture">
            <wp:extent cx="5943600" cy="2072081"/>
            <wp:docPr id="4" name="Picture 4"/>
            <wp:cNvGraphicFramePr>
              <a:graphicFrameLocks noChangeAspect="1"/>
            </wp:cNvGraphicFramePr>
            <a:graphic>
              <a:graphicData uri="http://schemas.openxmlformats.org/drawingml/2006/picture">
                <pic:pic>
                  <pic:nvPicPr>
                    <pic:cNvPr id="0" name="matriz_dispersion_no2_pm.png"/>
                    <pic:cNvPicPr/>
                  </pic:nvPicPr>
                  <pic:blipFill>
                    <a:blip r:embed="rId11"/>
                    <a:stretch>
                      <a:fillRect/>
                    </a:stretch>
                  </pic:blipFill>
                  <pic:spPr>
                    <a:xfrm>
                      <a:off x="0" y="0"/>
                      <a:ext cx="5943600" cy="2072081"/>
                    </a:xfrm>
                    <a:prstGeom prst="rect"/>
                  </pic:spPr>
                </pic:pic>
              </a:graphicData>
            </a:graphic>
          </wp:inline>
        </w:drawing>
      </w:r>
    </w:p>
    <w:p>
      <w:pPr>
        <w:keepNext w:val="0"/>
        <w:spacing w:before="40" w:after="160"/>
        <w:jc w:val="center"/>
      </w:pPr>
      <w:r>
        <w:rPr>
          <w:rFonts w:ascii="Calibri" w:hAnsi="Calibri"/>
          <w:b w:val="0"/>
          <w:i/>
          <w:color w:val="404040"/>
          <w:sz w:val="18"/>
        </w:rPr>
        <w:t>Figura 3. Dispersión del NO₂ frente al PM10 y al PM2.5, y del PM10 frente al PM2.5, serie completada sin atípicos. Los puntos ámbar son horas con NO₂ imputado.</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val="clear" w:color="auto" w:fill="1F497D"/>
          </w:tcPr>
          <w:p>
            <w:pPr>
              <w:keepNext/>
              <w:jc w:val="center"/>
            </w:pPr>
            <w:r>
              <w:rPr>
                <w:rFonts w:ascii="Calibri" w:hAnsi="Calibri"/>
                <w:b/>
                <w:i w:val="0"/>
                <w:color w:val="FFFFFF"/>
                <w:sz w:val="18"/>
              </w:rPr>
              <w:t>Par de variables</w:t>
            </w:r>
          </w:p>
        </w:tc>
        <w:tc>
          <w:tcPr>
            <w:tcW w:type="dxa" w:w="2016"/>
            <w:shd w:val="clear" w:color="auto" w:fill="1F497D"/>
          </w:tcPr>
          <w:p>
            <w:pPr>
              <w:keepNext/>
              <w:jc w:val="center"/>
            </w:pPr>
            <w:r>
              <w:rPr>
                <w:rFonts w:ascii="Calibri" w:hAnsi="Calibri"/>
                <w:b/>
                <w:i w:val="0"/>
                <w:color w:val="FFFFFF"/>
                <w:sz w:val="18"/>
              </w:rPr>
              <w:t>r serie completada</w:t>
            </w:r>
          </w:p>
        </w:tc>
        <w:tc>
          <w:tcPr>
            <w:tcW w:type="dxa" w:w="2016"/>
            <w:shd w:val="clear" w:color="auto" w:fill="1F497D"/>
          </w:tcPr>
          <w:p>
            <w:pPr>
              <w:keepNext/>
              <w:jc w:val="center"/>
            </w:pPr>
            <w:r>
              <w:rPr>
                <w:rFonts w:ascii="Calibri" w:hAnsi="Calibri"/>
                <w:b/>
                <w:i w:val="0"/>
                <w:color w:val="FFFFFF"/>
                <w:sz w:val="18"/>
              </w:rPr>
              <w:t>r solo observadas</w:t>
            </w:r>
          </w:p>
        </w:tc>
      </w:tr>
      <w:tr>
        <w:tc>
          <w:tcPr>
            <w:tcW w:type="dxa" w:w="3168"/>
            <w:shd w:val="clear" w:color="auto" w:fill="FFFFFF"/>
          </w:tcPr>
          <w:p>
            <w:pPr>
              <w:keepNext/>
              <w:jc w:val="left"/>
            </w:pPr>
            <w:r>
              <w:rPr>
                <w:rFonts w:ascii="Calibri" w:hAnsi="Calibri"/>
                <w:b w:val="0"/>
                <w:i w:val="0"/>
                <w:sz w:val="18"/>
              </w:rPr>
              <w:t>NO₂ – PM10</w:t>
            </w:r>
          </w:p>
        </w:tc>
        <w:tc>
          <w:tcPr>
            <w:tcW w:type="dxa" w:w="2016"/>
            <w:shd w:val="clear" w:color="auto" w:fill="FFFFFF"/>
          </w:tcPr>
          <w:p>
            <w:pPr>
              <w:keepNext/>
              <w:jc w:val="center"/>
            </w:pPr>
            <w:r>
              <w:rPr>
                <w:rFonts w:ascii="Calibri" w:hAnsi="Calibri"/>
                <w:b w:val="0"/>
                <w:i w:val="0"/>
                <w:sz w:val="18"/>
              </w:rPr>
              <w:t>0.540</w:t>
            </w:r>
          </w:p>
        </w:tc>
        <w:tc>
          <w:tcPr>
            <w:tcW w:type="dxa" w:w="2016"/>
            <w:shd w:val="clear" w:color="auto" w:fill="FFFFFF"/>
          </w:tcPr>
          <w:p>
            <w:pPr>
              <w:keepNext/>
              <w:jc w:val="center"/>
            </w:pPr>
            <w:r>
              <w:rPr>
                <w:rFonts w:ascii="Calibri" w:hAnsi="Calibri"/>
                <w:b w:val="0"/>
                <w:i w:val="0"/>
                <w:sz w:val="18"/>
              </w:rPr>
              <w:t>0.604</w:t>
            </w:r>
          </w:p>
        </w:tc>
      </w:tr>
      <w:tr>
        <w:tc>
          <w:tcPr>
            <w:tcW w:type="dxa" w:w="3168"/>
            <w:shd w:val="clear" w:color="auto" w:fill="F2F2F2"/>
          </w:tcPr>
          <w:p>
            <w:pPr>
              <w:keepNext/>
              <w:jc w:val="left"/>
            </w:pPr>
            <w:r>
              <w:rPr>
                <w:rFonts w:ascii="Calibri" w:hAnsi="Calibri"/>
                <w:b w:val="0"/>
                <w:i w:val="0"/>
                <w:sz w:val="18"/>
              </w:rPr>
              <w:t>NO₂ – PM2.5</w:t>
            </w:r>
          </w:p>
        </w:tc>
        <w:tc>
          <w:tcPr>
            <w:tcW w:type="dxa" w:w="2016"/>
            <w:shd w:val="clear" w:color="auto" w:fill="F2F2F2"/>
          </w:tcPr>
          <w:p>
            <w:pPr>
              <w:keepNext/>
              <w:jc w:val="center"/>
            </w:pPr>
            <w:r>
              <w:rPr>
                <w:rFonts w:ascii="Calibri" w:hAnsi="Calibri"/>
                <w:b w:val="0"/>
                <w:i w:val="0"/>
                <w:sz w:val="18"/>
              </w:rPr>
              <w:t>0.533</w:t>
            </w:r>
          </w:p>
        </w:tc>
        <w:tc>
          <w:tcPr>
            <w:tcW w:type="dxa" w:w="2016"/>
            <w:shd w:val="clear" w:color="auto" w:fill="F2F2F2"/>
          </w:tcPr>
          <w:p>
            <w:pPr>
              <w:keepNext/>
              <w:jc w:val="center"/>
            </w:pPr>
            <w:r>
              <w:rPr>
                <w:rFonts w:ascii="Calibri" w:hAnsi="Calibri"/>
                <w:b w:val="0"/>
                <w:i w:val="0"/>
                <w:sz w:val="18"/>
              </w:rPr>
              <w:t>0.541</w:t>
            </w:r>
          </w:p>
        </w:tc>
      </w:tr>
      <w:tr>
        <w:tc>
          <w:tcPr>
            <w:tcW w:type="dxa" w:w="3168"/>
            <w:shd w:val="clear" w:color="auto" w:fill="FCE4B8"/>
          </w:tcPr>
          <w:p>
            <w:pPr>
              <w:keepNext/>
              <w:jc w:val="left"/>
            </w:pPr>
            <w:r>
              <w:rPr>
                <w:rFonts w:ascii="Calibri" w:hAnsi="Calibri"/>
                <w:b/>
                <w:i w:val="0"/>
                <w:sz w:val="18"/>
              </w:rPr>
              <w:t>PM10 – PM2.5</w:t>
            </w:r>
          </w:p>
        </w:tc>
        <w:tc>
          <w:tcPr>
            <w:tcW w:type="dxa" w:w="2016"/>
            <w:shd w:val="clear" w:color="auto" w:fill="FCE4B8"/>
          </w:tcPr>
          <w:p>
            <w:pPr>
              <w:keepNext/>
              <w:jc w:val="center"/>
            </w:pPr>
            <w:r>
              <w:rPr>
                <w:rFonts w:ascii="Calibri" w:hAnsi="Calibri"/>
                <w:b/>
                <w:i w:val="0"/>
                <w:sz w:val="18"/>
              </w:rPr>
              <w:t>0.815</w:t>
            </w:r>
          </w:p>
        </w:tc>
        <w:tc>
          <w:tcPr>
            <w:tcW w:type="dxa" w:w="2016"/>
            <w:shd w:val="clear" w:color="auto" w:fill="FCE4B8"/>
          </w:tcPr>
          <w:p>
            <w:pPr>
              <w:keepNext/>
              <w:jc w:val="center"/>
            </w:pPr>
            <w:r>
              <w:rPr>
                <w:rFonts w:ascii="Calibri" w:hAnsi="Calibri"/>
                <w:b/>
                <w:i w:val="0"/>
                <w:sz w:val="18"/>
              </w:rPr>
              <w:t>0.876</w:t>
            </w:r>
          </w:p>
        </w:tc>
      </w:tr>
      <w:tr>
        <w:tc>
          <w:tcPr>
            <w:tcW w:type="dxa" w:w="3168"/>
            <w:shd w:val="clear" w:color="auto" w:fill="F2F2F2"/>
          </w:tcPr>
          <w:p>
            <w:pPr>
              <w:keepNext/>
              <w:jc w:val="left"/>
            </w:pPr>
            <w:r>
              <w:rPr>
                <w:rFonts w:ascii="Calibri" w:hAnsi="Calibri"/>
                <w:b w:val="0"/>
                <w:i w:val="0"/>
                <w:sz w:val="18"/>
              </w:rPr>
              <w:t>VIF de PM10 y PM2.5</w:t>
            </w:r>
          </w:p>
        </w:tc>
        <w:tc>
          <w:tcPr>
            <w:tcW w:type="dxa" w:w="2016"/>
            <w:shd w:val="clear" w:color="auto" w:fill="F2F2F2"/>
          </w:tcPr>
          <w:p>
            <w:pPr>
              <w:keepNext/>
              <w:jc w:val="center"/>
            </w:pPr>
            <w:r>
              <w:rPr>
                <w:rFonts w:ascii="Calibri" w:hAnsi="Calibri"/>
                <w:b w:val="0"/>
                <w:i w:val="0"/>
                <w:sz w:val="18"/>
              </w:rPr>
              <w:t>2.97</w:t>
            </w:r>
          </w:p>
        </w:tc>
        <w:tc>
          <w:tcPr>
            <w:tcW w:type="dxa" w:w="2016"/>
            <w:shd w:val="clear" w:color="auto" w:fill="F2F2F2"/>
          </w:tcPr>
          <w:p>
            <w:pPr>
              <w:keepNext/>
              <w:jc w:val="center"/>
            </w:pPr>
            <w:r>
              <w:rPr>
                <w:rFonts w:ascii="Calibri" w:hAnsi="Calibri"/>
                <w:b w:val="0"/>
                <w:i w:val="0"/>
                <w:sz w:val="18"/>
              </w:rPr>
              <w:t>4.31</w:t>
            </w:r>
          </w:p>
        </w:tc>
      </w:tr>
    </w:tbl>
    <w:p>
      <w:pPr>
        <w:keepNext w:val="0"/>
        <w:spacing w:before="40" w:after="160"/>
        <w:jc w:val="center"/>
      </w:pPr>
      <w:r>
        <w:rPr>
          <w:rFonts w:ascii="Calibri" w:hAnsi="Calibri"/>
          <w:b w:val="0"/>
          <w:i/>
          <w:color w:val="404040"/>
          <w:sz w:val="18"/>
        </w:rPr>
        <w:t>Tabla 3. Correlación de Pearson entre el NO₂ y las partículas, y entre las partículas, corpus sin atípicos.</w:t>
      </w:r>
    </w:p>
    <w:p>
      <w:pPr>
        <w:keepNext w:val="0"/>
        <w:spacing w:before="0" w:after="100"/>
        <w:jc w:val="both"/>
      </w:pPr>
      <w:r>
        <w:rPr>
          <w:rFonts w:ascii="Calibri" w:hAnsi="Calibri"/>
          <w:b w:val="0"/>
          <w:i w:val="0"/>
          <w:sz w:val="20"/>
        </w:rPr>
        <w:t>El NO₂ tiene una correlación positiva y moderada con las dos partículas, un poco mayor con el PM10. Lo que más destaca, sin embargo, es la correlación entre las partículas mismas (r = 0.815 en la serie completada y 0.876 con los datos medidos). Se explica porque el PM10 contiene al PM2.5, y significa que las dos variables independientes traen en buena parte la misma información, que es la colinealidad que hay que revisar antes de un modelo múltiple. El VIF, calculado como 1 / (1 − R²ⱼ), fue de 2.97 y 4.31. No llega a 5 o 10, que es donde normalmente se considera grave, pero sí quiere decir que la varianza de cada coeficiente se multiplica por tres o cuatro.</w:t>
      </w:r>
    </w:p>
    <w:p>
      <w:pPr>
        <w:keepNext/>
        <w:spacing w:before="140" w:after="60"/>
        <w:jc w:val="left"/>
      </w:pPr>
      <w:r>
        <w:rPr>
          <w:rFonts w:ascii="Calibri" w:hAnsi="Calibri"/>
          <w:b/>
          <w:i w:val="0"/>
          <w:color w:val="1F497D"/>
          <w:sz w:val="22"/>
        </w:rPr>
        <w:t>3.4 Modelos de regresión lineal múltiple</w:t>
      </w:r>
    </w:p>
    <w:p>
      <w:pPr>
        <w:keepNext/>
        <w:spacing w:before="0" w:after="100"/>
        <w:jc w:val="both"/>
      </w:pPr>
      <w:r>
        <w:rPr>
          <w:rFonts w:ascii="Calibri" w:hAnsi="Calibri"/>
          <w:b w:val="0"/>
          <w:i w:val="0"/>
          <w:sz w:val="20"/>
        </w:rPr>
        <w:t>Ajusté cuatro modelos por mínimos cuadrados: los dos simples, el múltiple NO₂ = b₀ + b₁·PM10 + b₂·PM2.5 y uno cuadrático en el PM10, NO₂ = b₀ + b₁·PM10 + b₂·PM10² + b₃·PM2.5, parecido al ejemplo de la sesión 8. Los resultados están en la Tabla 4 y los planos en la Figura 4.</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3168"/>
            <w:shd w:val="clear" w:color="auto" w:fill="1F497D"/>
          </w:tcPr>
          <w:p>
            <w:pPr>
              <w:keepNext/>
              <w:jc w:val="center"/>
            </w:pPr>
            <w:r>
              <w:rPr>
                <w:rFonts w:ascii="Calibri" w:hAnsi="Calibri"/>
                <w:b/>
                <w:i w:val="0"/>
                <w:color w:val="FFFFFF"/>
                <w:sz w:val="18"/>
              </w:rPr>
              <w:t>Serie y modelo</w:t>
            </w:r>
          </w:p>
        </w:tc>
        <w:tc>
          <w:tcPr>
            <w:tcW w:type="dxa" w:w="1008"/>
            <w:shd w:val="clear" w:color="auto" w:fill="1F497D"/>
          </w:tcPr>
          <w:p>
            <w:pPr>
              <w:keepNext/>
              <w:jc w:val="center"/>
            </w:pPr>
            <w:r>
              <w:rPr>
                <w:rFonts w:ascii="Calibri" w:hAnsi="Calibri"/>
                <w:b/>
                <w:i w:val="0"/>
                <w:color w:val="FFFFFF"/>
                <w:sz w:val="18"/>
              </w:rPr>
              <w:t>b PM10</w:t>
            </w:r>
          </w:p>
        </w:tc>
        <w:tc>
          <w:tcPr>
            <w:tcW w:type="dxa" w:w="2016"/>
            <w:shd w:val="clear" w:color="auto" w:fill="1F497D"/>
          </w:tcPr>
          <w:p>
            <w:pPr>
              <w:keepNext/>
              <w:jc w:val="center"/>
            </w:pPr>
            <w:r>
              <w:rPr>
                <w:rFonts w:ascii="Calibri" w:hAnsi="Calibri"/>
                <w:b/>
                <w:i w:val="0"/>
                <w:color w:val="FFFFFF"/>
                <w:sz w:val="18"/>
              </w:rPr>
              <w:t>b PM10²</w:t>
            </w:r>
          </w:p>
        </w:tc>
        <w:tc>
          <w:tcPr>
            <w:tcW w:type="dxa" w:w="1728"/>
            <w:shd w:val="clear" w:color="auto" w:fill="1F497D"/>
          </w:tcPr>
          <w:p>
            <w:pPr>
              <w:keepNext/>
              <w:jc w:val="center"/>
            </w:pPr>
            <w:r>
              <w:rPr>
                <w:rFonts w:ascii="Calibri" w:hAnsi="Calibri"/>
                <w:b/>
                <w:i w:val="0"/>
                <w:color w:val="FFFFFF"/>
                <w:sz w:val="18"/>
              </w:rPr>
              <w:t>b PM2.5</w:t>
            </w:r>
          </w:p>
        </w:tc>
        <w:tc>
          <w:tcPr>
            <w:tcW w:type="dxa" w:w="720"/>
            <w:shd w:val="clear" w:color="auto" w:fill="1F497D"/>
          </w:tcPr>
          <w:p>
            <w:pPr>
              <w:keepNext/>
              <w:jc w:val="center"/>
            </w:pPr>
            <w:r>
              <w:rPr>
                <w:rFonts w:ascii="Calibri" w:hAnsi="Calibri"/>
                <w:b/>
                <w:i w:val="0"/>
                <w:color w:val="FFFFFF"/>
                <w:sz w:val="18"/>
              </w:rPr>
              <w:t>R²</w:t>
            </w:r>
          </w:p>
        </w:tc>
        <w:tc>
          <w:tcPr>
            <w:tcW w:type="dxa" w:w="1152"/>
            <w:shd w:val="clear" w:color="auto" w:fill="1F497D"/>
          </w:tcPr>
          <w:p>
            <w:pPr>
              <w:keepNext/>
              <w:jc w:val="center"/>
            </w:pPr>
            <w:r>
              <w:rPr>
                <w:rFonts w:ascii="Calibri" w:hAnsi="Calibri"/>
                <w:b/>
                <w:i w:val="0"/>
                <w:color w:val="FFFFFF"/>
                <w:sz w:val="18"/>
              </w:rPr>
              <w:t>R² ajustado</w:t>
            </w:r>
          </w:p>
        </w:tc>
      </w:tr>
      <w:tr>
        <w:tc>
          <w:tcPr>
            <w:tcW w:type="dxa" w:w="3168"/>
            <w:shd w:val="clear" w:color="auto" w:fill="FFFFFF"/>
          </w:tcPr>
          <w:p>
            <w:pPr>
              <w:keepNext/>
              <w:jc w:val="left"/>
            </w:pPr>
            <w:r>
              <w:rPr>
                <w:rFonts w:ascii="Calibri" w:hAnsi="Calibri"/>
                <w:b w:val="0"/>
                <w:i w:val="0"/>
                <w:sz w:val="18"/>
              </w:rPr>
              <w:t>Completada: simple PM10</w:t>
            </w:r>
          </w:p>
        </w:tc>
        <w:tc>
          <w:tcPr>
            <w:tcW w:type="dxa" w:w="1008"/>
            <w:shd w:val="clear" w:color="auto" w:fill="FFFFFF"/>
          </w:tcPr>
          <w:p>
            <w:pPr>
              <w:keepNext/>
              <w:jc w:val="center"/>
            </w:pPr>
            <w:r>
              <w:rPr>
                <w:rFonts w:ascii="Calibri" w:hAnsi="Calibri"/>
                <w:b w:val="0"/>
                <w:i w:val="0"/>
                <w:sz w:val="18"/>
              </w:rPr>
              <w:t>0.348</w:t>
            </w:r>
          </w:p>
        </w:tc>
        <w:tc>
          <w:tcPr>
            <w:tcW w:type="dxa" w:w="2016"/>
            <w:shd w:val="clear" w:color="auto" w:fill="FFFFFF"/>
          </w:tcPr>
          <w:p>
            <w:pPr>
              <w:keepNext/>
              <w:jc w:val="center"/>
            </w:pPr>
            <w:r>
              <w:rPr>
                <w:rFonts w:ascii="Calibri" w:hAnsi="Calibri"/>
                <w:b w:val="0"/>
                <w:i w:val="0"/>
                <w:sz w:val="18"/>
              </w:rPr>
              <w:t>–</w:t>
            </w:r>
          </w:p>
        </w:tc>
        <w:tc>
          <w:tcPr>
            <w:tcW w:type="dxa" w:w="1728"/>
            <w:shd w:val="clear" w:color="auto" w:fill="FFFFFF"/>
          </w:tcPr>
          <w:p>
            <w:pPr>
              <w:keepNext/>
              <w:jc w:val="center"/>
            </w:pPr>
            <w:r>
              <w:rPr>
                <w:rFonts w:ascii="Calibri" w:hAnsi="Calibri"/>
                <w:b w:val="0"/>
                <w:i w:val="0"/>
                <w:sz w:val="18"/>
              </w:rPr>
              <w:t>–</w:t>
            </w:r>
          </w:p>
        </w:tc>
        <w:tc>
          <w:tcPr>
            <w:tcW w:type="dxa" w:w="720"/>
            <w:shd w:val="clear" w:color="auto" w:fill="FFFFFF"/>
          </w:tcPr>
          <w:p>
            <w:pPr>
              <w:keepNext/>
              <w:jc w:val="center"/>
            </w:pPr>
            <w:r>
              <w:rPr>
                <w:rFonts w:ascii="Calibri" w:hAnsi="Calibri"/>
                <w:b w:val="0"/>
                <w:i w:val="0"/>
                <w:sz w:val="18"/>
              </w:rPr>
              <w:t>0.291</w:t>
            </w:r>
          </w:p>
        </w:tc>
        <w:tc>
          <w:tcPr>
            <w:tcW w:type="dxa" w:w="1152"/>
            <w:shd w:val="clear" w:color="auto" w:fill="FFFFFF"/>
          </w:tcPr>
          <w:p>
            <w:pPr>
              <w:keepNext/>
              <w:jc w:val="center"/>
            </w:pPr>
            <w:r>
              <w:rPr>
                <w:rFonts w:ascii="Calibri" w:hAnsi="Calibri"/>
                <w:b w:val="0"/>
                <w:i w:val="0"/>
                <w:sz w:val="18"/>
              </w:rPr>
              <w:t>0.291</w:t>
            </w:r>
          </w:p>
        </w:tc>
      </w:tr>
      <w:tr>
        <w:tc>
          <w:tcPr>
            <w:tcW w:type="dxa" w:w="3168"/>
            <w:shd w:val="clear" w:color="auto" w:fill="F2F2F2"/>
          </w:tcPr>
          <w:p>
            <w:pPr>
              <w:keepNext/>
              <w:jc w:val="left"/>
            </w:pPr>
            <w:r>
              <w:rPr>
                <w:rFonts w:ascii="Calibri" w:hAnsi="Calibri"/>
                <w:b w:val="0"/>
                <w:i w:val="0"/>
                <w:sz w:val="18"/>
              </w:rPr>
              <w:t>Completada: simple PM2.5</w:t>
            </w:r>
          </w:p>
        </w:tc>
        <w:tc>
          <w:tcPr>
            <w:tcW w:type="dxa" w:w="1008"/>
            <w:shd w:val="clear" w:color="auto" w:fill="F2F2F2"/>
          </w:tcPr>
          <w:p>
            <w:pPr>
              <w:keepNext/>
              <w:jc w:val="center"/>
            </w:pPr>
            <w:r>
              <w:rPr>
                <w:rFonts w:ascii="Calibri" w:hAnsi="Calibri"/>
                <w:b w:val="0"/>
                <w:i w:val="0"/>
                <w:sz w:val="18"/>
              </w:rPr>
              <w:t>–</w:t>
            </w:r>
          </w:p>
        </w:tc>
        <w:tc>
          <w:tcPr>
            <w:tcW w:type="dxa" w:w="2016"/>
            <w:shd w:val="clear" w:color="auto" w:fill="F2F2F2"/>
          </w:tcPr>
          <w:p>
            <w:pPr>
              <w:keepNext/>
              <w:jc w:val="center"/>
            </w:pPr>
            <w:r>
              <w:rPr>
                <w:rFonts w:ascii="Calibri" w:hAnsi="Calibri"/>
                <w:b w:val="0"/>
                <w:i w:val="0"/>
                <w:sz w:val="18"/>
              </w:rPr>
              <w:t>–</w:t>
            </w:r>
          </w:p>
        </w:tc>
        <w:tc>
          <w:tcPr>
            <w:tcW w:type="dxa" w:w="1728"/>
            <w:shd w:val="clear" w:color="auto" w:fill="F2F2F2"/>
          </w:tcPr>
          <w:p>
            <w:pPr>
              <w:keepNext/>
              <w:jc w:val="center"/>
            </w:pPr>
            <w:r>
              <w:rPr>
                <w:rFonts w:ascii="Calibri" w:hAnsi="Calibri"/>
                <w:b w:val="0"/>
                <w:i w:val="0"/>
                <w:sz w:val="18"/>
              </w:rPr>
              <w:t>0.761</w:t>
            </w:r>
          </w:p>
        </w:tc>
        <w:tc>
          <w:tcPr>
            <w:tcW w:type="dxa" w:w="720"/>
            <w:shd w:val="clear" w:color="auto" w:fill="F2F2F2"/>
          </w:tcPr>
          <w:p>
            <w:pPr>
              <w:keepNext/>
              <w:jc w:val="center"/>
            </w:pPr>
            <w:r>
              <w:rPr>
                <w:rFonts w:ascii="Calibri" w:hAnsi="Calibri"/>
                <w:b w:val="0"/>
                <w:i w:val="0"/>
                <w:sz w:val="18"/>
              </w:rPr>
              <w:t>0.284</w:t>
            </w:r>
          </w:p>
        </w:tc>
        <w:tc>
          <w:tcPr>
            <w:tcW w:type="dxa" w:w="1152"/>
            <w:shd w:val="clear" w:color="auto" w:fill="F2F2F2"/>
          </w:tcPr>
          <w:p>
            <w:pPr>
              <w:keepNext/>
              <w:jc w:val="center"/>
            </w:pPr>
            <w:r>
              <w:rPr>
                <w:rFonts w:ascii="Calibri" w:hAnsi="Calibri"/>
                <w:b w:val="0"/>
                <w:i w:val="0"/>
                <w:sz w:val="18"/>
              </w:rPr>
              <w:t>0.284</w:t>
            </w:r>
          </w:p>
        </w:tc>
      </w:tr>
      <w:tr>
        <w:tc>
          <w:tcPr>
            <w:tcW w:type="dxa" w:w="3168"/>
            <w:shd w:val="clear" w:color="auto" w:fill="FCE4B8"/>
          </w:tcPr>
          <w:p>
            <w:pPr>
              <w:keepNext/>
              <w:jc w:val="left"/>
            </w:pPr>
            <w:r>
              <w:rPr>
                <w:rFonts w:ascii="Calibri" w:hAnsi="Calibri"/>
                <w:b/>
                <w:i w:val="0"/>
                <w:sz w:val="18"/>
              </w:rPr>
              <w:t>Completada: múltiple lineal</w:t>
            </w:r>
          </w:p>
        </w:tc>
        <w:tc>
          <w:tcPr>
            <w:tcW w:type="dxa" w:w="1008"/>
            <w:shd w:val="clear" w:color="auto" w:fill="FCE4B8"/>
          </w:tcPr>
          <w:p>
            <w:pPr>
              <w:keepNext/>
              <w:jc w:val="center"/>
            </w:pPr>
            <w:r>
              <w:rPr>
                <w:rFonts w:ascii="Calibri" w:hAnsi="Calibri"/>
                <w:b/>
                <w:i w:val="0"/>
                <w:sz w:val="18"/>
              </w:rPr>
              <w:t>0.202</w:t>
            </w:r>
          </w:p>
        </w:tc>
        <w:tc>
          <w:tcPr>
            <w:tcW w:type="dxa" w:w="2016"/>
            <w:shd w:val="clear" w:color="auto" w:fill="FCE4B8"/>
          </w:tcPr>
          <w:p>
            <w:pPr>
              <w:keepNext/>
              <w:jc w:val="center"/>
            </w:pPr>
            <w:r>
              <w:rPr>
                <w:rFonts w:ascii="Calibri" w:hAnsi="Calibri"/>
                <w:b/>
                <w:i w:val="0"/>
                <w:sz w:val="18"/>
              </w:rPr>
              <w:t>–</w:t>
            </w:r>
          </w:p>
        </w:tc>
        <w:tc>
          <w:tcPr>
            <w:tcW w:type="dxa" w:w="1728"/>
            <w:shd w:val="clear" w:color="auto" w:fill="FCE4B8"/>
          </w:tcPr>
          <w:p>
            <w:pPr>
              <w:keepNext/>
              <w:jc w:val="center"/>
            </w:pPr>
            <w:r>
              <w:rPr>
                <w:rFonts w:ascii="Calibri" w:hAnsi="Calibri"/>
                <w:b/>
                <w:i w:val="0"/>
                <w:sz w:val="18"/>
              </w:rPr>
              <w:t>0.396</w:t>
            </w:r>
          </w:p>
        </w:tc>
        <w:tc>
          <w:tcPr>
            <w:tcW w:type="dxa" w:w="720"/>
            <w:shd w:val="clear" w:color="auto" w:fill="FCE4B8"/>
          </w:tcPr>
          <w:p>
            <w:pPr>
              <w:keepNext/>
              <w:jc w:val="center"/>
            </w:pPr>
            <w:r>
              <w:rPr>
                <w:rFonts w:ascii="Calibri" w:hAnsi="Calibri"/>
                <w:b/>
                <w:i w:val="0"/>
                <w:sz w:val="18"/>
              </w:rPr>
              <w:t>0.317</w:t>
            </w:r>
          </w:p>
        </w:tc>
        <w:tc>
          <w:tcPr>
            <w:tcW w:type="dxa" w:w="1152"/>
            <w:shd w:val="clear" w:color="auto" w:fill="FCE4B8"/>
          </w:tcPr>
          <w:p>
            <w:pPr>
              <w:keepNext/>
              <w:jc w:val="center"/>
            </w:pPr>
            <w:r>
              <w:rPr>
                <w:rFonts w:ascii="Calibri" w:hAnsi="Calibri"/>
                <w:b/>
                <w:i w:val="0"/>
                <w:sz w:val="18"/>
              </w:rPr>
              <w:t>0.317</w:t>
            </w:r>
          </w:p>
        </w:tc>
      </w:tr>
      <w:tr>
        <w:tc>
          <w:tcPr>
            <w:tcW w:type="dxa" w:w="3168"/>
            <w:shd w:val="clear" w:color="auto" w:fill="F2F2F2"/>
          </w:tcPr>
          <w:p>
            <w:pPr>
              <w:keepNext/>
              <w:jc w:val="left"/>
            </w:pPr>
            <w:r>
              <w:rPr>
                <w:rFonts w:ascii="Calibri" w:hAnsi="Calibri"/>
                <w:b w:val="0"/>
                <w:i w:val="0"/>
                <w:sz w:val="18"/>
              </w:rPr>
              <w:t>Completada: múltiple cuadrático</w:t>
            </w:r>
          </w:p>
        </w:tc>
        <w:tc>
          <w:tcPr>
            <w:tcW w:type="dxa" w:w="1008"/>
            <w:shd w:val="clear" w:color="auto" w:fill="F2F2F2"/>
          </w:tcPr>
          <w:p>
            <w:pPr>
              <w:keepNext/>
              <w:jc w:val="center"/>
            </w:pPr>
            <w:r>
              <w:rPr>
                <w:rFonts w:ascii="Calibri" w:hAnsi="Calibri"/>
                <w:b w:val="0"/>
                <w:i w:val="0"/>
                <w:sz w:val="18"/>
              </w:rPr>
              <w:t>0.193</w:t>
            </w:r>
          </w:p>
        </w:tc>
        <w:tc>
          <w:tcPr>
            <w:tcW w:type="dxa" w:w="2016"/>
            <w:shd w:val="clear" w:color="auto" w:fill="F2F2F2"/>
          </w:tcPr>
          <w:p>
            <w:pPr>
              <w:keepNext/>
              <w:jc w:val="center"/>
            </w:pPr>
            <w:r>
              <w:rPr>
                <w:rFonts w:ascii="Calibri" w:hAnsi="Calibri"/>
                <w:b w:val="0"/>
                <w:i w:val="0"/>
                <w:sz w:val="18"/>
              </w:rPr>
              <w:t>0.00011 (p = 0.70)</w:t>
            </w:r>
          </w:p>
        </w:tc>
        <w:tc>
          <w:tcPr>
            <w:tcW w:type="dxa" w:w="1728"/>
            <w:shd w:val="clear" w:color="auto" w:fill="F2F2F2"/>
          </w:tcPr>
          <w:p>
            <w:pPr>
              <w:keepNext/>
              <w:jc w:val="center"/>
            </w:pPr>
            <w:r>
              <w:rPr>
                <w:rFonts w:ascii="Calibri" w:hAnsi="Calibri"/>
                <w:b w:val="0"/>
                <w:i w:val="0"/>
                <w:sz w:val="18"/>
              </w:rPr>
              <w:t>0.397</w:t>
            </w:r>
          </w:p>
        </w:tc>
        <w:tc>
          <w:tcPr>
            <w:tcW w:type="dxa" w:w="720"/>
            <w:shd w:val="clear" w:color="auto" w:fill="F2F2F2"/>
          </w:tcPr>
          <w:p>
            <w:pPr>
              <w:keepNext/>
              <w:jc w:val="center"/>
            </w:pPr>
            <w:r>
              <w:rPr>
                <w:rFonts w:ascii="Calibri" w:hAnsi="Calibri"/>
                <w:b w:val="0"/>
                <w:i w:val="0"/>
                <w:sz w:val="18"/>
              </w:rPr>
              <w:t>0.317</w:t>
            </w:r>
          </w:p>
        </w:tc>
        <w:tc>
          <w:tcPr>
            <w:tcW w:type="dxa" w:w="1152"/>
            <w:shd w:val="clear" w:color="auto" w:fill="F2F2F2"/>
          </w:tcPr>
          <w:p>
            <w:pPr>
              <w:keepNext/>
              <w:jc w:val="center"/>
            </w:pPr>
            <w:r>
              <w:rPr>
                <w:rFonts w:ascii="Calibri" w:hAnsi="Calibri"/>
                <w:b w:val="0"/>
                <w:i w:val="0"/>
                <w:sz w:val="18"/>
              </w:rPr>
              <w:t>0.317</w:t>
            </w:r>
          </w:p>
        </w:tc>
      </w:tr>
      <w:tr>
        <w:tc>
          <w:tcPr>
            <w:tcW w:type="dxa" w:w="3168"/>
            <w:shd w:val="clear" w:color="auto" w:fill="FFFFFF"/>
          </w:tcPr>
          <w:p>
            <w:pPr>
              <w:keepNext/>
              <w:jc w:val="left"/>
            </w:pPr>
            <w:r>
              <w:rPr>
                <w:rFonts w:ascii="Calibri" w:hAnsi="Calibri"/>
                <w:b w:val="0"/>
                <w:i w:val="0"/>
                <w:sz w:val="18"/>
              </w:rPr>
              <w:t>Observada: simple PM10</w:t>
            </w:r>
          </w:p>
        </w:tc>
        <w:tc>
          <w:tcPr>
            <w:tcW w:type="dxa" w:w="1008"/>
            <w:shd w:val="clear" w:color="auto" w:fill="FFFFFF"/>
          </w:tcPr>
          <w:p>
            <w:pPr>
              <w:keepNext/>
              <w:jc w:val="center"/>
            </w:pPr>
            <w:r>
              <w:rPr>
                <w:rFonts w:ascii="Calibri" w:hAnsi="Calibri"/>
                <w:b w:val="0"/>
                <w:i w:val="0"/>
                <w:sz w:val="18"/>
              </w:rPr>
              <w:t>0.349</w:t>
            </w:r>
          </w:p>
        </w:tc>
        <w:tc>
          <w:tcPr>
            <w:tcW w:type="dxa" w:w="2016"/>
            <w:shd w:val="clear" w:color="auto" w:fill="FFFFFF"/>
          </w:tcPr>
          <w:p>
            <w:pPr>
              <w:keepNext/>
              <w:jc w:val="center"/>
            </w:pPr>
            <w:r>
              <w:rPr>
                <w:rFonts w:ascii="Calibri" w:hAnsi="Calibri"/>
                <w:b w:val="0"/>
                <w:i w:val="0"/>
                <w:sz w:val="18"/>
              </w:rPr>
              <w:t>–</w:t>
            </w:r>
          </w:p>
        </w:tc>
        <w:tc>
          <w:tcPr>
            <w:tcW w:type="dxa" w:w="1728"/>
            <w:shd w:val="clear" w:color="auto" w:fill="FFFFFF"/>
          </w:tcPr>
          <w:p>
            <w:pPr>
              <w:keepNext/>
              <w:jc w:val="center"/>
            </w:pPr>
            <w:r>
              <w:rPr>
                <w:rFonts w:ascii="Calibri" w:hAnsi="Calibri"/>
                <w:b w:val="0"/>
                <w:i w:val="0"/>
                <w:sz w:val="18"/>
              </w:rPr>
              <w:t>–</w:t>
            </w:r>
          </w:p>
        </w:tc>
        <w:tc>
          <w:tcPr>
            <w:tcW w:type="dxa" w:w="720"/>
            <w:shd w:val="clear" w:color="auto" w:fill="FFFFFF"/>
          </w:tcPr>
          <w:p>
            <w:pPr>
              <w:keepNext/>
              <w:jc w:val="center"/>
            </w:pPr>
            <w:r>
              <w:rPr>
                <w:rFonts w:ascii="Calibri" w:hAnsi="Calibri"/>
                <w:b w:val="0"/>
                <w:i w:val="0"/>
                <w:sz w:val="18"/>
              </w:rPr>
              <w:t>0.365</w:t>
            </w:r>
          </w:p>
        </w:tc>
        <w:tc>
          <w:tcPr>
            <w:tcW w:type="dxa" w:w="1152"/>
            <w:shd w:val="clear" w:color="auto" w:fill="FFFFFF"/>
          </w:tcPr>
          <w:p>
            <w:pPr>
              <w:keepNext/>
              <w:jc w:val="center"/>
            </w:pPr>
            <w:r>
              <w:rPr>
                <w:rFonts w:ascii="Calibri" w:hAnsi="Calibri"/>
                <w:b w:val="0"/>
                <w:i w:val="0"/>
                <w:sz w:val="18"/>
              </w:rPr>
              <w:t>0.364</w:t>
            </w:r>
          </w:p>
        </w:tc>
      </w:tr>
      <w:tr>
        <w:tc>
          <w:tcPr>
            <w:tcW w:type="dxa" w:w="3168"/>
            <w:shd w:val="clear" w:color="auto" w:fill="F2F2F2"/>
          </w:tcPr>
          <w:p>
            <w:pPr>
              <w:keepNext/>
              <w:jc w:val="left"/>
            </w:pPr>
            <w:r>
              <w:rPr>
                <w:rFonts w:ascii="Calibri" w:hAnsi="Calibri"/>
                <w:b w:val="0"/>
                <w:i w:val="0"/>
                <w:sz w:val="18"/>
              </w:rPr>
              <w:t>Observada: simple PM2.5</w:t>
            </w:r>
          </w:p>
        </w:tc>
        <w:tc>
          <w:tcPr>
            <w:tcW w:type="dxa" w:w="1008"/>
            <w:shd w:val="clear" w:color="auto" w:fill="F2F2F2"/>
          </w:tcPr>
          <w:p>
            <w:pPr>
              <w:keepNext/>
              <w:jc w:val="center"/>
            </w:pPr>
            <w:r>
              <w:rPr>
                <w:rFonts w:ascii="Calibri" w:hAnsi="Calibri"/>
                <w:b w:val="0"/>
                <w:i w:val="0"/>
                <w:sz w:val="18"/>
              </w:rPr>
              <w:t>–</w:t>
            </w:r>
          </w:p>
        </w:tc>
        <w:tc>
          <w:tcPr>
            <w:tcW w:type="dxa" w:w="2016"/>
            <w:shd w:val="clear" w:color="auto" w:fill="F2F2F2"/>
          </w:tcPr>
          <w:p>
            <w:pPr>
              <w:keepNext/>
              <w:jc w:val="center"/>
            </w:pPr>
            <w:r>
              <w:rPr>
                <w:rFonts w:ascii="Calibri" w:hAnsi="Calibri"/>
                <w:b w:val="0"/>
                <w:i w:val="0"/>
                <w:sz w:val="18"/>
              </w:rPr>
              <w:t>–</w:t>
            </w:r>
          </w:p>
        </w:tc>
        <w:tc>
          <w:tcPr>
            <w:tcW w:type="dxa" w:w="1728"/>
            <w:shd w:val="clear" w:color="auto" w:fill="F2F2F2"/>
          </w:tcPr>
          <w:p>
            <w:pPr>
              <w:keepNext/>
              <w:jc w:val="center"/>
            </w:pPr>
            <w:r>
              <w:rPr>
                <w:rFonts w:ascii="Calibri" w:hAnsi="Calibri"/>
                <w:b w:val="0"/>
                <w:i w:val="0"/>
                <w:sz w:val="18"/>
              </w:rPr>
              <w:t>0.721</w:t>
            </w:r>
          </w:p>
        </w:tc>
        <w:tc>
          <w:tcPr>
            <w:tcW w:type="dxa" w:w="720"/>
            <w:shd w:val="clear" w:color="auto" w:fill="F2F2F2"/>
          </w:tcPr>
          <w:p>
            <w:pPr>
              <w:keepNext/>
              <w:jc w:val="center"/>
            </w:pPr>
            <w:r>
              <w:rPr>
                <w:rFonts w:ascii="Calibri" w:hAnsi="Calibri"/>
                <w:b w:val="0"/>
                <w:i w:val="0"/>
                <w:sz w:val="18"/>
              </w:rPr>
              <w:t>0.293</w:t>
            </w:r>
          </w:p>
        </w:tc>
        <w:tc>
          <w:tcPr>
            <w:tcW w:type="dxa" w:w="1152"/>
            <w:shd w:val="clear" w:color="auto" w:fill="F2F2F2"/>
          </w:tcPr>
          <w:p>
            <w:pPr>
              <w:keepNext/>
              <w:jc w:val="center"/>
            </w:pPr>
            <w:r>
              <w:rPr>
                <w:rFonts w:ascii="Calibri" w:hAnsi="Calibri"/>
                <w:b w:val="0"/>
                <w:i w:val="0"/>
                <w:sz w:val="18"/>
              </w:rPr>
              <w:t>0.293</w:t>
            </w:r>
          </w:p>
        </w:tc>
      </w:tr>
      <w:tr>
        <w:tc>
          <w:tcPr>
            <w:tcW w:type="dxa" w:w="3168"/>
            <w:shd w:val="clear" w:color="auto" w:fill="FFFFFF"/>
          </w:tcPr>
          <w:p>
            <w:pPr>
              <w:keepNext/>
              <w:jc w:val="left"/>
            </w:pPr>
            <w:r>
              <w:rPr>
                <w:rFonts w:ascii="Calibri" w:hAnsi="Calibri"/>
                <w:b w:val="0"/>
                <w:i w:val="0"/>
                <w:sz w:val="18"/>
              </w:rPr>
              <w:t>Observada: múltiple lineal</w:t>
            </w:r>
          </w:p>
        </w:tc>
        <w:tc>
          <w:tcPr>
            <w:tcW w:type="dxa" w:w="1008"/>
            <w:shd w:val="clear" w:color="auto" w:fill="FFFFFF"/>
          </w:tcPr>
          <w:p>
            <w:pPr>
              <w:keepNext/>
              <w:jc w:val="center"/>
            </w:pPr>
            <w:r>
              <w:rPr>
                <w:rFonts w:ascii="Calibri" w:hAnsi="Calibri"/>
                <w:b w:val="0"/>
                <w:i w:val="0"/>
                <w:sz w:val="18"/>
              </w:rPr>
              <w:t>0.323</w:t>
            </w:r>
          </w:p>
        </w:tc>
        <w:tc>
          <w:tcPr>
            <w:tcW w:type="dxa" w:w="2016"/>
            <w:shd w:val="clear" w:color="auto" w:fill="FFFFFF"/>
          </w:tcPr>
          <w:p>
            <w:pPr>
              <w:keepNext/>
              <w:jc w:val="center"/>
            </w:pPr>
            <w:r>
              <w:rPr>
                <w:rFonts w:ascii="Calibri" w:hAnsi="Calibri"/>
                <w:b w:val="0"/>
                <w:i w:val="0"/>
                <w:sz w:val="18"/>
              </w:rPr>
              <w:t>–</w:t>
            </w:r>
          </w:p>
        </w:tc>
        <w:tc>
          <w:tcPr>
            <w:tcW w:type="dxa" w:w="1728"/>
            <w:shd w:val="clear" w:color="auto" w:fill="FFFFFF"/>
          </w:tcPr>
          <w:p>
            <w:pPr>
              <w:keepNext/>
              <w:jc w:val="center"/>
            </w:pPr>
            <w:r>
              <w:rPr>
                <w:rFonts w:ascii="Calibri" w:hAnsi="Calibri"/>
                <w:b w:val="0"/>
                <w:i w:val="0"/>
                <w:sz w:val="18"/>
              </w:rPr>
              <w:t>0.069 (p = 0.12)</w:t>
            </w:r>
          </w:p>
        </w:tc>
        <w:tc>
          <w:tcPr>
            <w:tcW w:type="dxa" w:w="720"/>
            <w:shd w:val="clear" w:color="auto" w:fill="FFFFFF"/>
          </w:tcPr>
          <w:p>
            <w:pPr>
              <w:keepNext/>
              <w:jc w:val="center"/>
            </w:pPr>
            <w:r>
              <w:rPr>
                <w:rFonts w:ascii="Calibri" w:hAnsi="Calibri"/>
                <w:b w:val="0"/>
                <w:i w:val="0"/>
                <w:sz w:val="18"/>
              </w:rPr>
              <w:t>0.365</w:t>
            </w:r>
          </w:p>
        </w:tc>
        <w:tc>
          <w:tcPr>
            <w:tcW w:type="dxa" w:w="1152"/>
            <w:shd w:val="clear" w:color="auto" w:fill="FFFFFF"/>
          </w:tcPr>
          <w:p>
            <w:pPr>
              <w:keepNext/>
              <w:jc w:val="center"/>
            </w:pPr>
            <w:r>
              <w:rPr>
                <w:rFonts w:ascii="Calibri" w:hAnsi="Calibri"/>
                <w:b w:val="0"/>
                <w:i w:val="0"/>
                <w:sz w:val="18"/>
              </w:rPr>
              <w:t>0.365</w:t>
            </w:r>
          </w:p>
        </w:tc>
      </w:tr>
      <w:tr>
        <w:tc>
          <w:tcPr>
            <w:tcW w:type="dxa" w:w="3168"/>
            <w:shd w:val="clear" w:color="auto" w:fill="F2F2F2"/>
          </w:tcPr>
          <w:p>
            <w:pPr>
              <w:keepNext/>
              <w:jc w:val="left"/>
            </w:pPr>
            <w:r>
              <w:rPr>
                <w:rFonts w:ascii="Calibri" w:hAnsi="Calibri"/>
                <w:b w:val="0"/>
                <w:i w:val="0"/>
                <w:sz w:val="18"/>
              </w:rPr>
              <w:t>Observada: múltiple cuadrático</w:t>
            </w:r>
          </w:p>
        </w:tc>
        <w:tc>
          <w:tcPr>
            <w:tcW w:type="dxa" w:w="1008"/>
            <w:shd w:val="clear" w:color="auto" w:fill="F2F2F2"/>
          </w:tcPr>
          <w:p>
            <w:pPr>
              <w:keepNext/>
              <w:jc w:val="center"/>
            </w:pPr>
            <w:r>
              <w:rPr>
                <w:rFonts w:ascii="Calibri" w:hAnsi="Calibri"/>
                <w:b w:val="0"/>
                <w:i w:val="0"/>
                <w:sz w:val="18"/>
              </w:rPr>
              <w:t>0.321</w:t>
            </w:r>
          </w:p>
        </w:tc>
        <w:tc>
          <w:tcPr>
            <w:tcW w:type="dxa" w:w="2016"/>
            <w:shd w:val="clear" w:color="auto" w:fill="F2F2F2"/>
          </w:tcPr>
          <w:p>
            <w:pPr>
              <w:keepNext/>
              <w:jc w:val="center"/>
            </w:pPr>
            <w:r>
              <w:rPr>
                <w:rFonts w:ascii="Calibri" w:hAnsi="Calibri"/>
                <w:b w:val="0"/>
                <w:i w:val="0"/>
                <w:sz w:val="18"/>
              </w:rPr>
              <w:t>0.00002 (p = 0.95)</w:t>
            </w:r>
          </w:p>
        </w:tc>
        <w:tc>
          <w:tcPr>
            <w:tcW w:type="dxa" w:w="1728"/>
            <w:shd w:val="clear" w:color="auto" w:fill="F2F2F2"/>
          </w:tcPr>
          <w:p>
            <w:pPr>
              <w:keepNext/>
              <w:jc w:val="center"/>
            </w:pPr>
            <w:r>
              <w:rPr>
                <w:rFonts w:ascii="Calibri" w:hAnsi="Calibri"/>
                <w:b w:val="0"/>
                <w:i w:val="0"/>
                <w:sz w:val="18"/>
              </w:rPr>
              <w:t>0.069 (p = 0.13)</w:t>
            </w:r>
          </w:p>
        </w:tc>
        <w:tc>
          <w:tcPr>
            <w:tcW w:type="dxa" w:w="720"/>
            <w:shd w:val="clear" w:color="auto" w:fill="F2F2F2"/>
          </w:tcPr>
          <w:p>
            <w:pPr>
              <w:keepNext/>
              <w:jc w:val="center"/>
            </w:pPr>
            <w:r>
              <w:rPr>
                <w:rFonts w:ascii="Calibri" w:hAnsi="Calibri"/>
                <w:b w:val="0"/>
                <w:i w:val="0"/>
                <w:sz w:val="18"/>
              </w:rPr>
              <w:t>0.365</w:t>
            </w:r>
          </w:p>
        </w:tc>
        <w:tc>
          <w:tcPr>
            <w:tcW w:type="dxa" w:w="1152"/>
            <w:shd w:val="clear" w:color="auto" w:fill="F2F2F2"/>
          </w:tcPr>
          <w:p>
            <w:pPr>
              <w:keepNext/>
              <w:jc w:val="center"/>
            </w:pPr>
            <w:r>
              <w:rPr>
                <w:rFonts w:ascii="Calibri" w:hAnsi="Calibri"/>
                <w:b w:val="0"/>
                <w:i w:val="0"/>
                <w:sz w:val="18"/>
              </w:rPr>
              <w:t>0.365</w:t>
            </w:r>
          </w:p>
        </w:tc>
      </w:tr>
    </w:tbl>
    <w:p>
      <w:pPr>
        <w:keepNext w:val="0"/>
        <w:spacing w:before="40" w:after="160"/>
        <w:jc w:val="center"/>
      </w:pPr>
      <w:r>
        <w:rPr>
          <w:rFonts w:ascii="Calibri" w:hAnsi="Calibri"/>
          <w:b w:val="0"/>
          <w:i/>
          <w:color w:val="404040"/>
          <w:sz w:val="18"/>
        </w:rPr>
        <w:t>Tabla 4. Coeficientes (ppb de NO₂ por µg/m³; por (µg/m³)² en el término cuadrático) y ajuste de los modelos. Salvo donde se indica el valor p, los coeficientes son significativos al 5 %.</w:t>
      </w:r>
    </w:p>
    <w:p>
      <w:pPr>
        <w:keepNext/>
        <w:jc w:val="center"/>
      </w:pPr>
      <w:r>
        <w:drawing>
          <wp:inline xmlns:a="http://schemas.openxmlformats.org/drawingml/2006/main" xmlns:pic="http://schemas.openxmlformats.org/drawingml/2006/picture">
            <wp:extent cx="6035040" cy="2884254"/>
            <wp:docPr id="5" name="Picture 5"/>
            <wp:cNvGraphicFramePr>
              <a:graphicFrameLocks noChangeAspect="1"/>
            </wp:cNvGraphicFramePr>
            <a:graphic>
              <a:graphicData uri="http://schemas.openxmlformats.org/drawingml/2006/picture">
                <pic:pic>
                  <pic:nvPicPr>
                    <pic:cNvPr id="0" name="planos_regresion_3d.png"/>
                    <pic:cNvPicPr/>
                  </pic:nvPicPr>
                  <pic:blipFill>
                    <a:blip r:embed="rId12"/>
                    <a:stretch>
                      <a:fillRect/>
                    </a:stretch>
                  </pic:blipFill>
                  <pic:spPr>
                    <a:xfrm>
                      <a:off x="0" y="0"/>
                      <a:ext cx="6035040" cy="2884254"/>
                    </a:xfrm>
                    <a:prstGeom prst="rect"/>
                  </pic:spPr>
                </pic:pic>
              </a:graphicData>
            </a:graphic>
          </wp:inline>
        </w:drawing>
      </w:r>
    </w:p>
    <w:p>
      <w:pPr>
        <w:keepNext w:val="0"/>
        <w:spacing w:before="40" w:after="160"/>
        <w:jc w:val="center"/>
      </w:pPr>
      <w:r>
        <w:rPr>
          <w:rFonts w:ascii="Calibri" w:hAnsi="Calibri"/>
          <w:b w:val="0"/>
          <w:i/>
          <w:color w:val="404040"/>
          <w:sz w:val="18"/>
        </w:rPr>
        <w:t>Figura 4. Plano de regresión lineal múltiple y superficie del modelo cuadrático del NO₂ en función del PM10 y el PM2.5, serie completada (muestra de 1,500 horas).</w:t>
      </w:r>
    </w:p>
    <w:p>
      <w:pPr>
        <w:keepNext w:val="0"/>
        <w:spacing w:before="0" w:after="100"/>
        <w:jc w:val="both"/>
      </w:pPr>
      <w:r>
        <w:rPr>
          <w:rFonts w:ascii="Calibri" w:hAnsi="Calibri"/>
          <w:b w:val="0"/>
          <w:i w:val="0"/>
          <w:sz w:val="20"/>
        </w:rPr>
        <w:t>Cada coeficiente indica cuánto cambia el NO₂ por cada µg/m³ más de partículas. Con los datos medidos, 10 µg/m³ más de PM10 van con 3.5 ppb más de NO₂, y 10 µg/m³ más de PM2.5 con 7.2 ppb. Como referencia, el NO₂ promedio en esas horas es de 18.3 ppb. El coeficiente del PM2.5 sale más grande porque sus niveles son más bajos y 10 µg/m³ pesan más en términos relativos. Esto no quiere decir que las partículas generen NO₂. Lo que pasa es que los dos suben juntos, porque tienen fuentes de combustión en común y se acumulan con el mismo clima, como las inversiones térmicas o los días sin viento.</w:t>
      </w:r>
    </w:p>
    <w:p>
      <w:pPr>
        <w:keepNext/>
        <w:spacing w:before="0" w:after="100"/>
        <w:jc w:val="both"/>
      </w:pPr>
      <w:r>
        <w:rPr>
          <w:rFonts w:ascii="Calibri" w:hAnsi="Calibri"/>
          <w:b w:val="0"/>
          <w:i w:val="0"/>
          <w:sz w:val="20"/>
        </w:rPr>
        <w:t>En los datos medidos, meter el PM2.5 a un modelo que ya tiene al PM10 no mejora nada (R² de 0.365 en los dos casos) y su coeficiente deja de ser significativo (p = 0.12), aunque en el modelo simple sí lo era. Es el efecto clásico de la colinealidad. En la Figura 5 se ve bien: el coeficiente del PM2.5 baja de 0.721 a 0.069 ppb por µg/m³ y su intervalo de confianza toca el cero.</w:t>
      </w:r>
    </w:p>
    <w:p>
      <w:pPr>
        <w:keepNext/>
        <w:jc w:val="center"/>
      </w:pPr>
      <w:r>
        <w:drawing>
          <wp:inline xmlns:a="http://schemas.openxmlformats.org/drawingml/2006/main" xmlns:pic="http://schemas.openxmlformats.org/drawingml/2006/picture">
            <wp:extent cx="4389120" cy="1962271"/>
            <wp:docPr id="6" name="Picture 6"/>
            <wp:cNvGraphicFramePr>
              <a:graphicFrameLocks noChangeAspect="1"/>
            </wp:cNvGraphicFramePr>
            <a:graphic>
              <a:graphicData uri="http://schemas.openxmlformats.org/drawingml/2006/picture">
                <pic:pic>
                  <pic:nvPicPr>
                    <pic:cNvPr id="0" name="coeficientes_pm25.png"/>
                    <pic:cNvPicPr/>
                  </pic:nvPicPr>
                  <pic:blipFill>
                    <a:blip r:embed="rId13"/>
                    <a:stretch>
                      <a:fillRect/>
                    </a:stretch>
                  </pic:blipFill>
                  <pic:spPr>
                    <a:xfrm>
                      <a:off x="0" y="0"/>
                      <a:ext cx="4389120" cy="1962271"/>
                    </a:xfrm>
                    <a:prstGeom prst="rect"/>
                  </pic:spPr>
                </pic:pic>
              </a:graphicData>
            </a:graphic>
          </wp:inline>
        </w:drawing>
      </w:r>
    </w:p>
    <w:p>
      <w:pPr>
        <w:keepNext w:val="0"/>
        <w:spacing w:before="40" w:after="160"/>
        <w:jc w:val="center"/>
      </w:pPr>
      <w:r>
        <w:rPr>
          <w:rFonts w:ascii="Calibri" w:hAnsi="Calibri"/>
          <w:b w:val="0"/>
          <w:i/>
          <w:color w:val="404040"/>
          <w:sz w:val="18"/>
        </w:rPr>
        <w:t>Figura 5. Coeficiente del PM2.5 en el modelo simple y en el múltiple, con su intervalo de confianza de 95 %, para la serie observada y la completada.</w:t>
      </w:r>
    </w:p>
    <w:p>
      <w:pPr>
        <w:keepNext w:val="0"/>
        <w:spacing w:before="0" w:after="100"/>
        <w:jc w:val="both"/>
      </w:pPr>
      <w:r>
        <w:rPr>
          <w:rFonts w:ascii="Calibri" w:hAnsi="Calibri"/>
          <w:b w:val="0"/>
          <w:i w:val="0"/>
          <w:sz w:val="20"/>
        </w:rPr>
        <w:t>En la serie completada pasa algo distinto: los dos coeficientes son significativos y el R² sube de 0.291 a 0.317. Creo que esto se debe sobre todo a la imputación. En las horas imputadas el NO₂ no es una medición sino una función del CO, así que en esos meses el modelo está midiendo en realidad cómo se relaciona el CO con las partículas. Como el CO también viene de la combustión, se relaciona de forma más pareja con el PM10 y el PM2.5, y eso le da al PM2.5 un peso que no tiene en los datos medidos.</w:t>
      </w:r>
    </w:p>
    <w:p>
      <w:pPr>
        <w:keepNext w:val="0"/>
        <w:spacing w:before="0" w:after="100"/>
        <w:jc w:val="both"/>
      </w:pPr>
      <w:r>
        <w:rPr>
          <w:rFonts w:ascii="Calibri" w:hAnsi="Calibri"/>
          <w:b w:val="0"/>
          <w:i w:val="0"/>
          <w:sz w:val="20"/>
        </w:rPr>
        <w:t>El término cuadrático no aportó nada en ninguna serie (p = 0.70 y 0.95), y en la Figura 4 la superficie casi no se curva. Con el NOx y el CO sí había curvatura, pero con las partículas, ya sin atípicos, la relación es prácticamente lineal. Lo que limita el modelo es la dispersión de los puntos: entre las dos partículas explican 31.7 % de la variabilidad del NO₂ en la serie completada.</w:t>
      </w:r>
    </w:p>
    <w:p>
      <w:pPr>
        <w:keepNext/>
        <w:spacing w:before="140" w:after="60"/>
        <w:jc w:val="left"/>
      </w:pPr>
      <w:r>
        <w:rPr>
          <w:rFonts w:ascii="Calibri" w:hAnsi="Calibri"/>
          <w:b/>
          <w:i w:val="0"/>
          <w:color w:val="1F497D"/>
          <w:sz w:val="22"/>
        </w:rPr>
        <w:t>3.5 Fracción fina y fracción gruesa</w:t>
      </w:r>
    </w:p>
    <w:p>
      <w:pPr>
        <w:keepNext/>
        <w:spacing w:before="0" w:after="100"/>
        <w:jc w:val="both"/>
      </w:pPr>
      <w:r>
        <w:rPr>
          <w:rFonts w:ascii="Calibri" w:hAnsi="Calibri"/>
          <w:b w:val="0"/>
          <w:i w:val="0"/>
          <w:sz w:val="20"/>
        </w:rPr>
        <w:t>Como la colinealidad viene de que el PM10 contiene al PM2.5, se puede quitar separando el PM10 en sus dos partes, la fracción fina (PM2.5) y la gruesa (PM10 − PM2.5), y ajustando NO₂ = b₀ + b₁·PM2.5 + b₂·(PM10 − PM2.5). El ajuste es el mismo que el del modelo múltiple de la Tabla 4, porque la información es la misma, pero ahora las dos variables ya no comparten partículas. Su correlación baja a 0.677 en los datos medidos y el VIF a 1.84 (Tabla 5).</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584"/>
            <w:shd w:val="clear" w:color="auto" w:fill="1F497D"/>
          </w:tcPr>
          <w:p>
            <w:pPr>
              <w:keepNext/>
              <w:jc w:val="center"/>
            </w:pPr>
            <w:r>
              <w:rPr>
                <w:rFonts w:ascii="Calibri" w:hAnsi="Calibri"/>
                <w:b/>
                <w:i w:val="0"/>
                <w:color w:val="FFFFFF"/>
                <w:sz w:val="18"/>
              </w:rPr>
              <w:t>Serie</w:t>
            </w:r>
          </w:p>
        </w:tc>
        <w:tc>
          <w:tcPr>
            <w:tcW w:type="dxa" w:w="2880"/>
            <w:shd w:val="clear" w:color="auto" w:fill="1F497D"/>
          </w:tcPr>
          <w:p>
            <w:pPr>
              <w:keepNext/>
              <w:jc w:val="center"/>
            </w:pPr>
            <w:r>
              <w:rPr>
                <w:rFonts w:ascii="Calibri" w:hAnsi="Calibri"/>
                <w:b/>
                <w:i w:val="0"/>
                <w:color w:val="FFFFFF"/>
                <w:sz w:val="18"/>
              </w:rPr>
              <w:t>b fracción fina (IC 95 %)</w:t>
            </w:r>
          </w:p>
        </w:tc>
        <w:tc>
          <w:tcPr>
            <w:tcW w:type="dxa" w:w="2880"/>
            <w:shd w:val="clear" w:color="auto" w:fill="1F497D"/>
          </w:tcPr>
          <w:p>
            <w:pPr>
              <w:keepNext/>
              <w:jc w:val="center"/>
            </w:pPr>
            <w:r>
              <w:rPr>
                <w:rFonts w:ascii="Calibri" w:hAnsi="Calibri"/>
                <w:b/>
                <w:i w:val="0"/>
                <w:color w:val="FFFFFF"/>
                <w:sz w:val="18"/>
              </w:rPr>
              <w:t>b fracción gruesa (IC 95 %)</w:t>
            </w:r>
          </w:p>
        </w:tc>
        <w:tc>
          <w:tcPr>
            <w:tcW w:type="dxa" w:w="864"/>
            <w:shd w:val="clear" w:color="auto" w:fill="1F497D"/>
          </w:tcPr>
          <w:p>
            <w:pPr>
              <w:keepNext/>
              <w:jc w:val="center"/>
            </w:pPr>
            <w:r>
              <w:rPr>
                <w:rFonts w:ascii="Calibri" w:hAnsi="Calibri"/>
                <w:b/>
                <w:i w:val="0"/>
                <w:color w:val="FFFFFF"/>
                <w:sz w:val="18"/>
              </w:rPr>
              <w:t>R²</w:t>
            </w:r>
          </w:p>
        </w:tc>
        <w:tc>
          <w:tcPr>
            <w:tcW w:type="dxa" w:w="864"/>
            <w:shd w:val="clear" w:color="auto" w:fill="1F497D"/>
          </w:tcPr>
          <w:p>
            <w:pPr>
              <w:keepNext/>
              <w:jc w:val="center"/>
            </w:pPr>
            <w:r>
              <w:rPr>
                <w:rFonts w:ascii="Calibri" w:hAnsi="Calibri"/>
                <w:b/>
                <w:i w:val="0"/>
                <w:color w:val="FFFFFF"/>
                <w:sz w:val="18"/>
              </w:rPr>
              <w:t>VIF</w:t>
            </w:r>
          </w:p>
        </w:tc>
      </w:tr>
      <w:tr>
        <w:tc>
          <w:tcPr>
            <w:tcW w:type="dxa" w:w="1584"/>
            <w:shd w:val="clear" w:color="auto" w:fill="FCE4B8"/>
          </w:tcPr>
          <w:p>
            <w:pPr>
              <w:keepNext/>
              <w:jc w:val="left"/>
            </w:pPr>
            <w:r>
              <w:rPr>
                <w:rFonts w:ascii="Calibri" w:hAnsi="Calibri"/>
                <w:b/>
                <w:i w:val="0"/>
                <w:sz w:val="18"/>
              </w:rPr>
              <w:t>Observada</w:t>
            </w:r>
          </w:p>
        </w:tc>
        <w:tc>
          <w:tcPr>
            <w:tcW w:type="dxa" w:w="2880"/>
            <w:shd w:val="clear" w:color="auto" w:fill="FCE4B8"/>
          </w:tcPr>
          <w:p>
            <w:pPr>
              <w:keepNext/>
              <w:jc w:val="center"/>
            </w:pPr>
            <w:r>
              <w:rPr>
                <w:rFonts w:ascii="Calibri" w:hAnsi="Calibri"/>
                <w:b/>
                <w:i w:val="0"/>
                <w:sz w:val="18"/>
              </w:rPr>
              <w:t>0.392 (0.334 a 0.450)</w:t>
            </w:r>
          </w:p>
        </w:tc>
        <w:tc>
          <w:tcPr>
            <w:tcW w:type="dxa" w:w="2880"/>
            <w:shd w:val="clear" w:color="auto" w:fill="FCE4B8"/>
          </w:tcPr>
          <w:p>
            <w:pPr>
              <w:keepNext/>
              <w:jc w:val="center"/>
            </w:pPr>
            <w:r>
              <w:rPr>
                <w:rFonts w:ascii="Calibri" w:hAnsi="Calibri"/>
                <w:b/>
                <w:i w:val="0"/>
                <w:sz w:val="18"/>
              </w:rPr>
              <w:t>0.323 (0.284 a 0.361)</w:t>
            </w:r>
          </w:p>
        </w:tc>
        <w:tc>
          <w:tcPr>
            <w:tcW w:type="dxa" w:w="864"/>
            <w:shd w:val="clear" w:color="auto" w:fill="FCE4B8"/>
          </w:tcPr>
          <w:p>
            <w:pPr>
              <w:keepNext/>
              <w:jc w:val="center"/>
            </w:pPr>
            <w:r>
              <w:rPr>
                <w:rFonts w:ascii="Calibri" w:hAnsi="Calibri"/>
                <w:b/>
                <w:i w:val="0"/>
                <w:sz w:val="18"/>
              </w:rPr>
              <w:t>0.365</w:t>
            </w:r>
          </w:p>
        </w:tc>
        <w:tc>
          <w:tcPr>
            <w:tcW w:type="dxa" w:w="864"/>
            <w:shd w:val="clear" w:color="auto" w:fill="FCE4B8"/>
          </w:tcPr>
          <w:p>
            <w:pPr>
              <w:keepNext/>
              <w:jc w:val="center"/>
            </w:pPr>
            <w:r>
              <w:rPr>
                <w:rFonts w:ascii="Calibri" w:hAnsi="Calibri"/>
                <w:b/>
                <w:i w:val="0"/>
                <w:sz w:val="18"/>
              </w:rPr>
              <w:t>1.84</w:t>
            </w:r>
          </w:p>
        </w:tc>
      </w:tr>
      <w:tr>
        <w:tc>
          <w:tcPr>
            <w:tcW w:type="dxa" w:w="1584"/>
            <w:shd w:val="clear" w:color="auto" w:fill="F2F2F2"/>
          </w:tcPr>
          <w:p>
            <w:pPr>
              <w:keepNext/>
              <w:jc w:val="left"/>
            </w:pPr>
            <w:r>
              <w:rPr>
                <w:rFonts w:ascii="Calibri" w:hAnsi="Calibri"/>
                <w:b w:val="0"/>
                <w:i w:val="0"/>
                <w:sz w:val="18"/>
              </w:rPr>
              <w:t>Completada</w:t>
            </w:r>
          </w:p>
        </w:tc>
        <w:tc>
          <w:tcPr>
            <w:tcW w:type="dxa" w:w="2880"/>
            <w:shd w:val="clear" w:color="auto" w:fill="F2F2F2"/>
          </w:tcPr>
          <w:p>
            <w:pPr>
              <w:keepNext/>
              <w:jc w:val="center"/>
            </w:pPr>
            <w:r>
              <w:rPr>
                <w:rFonts w:ascii="Calibri" w:hAnsi="Calibri"/>
                <w:b w:val="0"/>
                <w:i w:val="0"/>
                <w:sz w:val="18"/>
              </w:rPr>
              <w:t>0.599 (0.564 a 0.633)</w:t>
            </w:r>
          </w:p>
        </w:tc>
        <w:tc>
          <w:tcPr>
            <w:tcW w:type="dxa" w:w="2880"/>
            <w:shd w:val="clear" w:color="auto" w:fill="F2F2F2"/>
          </w:tcPr>
          <w:p>
            <w:pPr>
              <w:keepNext/>
              <w:jc w:val="center"/>
            </w:pPr>
            <w:r>
              <w:rPr>
                <w:rFonts w:ascii="Calibri" w:hAnsi="Calibri"/>
                <w:b w:val="0"/>
                <w:i w:val="0"/>
                <w:sz w:val="18"/>
              </w:rPr>
              <w:t>0.202 (0.179 a 0.225)</w:t>
            </w:r>
          </w:p>
        </w:tc>
        <w:tc>
          <w:tcPr>
            <w:tcW w:type="dxa" w:w="864"/>
            <w:shd w:val="clear" w:color="auto" w:fill="F2F2F2"/>
          </w:tcPr>
          <w:p>
            <w:pPr>
              <w:keepNext/>
              <w:jc w:val="center"/>
            </w:pPr>
            <w:r>
              <w:rPr>
                <w:rFonts w:ascii="Calibri" w:hAnsi="Calibri"/>
                <w:b w:val="0"/>
                <w:i w:val="0"/>
                <w:sz w:val="18"/>
              </w:rPr>
              <w:t>0.317</w:t>
            </w:r>
          </w:p>
        </w:tc>
        <w:tc>
          <w:tcPr>
            <w:tcW w:type="dxa" w:w="864"/>
            <w:shd w:val="clear" w:color="auto" w:fill="F2F2F2"/>
          </w:tcPr>
          <w:p>
            <w:pPr>
              <w:keepNext/>
              <w:jc w:val="center"/>
            </w:pPr>
            <w:r>
              <w:rPr>
                <w:rFonts w:ascii="Calibri" w:hAnsi="Calibri"/>
                <w:b w:val="0"/>
                <w:i w:val="0"/>
                <w:sz w:val="18"/>
              </w:rPr>
              <w:t>1.39</w:t>
            </w:r>
          </w:p>
        </w:tc>
      </w:tr>
    </w:tbl>
    <w:p>
      <w:pPr>
        <w:keepNext w:val="0"/>
        <w:spacing w:before="40" w:after="160"/>
        <w:jc w:val="center"/>
      </w:pPr>
      <w:r>
        <w:rPr>
          <w:rFonts w:ascii="Calibri" w:hAnsi="Calibri"/>
          <w:b w:val="0"/>
          <w:i/>
          <w:color w:val="404040"/>
          <w:sz w:val="18"/>
        </w:rPr>
        <w:t>Tabla 5. Modelo del NO₂ con la fracción fina y la fracción gruesa de las partículas (ppb de NO₂ por µg/m³). Todos los coeficientes son significativos al 1 %.</w:t>
      </w:r>
    </w:p>
    <w:p>
      <w:pPr>
        <w:keepNext w:val="0"/>
        <w:spacing w:before="0" w:after="100"/>
        <w:jc w:val="both"/>
      </w:pPr>
      <w:r>
        <w:rPr>
          <w:rFonts w:ascii="Calibri" w:hAnsi="Calibri"/>
          <w:b w:val="0"/>
          <w:i w:val="0"/>
          <w:sz w:val="20"/>
        </w:rPr>
        <w:t>Así, los dos coeficientes salen significativos y con intervalos estrechos. En los datos medidos, cada µg/m³ de partículas finas se asocia con 0.392 ppb de NO₂ y cada µg/m³ de gruesas con 0.323 ppb. Las dos fracciones se relacionan con el NO₂ más o menos igual, con algo de ventaja para la fina, lo cual tiene sentido si se piensa que viene de la combustión.</w:t>
      </w:r>
    </w:p>
    <w:p>
      <w:pPr>
        <w:keepNext w:val="0"/>
        <w:spacing w:before="0" w:after="100"/>
        <w:jc w:val="both"/>
      </w:pPr>
      <w:r>
        <w:rPr>
          <w:rFonts w:ascii="Calibri" w:hAnsi="Calibri"/>
          <w:b w:val="0"/>
          <w:i w:val="0"/>
          <w:sz w:val="20"/>
        </w:rPr>
        <w:t>Esto cambia la forma de leer la sección anterior. Que el PM2.5 dejara de ser significativo junto al PM10 no quería decir que las partículas finas no tengan que ver con el NO₂, sino que no tienen mucho más que ver que las gruesas. En el modelo con PM10, el coeficiente del PM2.5 mide precisamente esa diferencia. En la serie completada la fracción fina sale con más ventaja, otra vez por efecto de la imputación con CO.</w:t>
      </w:r>
    </w:p>
    <w:p>
      <w:pPr>
        <w:keepNext w:val="0"/>
        <w:spacing w:before="0" w:after="100"/>
        <w:jc w:val="both"/>
      </w:pPr>
      <w:r>
        <w:rPr>
          <w:rFonts w:ascii="Calibri" w:hAnsi="Calibri"/>
          <w:b w:val="0"/>
          <w:i w:val="0"/>
          <w:sz w:val="20"/>
        </w:rPr>
        <w:t>Un detalle: en 11 horas medidas y 44 de la serie completada el PM2.5 aparece un poco mayor que el PM10, cosa que físicamente no puede pasar y que atribuyo a la incertidumbre de los equipos. Como son muy pocas, las dejé.</w:t>
      </w:r>
    </w:p>
    <w:p>
      <w:pPr>
        <w:keepNext/>
        <w:spacing w:before="140" w:after="60"/>
        <w:jc w:val="left"/>
      </w:pPr>
      <w:r>
        <w:rPr>
          <w:rFonts w:ascii="Calibri" w:hAnsi="Calibri"/>
          <w:b/>
          <w:i w:val="0"/>
          <w:color w:val="1F497D"/>
          <w:sz w:val="22"/>
        </w:rPr>
        <w:t>3.6 Ciclo diario</w:t>
      </w:r>
    </w:p>
    <w:p>
      <w:pPr>
        <w:keepNext/>
        <w:spacing w:before="0" w:after="100"/>
        <w:jc w:val="both"/>
      </w:pPr>
      <w:r>
        <w:rPr>
          <w:rFonts w:ascii="Calibri" w:hAnsi="Calibri"/>
          <w:b w:val="0"/>
          <w:i w:val="0"/>
          <w:sz w:val="20"/>
        </w:rPr>
        <w:t>Por último, quise ver si los contaminantes siguen el mismo horario a lo largo del día. En la Figura 6 está el promedio de cada hora dividido entre el promedio general de cada contaminante, para poder compararlos en la misma escala. Usé solo las horas con NO₂ medido, para que la imputación no influyera.</w:t>
      </w:r>
    </w:p>
    <w:p>
      <w:pPr>
        <w:keepNext/>
        <w:jc w:val="center"/>
      </w:pPr>
      <w:r>
        <w:drawing>
          <wp:inline xmlns:a="http://schemas.openxmlformats.org/drawingml/2006/main" xmlns:pic="http://schemas.openxmlformats.org/drawingml/2006/picture">
            <wp:extent cx="5669280" cy="2346834"/>
            <wp:docPr id="7" name="Picture 7"/>
            <wp:cNvGraphicFramePr>
              <a:graphicFrameLocks noChangeAspect="1"/>
            </wp:cNvGraphicFramePr>
            <a:graphic>
              <a:graphicData uri="http://schemas.openxmlformats.org/drawingml/2006/picture">
                <pic:pic>
                  <pic:nvPicPr>
                    <pic:cNvPr id="0" name="ciclo_diario.png"/>
                    <pic:cNvPicPr/>
                  </pic:nvPicPr>
                  <pic:blipFill>
                    <a:blip r:embed="rId14"/>
                    <a:stretch>
                      <a:fillRect/>
                    </a:stretch>
                  </pic:blipFill>
                  <pic:spPr>
                    <a:xfrm>
                      <a:off x="0" y="0"/>
                      <a:ext cx="5669280" cy="2346834"/>
                    </a:xfrm>
                    <a:prstGeom prst="rect"/>
                  </pic:spPr>
                </pic:pic>
              </a:graphicData>
            </a:graphic>
          </wp:inline>
        </w:drawing>
      </w:r>
    </w:p>
    <w:p>
      <w:pPr>
        <w:keepNext w:val="0"/>
        <w:spacing w:before="40" w:after="160"/>
        <w:jc w:val="center"/>
      </w:pPr>
      <w:r>
        <w:rPr>
          <w:rFonts w:ascii="Calibri" w:hAnsi="Calibri"/>
          <w:b w:val="0"/>
          <w:i/>
          <w:color w:val="404040"/>
          <w:sz w:val="18"/>
        </w:rPr>
        <w:t>Figura 6. Ciclo diario promedio del NO₂, el PM10, el PM2.5 y el CO, expresado como proporción del promedio de cada variable, estación Centro, septiembre a diciembre de 2024.</w:t>
      </w:r>
    </w:p>
    <w:p>
      <w:pPr>
        <w:keepNext w:val="0"/>
        <w:spacing w:before="0" w:after="100"/>
        <w:jc w:val="both"/>
      </w:pPr>
      <w:r>
        <w:rPr>
          <w:rFonts w:ascii="Calibri" w:hAnsi="Calibri"/>
          <w:b w:val="0"/>
          <w:i w:val="0"/>
          <w:sz w:val="20"/>
        </w:rPr>
        <w:t>Los cuatro siguen casi el mismo patrón. Suben en la mañana, hacia las 7 u 8, bajan durante el mediodía y la tarde, y vuelven a subir desde las 18 o 19 horas hasta la noche. El NO₂ llega a su mínimo a las 15 horas y a su máximo a las 20, cuando es 3.9 veces mayor. Los picos coinciden con las horas de más tráfico. La baja del mediodía se debe a que el sol calienta el suelo y la capa de mezcla de la atmósfera crece, lo que diluye los contaminantes. En el NO₂ la caída es más fuerte que en las partículas porque a esas horas, además, se consume en las reacciones que forman ozono.</w:t>
      </w:r>
    </w:p>
    <w:p>
      <w:pPr>
        <w:keepNext w:val="0"/>
        <w:spacing w:before="0" w:after="100"/>
        <w:jc w:val="both"/>
      </w:pPr>
      <w:r>
        <w:rPr>
          <w:rFonts w:ascii="Calibri" w:hAnsi="Calibri"/>
          <w:b w:val="0"/>
          <w:i w:val="0"/>
          <w:sz w:val="20"/>
        </w:rPr>
        <w:t>Este patrón compartido ayuda a entender la correlación entre el NO₂ y las partículas. Los dos responden al mismo tráfico y a las mismas condiciones de dispersión, sin que uno sea causa del otro.</w:t>
      </w:r>
    </w:p>
    <w:p>
      <w:pPr>
        <w:keepNext/>
        <w:spacing w:before="200" w:after="60"/>
        <w:jc w:val="left"/>
      </w:pPr>
      <w:r>
        <w:rPr>
          <w:rFonts w:ascii="Calibri" w:hAnsi="Calibri"/>
          <w:b/>
          <w:i w:val="0"/>
          <w:color w:val="1F497D"/>
          <w:sz w:val="26"/>
        </w:rPr>
        <w:t>4. Conclusiones</w:t>
      </w:r>
    </w:p>
    <w:p>
      <w:pPr>
        <w:keepNext w:val="0"/>
        <w:spacing w:before="0" w:after="100"/>
        <w:jc w:val="both"/>
      </w:pPr>
      <w:r>
        <w:rPr>
          <w:rFonts w:ascii="Calibri" w:hAnsi="Calibri"/>
          <w:b w:val="0"/>
          <w:i w:val="0"/>
          <w:sz w:val="20"/>
        </w:rPr>
        <w:t>Con el CO pude completar 94.0 % de las horas sin NO₂. Ninguno de los dos modelos anteriores funcionaba bien en todo el rango. La recta por el origen de la Tarea 1.5 es la más precisa con valores normales de CO, pero cuando el CO es alto sobrestima el NO₂, porque se sale del rango con que se ajustó. Limitarla a ese rango fue la opción que mejor aguantó la prueba fuera de muestra, con menos de la mitad del error de las otras. Aun así, la relación entre los dos contaminantes cambia de mes a mes, y los ocho meses imputados no se pueden comparar con mediciones reales.</w:t>
      </w:r>
    </w:p>
    <w:p>
      <w:pPr>
        <w:keepNext w:val="0"/>
        <w:spacing w:before="0" w:after="100"/>
        <w:jc w:val="both"/>
      </w:pPr>
      <w:r>
        <w:rPr>
          <w:rFonts w:ascii="Calibri" w:hAnsi="Calibri"/>
          <w:b w:val="0"/>
          <w:i w:val="0"/>
          <w:sz w:val="20"/>
        </w:rPr>
        <w:t>El NO₂ tiene una relación positiva y moderada con las partículas, algo mayor con el PM10. La correlación más fuerte de todo el análisis, sin embargo, fue entre el PM10 y el PM2.5, y esa colinealidad hizo que, con los datos medidos, el PM2.5 dejara de ser significativo al agregar el PM10. Al separar el PM10 en fracción fina y gruesa el problema desaparece, y las dos fracciones resultan significativas y con un efecto parecido sobre el NO₂, un poco mayor en la fina.</w:t>
      </w:r>
    </w:p>
    <w:p>
      <w:pPr>
        <w:keepNext w:val="0"/>
        <w:spacing w:before="0" w:after="100"/>
        <w:jc w:val="both"/>
      </w:pPr>
      <w:r>
        <w:rPr>
          <w:rFonts w:ascii="Calibri" w:hAnsi="Calibri"/>
          <w:b w:val="0"/>
          <w:i w:val="0"/>
          <w:sz w:val="20"/>
        </w:rPr>
        <w:t>El ciclo diario explica buena parte de lo anterior, ya que el NO₂ y las partículas suben con el tráfico de la mañana y de la noche y bajan juntos al mediodía. Aun así, las partículas explican mucho menos del NO₂ que el CO o el NOx. Me parece razonable, porque además de la combustión tienen otras fuentes, como el polvo y la construcción, mientras que el NO₂ depende casi solo del tráfico.</w:t>
      </w:r>
    </w:p>
    <w:p>
      <w:pPr>
        <w:keepNext/>
        <w:spacing w:before="200" w:after="60"/>
        <w:jc w:val="left"/>
      </w:pPr>
      <w:r>
        <w:rPr>
          <w:rFonts w:ascii="Calibri" w:hAnsi="Calibri"/>
          <w:b/>
          <w:i w:val="0"/>
          <w:color w:val="1F497D"/>
          <w:sz w:val="26"/>
        </w:rPr>
        <w:t>Referencias</w:t>
      </w:r>
    </w:p>
    <w:p>
      <w:pPr>
        <w:spacing w:after="120"/>
        <w:ind w:left="720" w:hanging="720"/>
        <w:jc w:val="both"/>
      </w:pPr>
      <w:r>
        <w:rPr>
          <w:rFonts w:ascii="Calibri" w:hAnsi="Calibri"/>
          <w:b w:val="0"/>
          <w:i w:val="0"/>
          <w:sz w:val="20"/>
        </w:rPr>
        <w:t>Little, R. J. A., &amp; Rubin, D. B. (2019). Statistical analysis with missing data (3.ª ed.). Wiley.</w:t>
      </w:r>
    </w:p>
    <w:p>
      <w:pPr>
        <w:spacing w:after="120"/>
        <w:ind w:left="720" w:hanging="720"/>
        <w:jc w:val="both"/>
      </w:pPr>
      <w:r>
        <w:rPr>
          <w:rFonts w:ascii="Calibri" w:hAnsi="Calibri"/>
          <w:b w:val="0"/>
          <w:i w:val="0"/>
          <w:sz w:val="20"/>
        </w:rPr>
        <w:t>Montgomery, D. C., Peck, E. A., &amp; Vining, G. G. (2021). Introduction to linear regression analysis (6.ª ed.). Wiley.</w:t>
      </w:r>
    </w:p>
    <w:p>
      <w:pPr>
        <w:spacing w:after="120"/>
        <w:ind w:left="720" w:hanging="720"/>
        <w:jc w:val="both"/>
      </w:pPr>
      <w:r>
        <w:rPr>
          <w:rFonts w:ascii="Calibri" w:hAnsi="Calibri"/>
          <w:b w:val="0"/>
          <w:i w:val="0"/>
          <w:sz w:val="20"/>
        </w:rPr>
        <w:t>Organización Mundial de la Salud. (2021). WHO global air quality guidelines: Particulate matter (PM2.5 and PM10), ozone, nitrogen dioxide, sulfur dioxide and carbon monoxide. World Health Organization. https://iris.who.int/handle/10665/345329</w:t>
      </w:r>
    </w:p>
    <w:p>
      <w:pPr>
        <w:spacing w:after="120"/>
        <w:ind w:left="720" w:hanging="720"/>
        <w:jc w:val="both"/>
      </w:pPr>
      <w:r>
        <w:rPr>
          <w:rFonts w:ascii="Calibri" w:hAnsi="Calibri"/>
          <w:b w:val="0"/>
          <w:i w:val="0"/>
          <w:sz w:val="20"/>
        </w:rPr>
        <w:t>Ruiz Chávez, C. F. (2026). Visualización de grandes bases de datos: Sesión 8 [Diapositivas de clase]. Maestría en Ciencia de los Datos, Centro Universitario de Ciencias Económico Administrativas, Universidad de Guadalajara.</w:t>
      </w:r>
    </w:p>
    <w:p>
      <w:pPr>
        <w:spacing w:after="120"/>
        <w:ind w:left="720" w:hanging="720"/>
        <w:jc w:val="both"/>
      </w:pPr>
      <w:r>
        <w:rPr>
          <w:rFonts w:ascii="Calibri" w:hAnsi="Calibri"/>
          <w:b w:val="0"/>
          <w:i w:val="0"/>
          <w:sz w:val="20"/>
        </w:rPr>
        <w:t>Secretaría de Medio Ambiente y Desarrollo Territorial. (2024). Sistema de Monitoreo Atmosférico de Jalisco (SIMAJ): base de datos de calidad del aire 2024. Gobierno del Estado de Jalisco. https://siga.jalisco.gob.mx/aire/</w:t>
      </w:r>
    </w:p>
    <w:p>
      <w:pPr>
        <w:spacing w:after="120"/>
        <w:ind w:left="720" w:hanging="720"/>
        <w:jc w:val="both"/>
      </w:pPr>
      <w:r>
        <w:rPr>
          <w:rFonts w:ascii="Calibri" w:hAnsi="Calibri"/>
          <w:b w:val="0"/>
          <w:i w:val="0"/>
          <w:sz w:val="20"/>
        </w:rPr>
        <w:t>Seinfeld, J. H., &amp; Pandis, S. N. (2016). Atmospheric chemistry and physics: From air pollution to climate change (3.ª ed.). Wiley.</w:t>
      </w:r>
    </w:p>
    <w:sectPr w:rsidR="00AF3200" w:rsidRPr="0000769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530049">
    <w:abstractNumId w:val="8"/>
  </w:num>
  <w:num w:numId="2" w16cid:durableId="1310212181">
    <w:abstractNumId w:val="6"/>
  </w:num>
  <w:num w:numId="3" w16cid:durableId="558058756">
    <w:abstractNumId w:val="5"/>
  </w:num>
  <w:num w:numId="4" w16cid:durableId="489903587">
    <w:abstractNumId w:val="4"/>
  </w:num>
  <w:num w:numId="5" w16cid:durableId="1102262365">
    <w:abstractNumId w:val="7"/>
  </w:num>
  <w:num w:numId="6" w16cid:durableId="989672095">
    <w:abstractNumId w:val="3"/>
  </w:num>
  <w:num w:numId="7" w16cid:durableId="1585993332">
    <w:abstractNumId w:val="2"/>
  </w:num>
  <w:num w:numId="8" w16cid:durableId="2106534006">
    <w:abstractNumId w:val="1"/>
  </w:num>
  <w:num w:numId="9" w16cid:durableId="142071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95"/>
    <w:rsid w:val="00034616"/>
    <w:rsid w:val="0006063C"/>
    <w:rsid w:val="0015074B"/>
    <w:rsid w:val="0029639D"/>
    <w:rsid w:val="00326F90"/>
    <w:rsid w:val="009E558E"/>
    <w:rsid w:val="00AA1D8D"/>
    <w:rsid w:val="00AF3200"/>
    <w:rsid w:val="00B47730"/>
    <w:rsid w:val="00CB0664"/>
    <w:rsid w:val="00FC693F"/>
    <w:rsid w:val="00FE2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8670E"/>
  <w14:defaultImageDpi w14:val="300"/>
  <w15:docId w15:val="{D823B7BF-B6F4-4107-8632-C84224FD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Pulido Rosas</cp:lastModifiedBy>
  <cp:revision>2</cp:revision>
  <dcterms:created xsi:type="dcterms:W3CDTF">2026-04-13T08:30:00Z</dcterms:created>
  <dcterms:modified xsi:type="dcterms:W3CDTF">2026-04-13T08:30:00Z</dcterms:modified>
  <cp:category/>
</cp:coreProperties>
</file>