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Visualización de Grandes Bases de Datos</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6"/>
        </w:rPr>
        <w:t>Tarea 1.5. Ajustes a la correlación lineal con el NO₂</w:t>
        <w:br/>
        <w:t>Estación de monitoreo Centro, Zona Metropolitana de Guadalajara, 2024</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8 de octubre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Tarea 1.5. Ajustes a la correlación con NO₂</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(pandas, NumPy, Matplotlib, statsmodels)</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SIMAJ, base de calidad del aire 2024 (BD_2024)</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Equipo personal, entorno conda MCD</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Calidad del aire ZMG 2024, estación Centro (CEN)</w:t>
            </w:r>
            <w:proofErr w:type="spellStart"/>
            <w:r w:rsidRPr="00007695">
              <w:rPr>
                <w:color w:val="1A237E"/>
                <w:lang w:val="es-MX"/>
              </w:rPr>
            </w:r>
            <w:proofErr w:type="spellEnd"/>
            <w:r w:rsidRPr="00007695">
              <w:rPr>
                <w:color w:val="1A237E"/>
                <w:lang w:val="es-MX"/>
              </w:rPr>
            </w:r>
          </w:p>
        </w:tc>
      </w:tr>
    </w:tbl>
    <w:p>
      <w:pPr>
        <w:keepNext w:val="0"/>
        <w:spacing w:before="160" w:after="0"/>
        <w:jc w:val="both"/>
      </w:pPr>
    </w:p>
    <w:p>
      <w:pPr>
        <w:keepNext/>
        <w:spacing w:before="200" w:after="60"/>
        <w:jc w:val="left"/>
      </w:pPr>
      <w:r>
        <w:rPr>
          <w:rFonts w:ascii="Calibri" w:hAnsi="Calibri"/>
          <w:b/>
          <w:i w:val="0"/>
          <w:color w:val="1F497D"/>
          <w:sz w:val="26"/>
        </w:rPr>
        <w:t>1. Introducción</w:t>
      </w:r>
    </w:p>
    <w:p>
      <w:pPr>
        <w:keepNext w:val="0"/>
        <w:spacing w:before="0" w:after="100"/>
        <w:jc w:val="both"/>
      </w:pPr>
      <w:r>
        <w:rPr>
          <w:rFonts w:ascii="Calibri" w:hAnsi="Calibri"/>
          <w:b w:val="0"/>
          <w:i w:val="0"/>
          <w:sz w:val="20"/>
        </w:rPr>
        <w:t>En la Tarea 1.4 se identificó el contaminante con mayor correlación lineal con el dióxido de nitrógeno (NO₂) en la estación Centro del Sistema de Monitoreo Atmosférico de Jalisco (SIMAJ). Con base en lo revisado en la sesión 7, en esta actividad se corrigen tres aspectos de aquel análisis: (a) se trabaja con un corpus homogéneo, es decir, con el mismo conjunto de horas para todos los contaminantes; (b) se excluyen los valores atípicos antes de ajustar las regresiones, y (c) las rectas de regresión se fuerzan a pasar por el origen (0, 0). Con los datos ajustados se vuelve a determinar qué contaminante tiene el mayor coeficiente de correlación lineal con el NO₂ y se apoya la respuesta con mapas de calor, gráficas de dispersión, diagramas de caja y rectas de regresión.</w:t>
      </w:r>
    </w:p>
    <w:p>
      <w:pPr>
        <w:keepNext/>
        <w:spacing w:before="200" w:after="60"/>
        <w:jc w:val="left"/>
      </w:pPr>
      <w:r>
        <w:rPr>
          <w:rFonts w:ascii="Calibri" w:hAnsi="Calibri"/>
          <w:b/>
          <w:i w:val="0"/>
          <w:color w:val="1F497D"/>
          <w:sz w:val="26"/>
        </w:rPr>
        <w:t>2. Metodología</w:t>
      </w:r>
    </w:p>
    <w:p>
      <w:pPr>
        <w:keepNext/>
        <w:spacing w:before="140" w:after="60"/>
        <w:jc w:val="left"/>
      </w:pPr>
      <w:r>
        <w:rPr>
          <w:rFonts w:ascii="Calibri" w:hAnsi="Calibri"/>
          <w:b/>
          <w:i w:val="0"/>
          <w:color w:val="1F497D"/>
          <w:sz w:val="22"/>
        </w:rPr>
        <w:t>2.1 Corpus homogéneo</w:t>
      </w:r>
    </w:p>
    <w:p>
      <w:pPr>
        <w:keepNext w:val="0"/>
        <w:spacing w:before="0" w:after="100"/>
        <w:jc w:val="both"/>
      </w:pPr>
      <w:r>
        <w:rPr>
          <w:rFonts w:ascii="Calibri" w:hAnsi="Calibri"/>
          <w:b w:val="0"/>
          <w:i w:val="0"/>
          <w:sz w:val="20"/>
        </w:rPr>
        <w:t>En la Tarea 1.4 cada coeficiente se calculó con las horas en que el NO₂ y el contaminante comparado tenían lectura válida, de modo que cada par se basaba en un número distinto de observaciones (entre 2,412 y 2,706) y no necesariamente en las mismas horas. Así, las diferencias entre coeficientes podían deberse en parte a que se comparaban periodos distintos. Además, la estación solo registra NO₂ de septiembre a diciembre de 2024, mientras que el O₃, el CO y las partículas tienen cobertura anual. Para que la comparación sea justa, se conservaron únicamente las horas con lectura válida de las siete variables al mismo tiempo (Tabla 1).</w:t>
      </w:r>
    </w:p>
    <w:tbl>
      <w:tblPr>
        <w:tblStyle w:val="TableGrid"/>
        <w:tblW w:type="auto" w:w="0"/>
        <w:jc w:val="center"/>
        <w:tblLook w:firstColumn="1" w:firstRow="1" w:lastColumn="0" w:lastRow="0" w:noHBand="0" w:noVBand="1" w:val="04A0"/>
      </w:tblPr>
      <w:tblGrid>
        <w:gridCol w:w="3360"/>
        <w:gridCol w:w="3360"/>
        <w:gridCol w:w="3360"/>
      </w:tblGrid>
      <w:tr>
        <w:tc>
          <w:tcPr>
            <w:tcW w:type="dxa" w:w="5616"/>
            <w:shd w:val="clear" w:color="auto" w:fill="1F497D"/>
          </w:tcPr>
          <w:p>
            <w:pPr>
              <w:keepNext/>
              <w:jc w:val="center"/>
            </w:pPr>
            <w:r>
              <w:rPr>
                <w:rFonts w:ascii="Calibri" w:hAnsi="Calibri"/>
                <w:b/>
                <w:i w:val="0"/>
                <w:color w:val="FFFFFF"/>
                <w:sz w:val="18"/>
              </w:rPr>
              <w:t>Etapa</w:t>
            </w:r>
          </w:p>
        </w:tc>
        <w:tc>
          <w:tcPr>
            <w:tcW w:type="dxa" w:w="1296"/>
            <w:shd w:val="clear" w:color="auto" w:fill="1F497D"/>
          </w:tcPr>
          <w:p>
            <w:pPr>
              <w:keepNext/>
              <w:jc w:val="center"/>
            </w:pPr>
            <w:r>
              <w:rPr>
                <w:rFonts w:ascii="Calibri" w:hAnsi="Calibri"/>
                <w:b/>
                <w:i w:val="0"/>
                <w:color w:val="FFFFFF"/>
                <w:sz w:val="18"/>
              </w:rPr>
              <w:t>Horas</w:t>
            </w:r>
          </w:p>
        </w:tc>
        <w:tc>
          <w:tcPr>
            <w:tcW w:type="dxa" w:w="1440"/>
            <w:shd w:val="clear" w:color="auto" w:fill="1F497D"/>
          </w:tcPr>
          <w:p>
            <w:pPr>
              <w:keepNext/>
              <w:jc w:val="center"/>
            </w:pPr>
            <w:r>
              <w:rPr>
                <w:rFonts w:ascii="Calibri" w:hAnsi="Calibri"/>
                <w:b/>
                <w:i w:val="0"/>
                <w:color w:val="FFFFFF"/>
                <w:sz w:val="18"/>
              </w:rPr>
              <w:t>% del total</w:t>
            </w:r>
          </w:p>
        </w:tc>
      </w:tr>
      <w:tr>
        <w:tc>
          <w:tcPr>
            <w:tcW w:type="dxa" w:w="5616"/>
            <w:shd w:val="clear" w:color="auto" w:fill="FFFFFF"/>
          </w:tcPr>
          <w:p>
            <w:pPr>
              <w:keepNext/>
              <w:jc w:val="left"/>
            </w:pPr>
            <w:r>
              <w:rPr>
                <w:rFonts w:ascii="Calibri" w:hAnsi="Calibri"/>
                <w:b w:val="0"/>
                <w:i w:val="0"/>
                <w:sz w:val="18"/>
              </w:rPr>
              <w:t>Registros horarios de la estación Centro, 2024</w:t>
            </w:r>
          </w:p>
        </w:tc>
        <w:tc>
          <w:tcPr>
            <w:tcW w:type="dxa" w:w="1296"/>
            <w:shd w:val="clear" w:color="auto" w:fill="FFFFFF"/>
          </w:tcPr>
          <w:p>
            <w:pPr>
              <w:keepNext/>
              <w:jc w:val="center"/>
            </w:pPr>
            <w:r>
              <w:rPr>
                <w:rFonts w:ascii="Calibri" w:hAnsi="Calibri"/>
                <w:b w:val="0"/>
                <w:i w:val="0"/>
                <w:sz w:val="18"/>
              </w:rPr>
              <w:t>8,784</w:t>
            </w:r>
          </w:p>
        </w:tc>
        <w:tc>
          <w:tcPr>
            <w:tcW w:type="dxa" w:w="1440"/>
            <w:shd w:val="clear" w:color="auto" w:fill="FFFFFF"/>
          </w:tcPr>
          <w:p>
            <w:pPr>
              <w:keepNext/>
              <w:jc w:val="center"/>
            </w:pPr>
            <w:r>
              <w:rPr>
                <w:rFonts w:ascii="Calibri" w:hAnsi="Calibri"/>
                <w:b w:val="0"/>
                <w:i w:val="0"/>
                <w:sz w:val="18"/>
              </w:rPr>
              <w:t>100.0 %</w:t>
            </w:r>
          </w:p>
        </w:tc>
      </w:tr>
      <w:tr>
        <w:tc>
          <w:tcPr>
            <w:tcW w:type="dxa" w:w="5616"/>
            <w:shd w:val="clear" w:color="auto" w:fill="F2F2F2"/>
          </w:tcPr>
          <w:p>
            <w:pPr>
              <w:keepNext/>
              <w:jc w:val="left"/>
            </w:pPr>
            <w:r>
              <w:rPr>
                <w:rFonts w:ascii="Calibri" w:hAnsi="Calibri"/>
                <w:b w:val="0"/>
                <w:i w:val="0"/>
                <w:sz w:val="18"/>
              </w:rPr>
              <w:t>Con lectura de NO₂ (septiembre a diciembre)</w:t>
            </w:r>
          </w:p>
        </w:tc>
        <w:tc>
          <w:tcPr>
            <w:tcW w:type="dxa" w:w="1296"/>
            <w:shd w:val="clear" w:color="auto" w:fill="F2F2F2"/>
          </w:tcPr>
          <w:p>
            <w:pPr>
              <w:keepNext/>
              <w:jc w:val="center"/>
            </w:pPr>
            <w:r>
              <w:rPr>
                <w:rFonts w:ascii="Calibri" w:hAnsi="Calibri"/>
                <w:b w:val="0"/>
                <w:i w:val="0"/>
                <w:sz w:val="18"/>
              </w:rPr>
              <w:t>2,706</w:t>
            </w:r>
          </w:p>
        </w:tc>
        <w:tc>
          <w:tcPr>
            <w:tcW w:type="dxa" w:w="1440"/>
            <w:shd w:val="clear" w:color="auto" w:fill="F2F2F2"/>
          </w:tcPr>
          <w:p>
            <w:pPr>
              <w:keepNext/>
              <w:jc w:val="center"/>
            </w:pPr>
            <w:r>
              <w:rPr>
                <w:rFonts w:ascii="Calibri" w:hAnsi="Calibri"/>
                <w:b w:val="0"/>
                <w:i w:val="0"/>
                <w:sz w:val="18"/>
              </w:rPr>
              <w:t>30.8 %</w:t>
            </w:r>
          </w:p>
        </w:tc>
      </w:tr>
      <w:tr>
        <w:tc>
          <w:tcPr>
            <w:tcW w:type="dxa" w:w="5616"/>
            <w:shd w:val="clear" w:color="auto" w:fill="FFFFFF"/>
          </w:tcPr>
          <w:p>
            <w:pPr>
              <w:keepNext/>
              <w:jc w:val="left"/>
            </w:pPr>
            <w:r>
              <w:rPr>
                <w:rFonts w:ascii="Calibri" w:hAnsi="Calibri"/>
                <w:b w:val="0"/>
                <w:i w:val="0"/>
                <w:sz w:val="18"/>
              </w:rPr>
              <w:t>Corpus homogéneo (lectura de las siete variables)</w:t>
            </w:r>
          </w:p>
        </w:tc>
        <w:tc>
          <w:tcPr>
            <w:tcW w:type="dxa" w:w="1296"/>
            <w:shd w:val="clear" w:color="auto" w:fill="FFFFFF"/>
          </w:tcPr>
          <w:p>
            <w:pPr>
              <w:keepNext/>
              <w:jc w:val="center"/>
            </w:pPr>
            <w:r>
              <w:rPr>
                <w:rFonts w:ascii="Calibri" w:hAnsi="Calibri"/>
                <w:b w:val="0"/>
                <w:i w:val="0"/>
                <w:sz w:val="18"/>
              </w:rPr>
              <w:t>2,312</w:t>
            </w:r>
          </w:p>
        </w:tc>
        <w:tc>
          <w:tcPr>
            <w:tcW w:type="dxa" w:w="1440"/>
            <w:shd w:val="clear" w:color="auto" w:fill="FFFFFF"/>
          </w:tcPr>
          <w:p>
            <w:pPr>
              <w:keepNext/>
              <w:jc w:val="center"/>
            </w:pPr>
            <w:r>
              <w:rPr>
                <w:rFonts w:ascii="Calibri" w:hAnsi="Calibri"/>
                <w:b w:val="0"/>
                <w:i w:val="0"/>
                <w:sz w:val="18"/>
              </w:rPr>
              <w:t>26.3 %</w:t>
            </w:r>
          </w:p>
        </w:tc>
      </w:tr>
      <w:tr>
        <w:tc>
          <w:tcPr>
            <w:tcW w:type="dxa" w:w="5616"/>
            <w:shd w:val="clear" w:color="auto" w:fill="FCE4B8"/>
          </w:tcPr>
          <w:p>
            <w:pPr>
              <w:keepNext/>
              <w:jc w:val="left"/>
            </w:pPr>
            <w:r>
              <w:rPr>
                <w:rFonts w:ascii="Calibri" w:hAnsi="Calibri"/>
                <w:b/>
                <w:i w:val="0"/>
                <w:sz w:val="18"/>
              </w:rPr>
              <w:t>Corpus homogéneo sin valores atípicos</w:t>
            </w:r>
          </w:p>
        </w:tc>
        <w:tc>
          <w:tcPr>
            <w:tcW w:type="dxa" w:w="1296"/>
            <w:shd w:val="clear" w:color="auto" w:fill="FCE4B8"/>
          </w:tcPr>
          <w:p>
            <w:pPr>
              <w:keepNext/>
              <w:jc w:val="center"/>
            </w:pPr>
            <w:r>
              <w:rPr>
                <w:rFonts w:ascii="Calibri" w:hAnsi="Calibri"/>
                <w:b/>
                <w:i w:val="0"/>
                <w:sz w:val="18"/>
              </w:rPr>
              <w:t>1,882</w:t>
            </w:r>
          </w:p>
        </w:tc>
        <w:tc>
          <w:tcPr>
            <w:tcW w:type="dxa" w:w="1440"/>
            <w:shd w:val="clear" w:color="auto" w:fill="FCE4B8"/>
          </w:tcPr>
          <w:p>
            <w:pPr>
              <w:keepNext/>
              <w:jc w:val="center"/>
            </w:pPr>
            <w:r>
              <w:rPr>
                <w:rFonts w:ascii="Calibri" w:hAnsi="Calibri"/>
                <w:b/>
                <w:i w:val="0"/>
                <w:sz w:val="18"/>
              </w:rPr>
              <w:t>21.4 %</w:t>
            </w:r>
          </w:p>
        </w:tc>
      </w:tr>
    </w:tbl>
    <w:p>
      <w:pPr>
        <w:keepNext w:val="0"/>
        <w:spacing w:before="40" w:after="160"/>
        <w:jc w:val="center"/>
      </w:pPr>
      <w:r>
        <w:rPr>
          <w:rFonts w:ascii="Calibri" w:hAnsi="Calibri"/>
          <w:b w:val="0"/>
          <w:i/>
          <w:color w:val="404040"/>
          <w:sz w:val="18"/>
        </w:rPr>
        <w:t>Tabla 1. Construcción del corpus de análisis, estación Centro, 2024.</w:t>
      </w:r>
    </w:p>
    <w:p>
      <w:pPr>
        <w:keepNext/>
        <w:spacing w:before="140" w:after="60"/>
        <w:jc w:val="left"/>
      </w:pPr>
      <w:r>
        <w:rPr>
          <w:rFonts w:ascii="Calibri" w:hAnsi="Calibri"/>
          <w:b/>
          <w:i w:val="0"/>
          <w:color w:val="1F497D"/>
          <w:sz w:val="22"/>
        </w:rPr>
        <w:t>2.2 Exclusión de valores atípicos</w:t>
      </w:r>
    </w:p>
    <w:p>
      <w:pPr>
        <w:keepNext/>
        <w:spacing w:before="0" w:after="100"/>
        <w:jc w:val="both"/>
      </w:pPr>
      <w:r>
        <w:rPr>
          <w:rFonts w:ascii="Calibri" w:hAnsi="Calibri"/>
          <w:b w:val="0"/>
          <w:i w:val="0"/>
          <w:sz w:val="20"/>
        </w:rPr>
        <w:t>Para identificar los valores atípicos se aplicó el criterio de Tukey visto en las tareas 1.0 y 1.1: una lectura es atípica cuando queda fuera del intervalo [Q1 − 1.5·RIC, Q3 + 1.5·RIC], donde RIC = Q3 − Q1. Las cercas se calcularon por variable sobre el corpus homogéneo. Para no perder la homogeneidad, se excluyó toda hora que fuera atípica en al menos una de las siete variables, de forma que todas las regresiones siguen usando exactamente las mismas horas. Como las distribuciones son asimétricas a la derecha, la cerca inferior es negativa en todos los casos y solo se excluyen concentraciones altas (Tabla 2 y Figura 1).</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3744"/>
            <w:shd w:val="clear" w:color="auto" w:fill="1F497D"/>
          </w:tcPr>
          <w:p>
            <w:pPr>
              <w:keepNext/>
              <w:jc w:val="center"/>
            </w:pPr>
            <w:r>
              <w:rPr>
                <w:rFonts w:ascii="Calibri" w:hAnsi="Calibri"/>
                <w:b/>
                <w:i w:val="0"/>
                <w:color w:val="FFFFFF"/>
                <w:sz w:val="18"/>
              </w:rPr>
              <w:t>Variable</w:t>
            </w:r>
          </w:p>
        </w:tc>
        <w:tc>
          <w:tcPr>
            <w:tcW w:type="dxa" w:w="1152"/>
            <w:shd w:val="clear" w:color="auto" w:fill="1F497D"/>
          </w:tcPr>
          <w:p>
            <w:pPr>
              <w:keepNext/>
              <w:jc w:val="center"/>
            </w:pPr>
            <w:r>
              <w:rPr>
                <w:rFonts w:ascii="Calibri" w:hAnsi="Calibri"/>
                <w:b/>
                <w:i w:val="0"/>
                <w:color w:val="FFFFFF"/>
                <w:sz w:val="18"/>
              </w:rPr>
              <w:t>Q1</w:t>
            </w:r>
          </w:p>
        </w:tc>
        <w:tc>
          <w:tcPr>
            <w:tcW w:type="dxa" w:w="1152"/>
            <w:shd w:val="clear" w:color="auto" w:fill="1F497D"/>
          </w:tcPr>
          <w:p>
            <w:pPr>
              <w:keepNext/>
              <w:jc w:val="center"/>
            </w:pPr>
            <w:r>
              <w:rPr>
                <w:rFonts w:ascii="Calibri" w:hAnsi="Calibri"/>
                <w:b/>
                <w:i w:val="0"/>
                <w:color w:val="FFFFFF"/>
                <w:sz w:val="18"/>
              </w:rPr>
              <w:t>Q3</w:t>
            </w:r>
          </w:p>
        </w:tc>
        <w:tc>
          <w:tcPr>
            <w:tcW w:type="dxa" w:w="1584"/>
            <w:shd w:val="clear" w:color="auto" w:fill="1F497D"/>
          </w:tcPr>
          <w:p>
            <w:pPr>
              <w:keepNext/>
              <w:jc w:val="center"/>
            </w:pPr>
            <w:r>
              <w:rPr>
                <w:rFonts w:ascii="Calibri" w:hAnsi="Calibri"/>
                <w:b/>
                <w:i w:val="0"/>
                <w:color w:val="FFFFFF"/>
                <w:sz w:val="18"/>
              </w:rPr>
              <w:t>Cerca superior</w:t>
            </w:r>
          </w:p>
        </w:tc>
        <w:tc>
          <w:tcPr>
            <w:tcW w:type="dxa" w:w="1440"/>
            <w:shd w:val="clear" w:color="auto" w:fill="1F497D"/>
          </w:tcPr>
          <w:p>
            <w:pPr>
              <w:keepNext/>
              <w:jc w:val="center"/>
            </w:pPr>
            <w:r>
              <w:rPr>
                <w:rFonts w:ascii="Calibri" w:hAnsi="Calibri"/>
                <w:b/>
                <w:i w:val="0"/>
                <w:color w:val="FFFFFF"/>
                <w:sz w:val="18"/>
              </w:rPr>
              <w:t>Horas atípicas</w:t>
            </w:r>
          </w:p>
        </w:tc>
      </w:tr>
      <w:tr>
        <w:tc>
          <w:tcPr>
            <w:tcW w:type="dxa" w:w="3744"/>
            <w:shd w:val="clear" w:color="auto" w:fill="FFFFFF"/>
          </w:tcPr>
          <w:p>
            <w:pPr>
              <w:keepNext/>
              <w:jc w:val="left"/>
            </w:pPr>
            <w:r>
              <w:rPr>
                <w:rFonts w:ascii="Calibri" w:hAnsi="Calibri"/>
                <w:b w:val="0"/>
                <w:i w:val="0"/>
                <w:sz w:val="18"/>
              </w:rPr>
              <w:t>NO₂ (dióxido de nitrógeno)</w:t>
            </w:r>
          </w:p>
        </w:tc>
        <w:tc>
          <w:tcPr>
            <w:tcW w:type="dxa" w:w="1152"/>
            <w:shd w:val="clear" w:color="auto" w:fill="FFFFFF"/>
          </w:tcPr>
          <w:p>
            <w:pPr>
              <w:keepNext/>
              <w:jc w:val="center"/>
            </w:pPr>
            <w:r>
              <w:rPr>
                <w:rFonts w:ascii="Calibri" w:hAnsi="Calibri"/>
                <w:b w:val="0"/>
                <w:i w:val="0"/>
                <w:sz w:val="18"/>
              </w:rPr>
              <w:t>0.009</w:t>
            </w:r>
          </w:p>
        </w:tc>
        <w:tc>
          <w:tcPr>
            <w:tcW w:type="dxa" w:w="1152"/>
            <w:shd w:val="clear" w:color="auto" w:fill="FFFFFF"/>
          </w:tcPr>
          <w:p>
            <w:pPr>
              <w:keepNext/>
              <w:jc w:val="center"/>
            </w:pPr>
            <w:r>
              <w:rPr>
                <w:rFonts w:ascii="Calibri" w:hAnsi="Calibri"/>
                <w:b w:val="0"/>
                <w:i w:val="0"/>
                <w:sz w:val="18"/>
              </w:rPr>
              <w:t>0.031</w:t>
            </w:r>
          </w:p>
        </w:tc>
        <w:tc>
          <w:tcPr>
            <w:tcW w:type="dxa" w:w="1584"/>
            <w:shd w:val="clear" w:color="auto" w:fill="FFFFFF"/>
          </w:tcPr>
          <w:p>
            <w:pPr>
              <w:keepNext/>
              <w:jc w:val="center"/>
            </w:pPr>
            <w:r>
              <w:rPr>
                <w:rFonts w:ascii="Calibri" w:hAnsi="Calibri"/>
                <w:b w:val="0"/>
                <w:i w:val="0"/>
                <w:sz w:val="18"/>
              </w:rPr>
              <w:t>0.0640</w:t>
            </w:r>
          </w:p>
        </w:tc>
        <w:tc>
          <w:tcPr>
            <w:tcW w:type="dxa" w:w="1440"/>
            <w:shd w:val="clear" w:color="auto" w:fill="FFFFFF"/>
          </w:tcPr>
          <w:p>
            <w:pPr>
              <w:keepNext/>
              <w:jc w:val="center"/>
            </w:pPr>
            <w:r>
              <w:rPr>
                <w:rFonts w:ascii="Calibri" w:hAnsi="Calibri"/>
                <w:b w:val="0"/>
                <w:i w:val="0"/>
                <w:sz w:val="18"/>
              </w:rPr>
              <w:t>28</w:t>
            </w:r>
          </w:p>
        </w:tc>
      </w:tr>
      <w:tr>
        <w:tc>
          <w:tcPr>
            <w:tcW w:type="dxa" w:w="3744"/>
            <w:shd w:val="clear" w:color="auto" w:fill="F2F2F2"/>
          </w:tcPr>
          <w:p>
            <w:pPr>
              <w:keepNext/>
              <w:jc w:val="left"/>
            </w:pPr>
            <w:r>
              <w:rPr>
                <w:rFonts w:ascii="Calibri" w:hAnsi="Calibri"/>
                <w:b w:val="0"/>
                <w:i w:val="0"/>
                <w:sz w:val="18"/>
              </w:rPr>
              <w:t>O₃ (ozono)</w:t>
            </w:r>
          </w:p>
        </w:tc>
        <w:tc>
          <w:tcPr>
            <w:tcW w:type="dxa" w:w="1152"/>
            <w:shd w:val="clear" w:color="auto" w:fill="F2F2F2"/>
          </w:tcPr>
          <w:p>
            <w:pPr>
              <w:keepNext/>
              <w:jc w:val="center"/>
            </w:pPr>
            <w:r>
              <w:rPr>
                <w:rFonts w:ascii="Calibri" w:hAnsi="Calibri"/>
                <w:b w:val="0"/>
                <w:i w:val="0"/>
                <w:sz w:val="18"/>
              </w:rPr>
              <w:t>0.004</w:t>
            </w:r>
          </w:p>
        </w:tc>
        <w:tc>
          <w:tcPr>
            <w:tcW w:type="dxa" w:w="1152"/>
            <w:shd w:val="clear" w:color="auto" w:fill="F2F2F2"/>
          </w:tcPr>
          <w:p>
            <w:pPr>
              <w:keepNext/>
              <w:jc w:val="center"/>
            </w:pPr>
            <w:r>
              <w:rPr>
                <w:rFonts w:ascii="Calibri" w:hAnsi="Calibri"/>
                <w:b w:val="0"/>
                <w:i w:val="0"/>
                <w:sz w:val="18"/>
              </w:rPr>
              <w:t>0.035</w:t>
            </w:r>
          </w:p>
        </w:tc>
        <w:tc>
          <w:tcPr>
            <w:tcW w:type="dxa" w:w="1584"/>
            <w:shd w:val="clear" w:color="auto" w:fill="F2F2F2"/>
          </w:tcPr>
          <w:p>
            <w:pPr>
              <w:keepNext/>
              <w:jc w:val="center"/>
            </w:pPr>
            <w:r>
              <w:rPr>
                <w:rFonts w:ascii="Calibri" w:hAnsi="Calibri"/>
                <w:b w:val="0"/>
                <w:i w:val="0"/>
                <w:sz w:val="18"/>
              </w:rPr>
              <w:t>0.0815</w:t>
            </w:r>
          </w:p>
        </w:tc>
        <w:tc>
          <w:tcPr>
            <w:tcW w:type="dxa" w:w="1440"/>
            <w:shd w:val="clear" w:color="auto" w:fill="F2F2F2"/>
          </w:tcPr>
          <w:p>
            <w:pPr>
              <w:keepNext/>
              <w:jc w:val="center"/>
            </w:pPr>
            <w:r>
              <w:rPr>
                <w:rFonts w:ascii="Calibri" w:hAnsi="Calibri"/>
                <w:b w:val="0"/>
                <w:i w:val="0"/>
                <w:sz w:val="18"/>
              </w:rPr>
              <w:t>12</w:t>
            </w:r>
          </w:p>
        </w:tc>
      </w:tr>
      <w:tr>
        <w:tc>
          <w:tcPr>
            <w:tcW w:type="dxa" w:w="3744"/>
            <w:shd w:val="clear" w:color="auto" w:fill="FFFFFF"/>
          </w:tcPr>
          <w:p>
            <w:pPr>
              <w:keepNext/>
              <w:jc w:val="left"/>
            </w:pPr>
            <w:r>
              <w:rPr>
                <w:rFonts w:ascii="Calibri" w:hAnsi="Calibri"/>
                <w:b w:val="0"/>
                <w:i w:val="0"/>
                <w:sz w:val="18"/>
              </w:rPr>
              <w:t>NO (monóxido de nitrógeno)</w:t>
            </w:r>
          </w:p>
        </w:tc>
        <w:tc>
          <w:tcPr>
            <w:tcW w:type="dxa" w:w="1152"/>
            <w:shd w:val="clear" w:color="auto" w:fill="FFFFFF"/>
          </w:tcPr>
          <w:p>
            <w:pPr>
              <w:keepNext/>
              <w:jc w:val="center"/>
            </w:pPr>
            <w:r>
              <w:rPr>
                <w:rFonts w:ascii="Calibri" w:hAnsi="Calibri"/>
                <w:b w:val="0"/>
                <w:i w:val="0"/>
                <w:sz w:val="18"/>
              </w:rPr>
              <w:t>0.001</w:t>
            </w:r>
          </w:p>
        </w:tc>
        <w:tc>
          <w:tcPr>
            <w:tcW w:type="dxa" w:w="1152"/>
            <w:shd w:val="clear" w:color="auto" w:fill="FFFFFF"/>
          </w:tcPr>
          <w:p>
            <w:pPr>
              <w:keepNext/>
              <w:jc w:val="center"/>
            </w:pPr>
            <w:r>
              <w:rPr>
                <w:rFonts w:ascii="Calibri" w:hAnsi="Calibri"/>
                <w:b w:val="0"/>
                <w:i w:val="0"/>
                <w:sz w:val="18"/>
              </w:rPr>
              <w:t>0.014</w:t>
            </w:r>
          </w:p>
        </w:tc>
        <w:tc>
          <w:tcPr>
            <w:tcW w:type="dxa" w:w="1584"/>
            <w:shd w:val="clear" w:color="auto" w:fill="FFFFFF"/>
          </w:tcPr>
          <w:p>
            <w:pPr>
              <w:keepNext/>
              <w:jc w:val="center"/>
            </w:pPr>
            <w:r>
              <w:rPr>
                <w:rFonts w:ascii="Calibri" w:hAnsi="Calibri"/>
                <w:b w:val="0"/>
                <w:i w:val="0"/>
                <w:sz w:val="18"/>
              </w:rPr>
              <w:t>0.0335</w:t>
            </w:r>
          </w:p>
        </w:tc>
        <w:tc>
          <w:tcPr>
            <w:tcW w:type="dxa" w:w="1440"/>
            <w:shd w:val="clear" w:color="auto" w:fill="FFFFFF"/>
          </w:tcPr>
          <w:p>
            <w:pPr>
              <w:keepNext/>
              <w:jc w:val="center"/>
            </w:pPr>
            <w:r>
              <w:rPr>
                <w:rFonts w:ascii="Calibri" w:hAnsi="Calibri"/>
                <w:b w:val="0"/>
                <w:i w:val="0"/>
                <w:sz w:val="18"/>
              </w:rPr>
              <w:t>380</w:t>
            </w:r>
          </w:p>
        </w:tc>
      </w:tr>
      <w:tr>
        <w:tc>
          <w:tcPr>
            <w:tcW w:type="dxa" w:w="3744"/>
            <w:shd w:val="clear" w:color="auto" w:fill="F2F2F2"/>
          </w:tcPr>
          <w:p>
            <w:pPr>
              <w:keepNext/>
              <w:jc w:val="left"/>
            </w:pPr>
            <w:r>
              <w:rPr>
                <w:rFonts w:ascii="Calibri" w:hAnsi="Calibri"/>
                <w:b w:val="0"/>
                <w:i w:val="0"/>
                <w:sz w:val="18"/>
              </w:rPr>
              <w:t>NOx (óxidos de nitrógeno)</w:t>
            </w:r>
          </w:p>
        </w:tc>
        <w:tc>
          <w:tcPr>
            <w:tcW w:type="dxa" w:w="1152"/>
            <w:shd w:val="clear" w:color="auto" w:fill="F2F2F2"/>
          </w:tcPr>
          <w:p>
            <w:pPr>
              <w:keepNext/>
              <w:jc w:val="center"/>
            </w:pPr>
            <w:r>
              <w:rPr>
                <w:rFonts w:ascii="Calibri" w:hAnsi="Calibri"/>
                <w:b w:val="0"/>
                <w:i w:val="0"/>
                <w:sz w:val="18"/>
              </w:rPr>
              <w:t>0.012</w:t>
            </w:r>
          </w:p>
        </w:tc>
        <w:tc>
          <w:tcPr>
            <w:tcW w:type="dxa" w:w="1152"/>
            <w:shd w:val="clear" w:color="auto" w:fill="F2F2F2"/>
          </w:tcPr>
          <w:p>
            <w:pPr>
              <w:keepNext/>
              <w:jc w:val="center"/>
            </w:pPr>
            <w:r>
              <w:rPr>
                <w:rFonts w:ascii="Calibri" w:hAnsi="Calibri"/>
                <w:b w:val="0"/>
                <w:i w:val="0"/>
                <w:sz w:val="18"/>
              </w:rPr>
              <w:t>0.047</w:t>
            </w:r>
          </w:p>
        </w:tc>
        <w:tc>
          <w:tcPr>
            <w:tcW w:type="dxa" w:w="1584"/>
            <w:shd w:val="clear" w:color="auto" w:fill="F2F2F2"/>
          </w:tcPr>
          <w:p>
            <w:pPr>
              <w:keepNext/>
              <w:jc w:val="center"/>
            </w:pPr>
            <w:r>
              <w:rPr>
                <w:rFonts w:ascii="Calibri" w:hAnsi="Calibri"/>
                <w:b w:val="0"/>
                <w:i w:val="0"/>
                <w:sz w:val="18"/>
              </w:rPr>
              <w:t>0.0995</w:t>
            </w:r>
          </w:p>
        </w:tc>
        <w:tc>
          <w:tcPr>
            <w:tcW w:type="dxa" w:w="1440"/>
            <w:shd w:val="clear" w:color="auto" w:fill="F2F2F2"/>
          </w:tcPr>
          <w:p>
            <w:pPr>
              <w:keepNext/>
              <w:jc w:val="center"/>
            </w:pPr>
            <w:r>
              <w:rPr>
                <w:rFonts w:ascii="Calibri" w:hAnsi="Calibri"/>
                <w:b w:val="0"/>
                <w:i w:val="0"/>
                <w:sz w:val="18"/>
              </w:rPr>
              <w:t>235</w:t>
            </w:r>
          </w:p>
        </w:tc>
      </w:tr>
      <w:tr>
        <w:tc>
          <w:tcPr>
            <w:tcW w:type="dxa" w:w="3744"/>
            <w:shd w:val="clear" w:color="auto" w:fill="FFFFFF"/>
          </w:tcPr>
          <w:p>
            <w:pPr>
              <w:keepNext/>
              <w:jc w:val="left"/>
            </w:pPr>
            <w:r>
              <w:rPr>
                <w:rFonts w:ascii="Calibri" w:hAnsi="Calibri"/>
                <w:b w:val="0"/>
                <w:i w:val="0"/>
                <w:sz w:val="18"/>
              </w:rPr>
              <w:t>CO (monóxido de carbono)</w:t>
            </w:r>
          </w:p>
        </w:tc>
        <w:tc>
          <w:tcPr>
            <w:tcW w:type="dxa" w:w="1152"/>
            <w:shd w:val="clear" w:color="auto" w:fill="FFFFFF"/>
          </w:tcPr>
          <w:p>
            <w:pPr>
              <w:keepNext/>
              <w:jc w:val="center"/>
            </w:pPr>
            <w:r>
              <w:rPr>
                <w:rFonts w:ascii="Calibri" w:hAnsi="Calibri"/>
                <w:b w:val="0"/>
                <w:i w:val="0"/>
                <w:sz w:val="18"/>
              </w:rPr>
              <w:t>0.433</w:t>
            </w:r>
          </w:p>
        </w:tc>
        <w:tc>
          <w:tcPr>
            <w:tcW w:type="dxa" w:w="1152"/>
            <w:shd w:val="clear" w:color="auto" w:fill="FFFFFF"/>
          </w:tcPr>
          <w:p>
            <w:pPr>
              <w:keepNext/>
              <w:jc w:val="center"/>
            </w:pPr>
            <w:r>
              <w:rPr>
                <w:rFonts w:ascii="Calibri" w:hAnsi="Calibri"/>
                <w:b w:val="0"/>
                <w:i w:val="0"/>
                <w:sz w:val="18"/>
              </w:rPr>
              <w:t>1.111</w:t>
            </w:r>
          </w:p>
        </w:tc>
        <w:tc>
          <w:tcPr>
            <w:tcW w:type="dxa" w:w="1584"/>
            <w:shd w:val="clear" w:color="auto" w:fill="FFFFFF"/>
          </w:tcPr>
          <w:p>
            <w:pPr>
              <w:keepNext/>
              <w:jc w:val="center"/>
            </w:pPr>
            <w:r>
              <w:rPr>
                <w:rFonts w:ascii="Calibri" w:hAnsi="Calibri"/>
                <w:b w:val="0"/>
                <w:i w:val="0"/>
                <w:sz w:val="18"/>
              </w:rPr>
              <w:t>2.1280</w:t>
            </w:r>
          </w:p>
        </w:tc>
        <w:tc>
          <w:tcPr>
            <w:tcW w:type="dxa" w:w="1440"/>
            <w:shd w:val="clear" w:color="auto" w:fill="FFFFFF"/>
          </w:tcPr>
          <w:p>
            <w:pPr>
              <w:keepNext/>
              <w:jc w:val="center"/>
            </w:pPr>
            <w:r>
              <w:rPr>
                <w:rFonts w:ascii="Calibri" w:hAnsi="Calibri"/>
                <w:b w:val="0"/>
                <w:i w:val="0"/>
                <w:sz w:val="18"/>
              </w:rPr>
              <w:t>239</w:t>
            </w:r>
          </w:p>
        </w:tc>
      </w:tr>
      <w:tr>
        <w:tc>
          <w:tcPr>
            <w:tcW w:type="dxa" w:w="3744"/>
            <w:shd w:val="clear" w:color="auto" w:fill="F2F2F2"/>
          </w:tcPr>
          <w:p>
            <w:pPr>
              <w:keepNext/>
              <w:jc w:val="left"/>
            </w:pPr>
            <w:r>
              <w:rPr>
                <w:rFonts w:ascii="Calibri" w:hAnsi="Calibri"/>
                <w:b w:val="0"/>
                <w:i w:val="0"/>
                <w:sz w:val="18"/>
              </w:rPr>
              <w:t>PM10 (partículas &lt; 10 µm)</w:t>
            </w:r>
          </w:p>
        </w:tc>
        <w:tc>
          <w:tcPr>
            <w:tcW w:type="dxa" w:w="1152"/>
            <w:shd w:val="clear" w:color="auto" w:fill="F2F2F2"/>
          </w:tcPr>
          <w:p>
            <w:pPr>
              <w:keepNext/>
              <w:jc w:val="center"/>
            </w:pPr>
            <w:r>
              <w:rPr>
                <w:rFonts w:ascii="Calibri" w:hAnsi="Calibri"/>
                <w:b w:val="0"/>
                <w:i w:val="0"/>
                <w:sz w:val="18"/>
              </w:rPr>
              <w:t>21.0</w:t>
            </w:r>
          </w:p>
        </w:tc>
        <w:tc>
          <w:tcPr>
            <w:tcW w:type="dxa" w:w="1152"/>
            <w:shd w:val="clear" w:color="auto" w:fill="F2F2F2"/>
          </w:tcPr>
          <w:p>
            <w:pPr>
              <w:keepNext/>
              <w:jc w:val="center"/>
            </w:pPr>
            <w:r>
              <w:rPr>
                <w:rFonts w:ascii="Calibri" w:hAnsi="Calibri"/>
                <w:b w:val="0"/>
                <w:i w:val="0"/>
                <w:sz w:val="18"/>
              </w:rPr>
              <w:t>56.0</w:t>
            </w:r>
          </w:p>
        </w:tc>
        <w:tc>
          <w:tcPr>
            <w:tcW w:type="dxa" w:w="1584"/>
            <w:shd w:val="clear" w:color="auto" w:fill="F2F2F2"/>
          </w:tcPr>
          <w:p>
            <w:pPr>
              <w:keepNext/>
              <w:jc w:val="center"/>
            </w:pPr>
            <w:r>
              <w:rPr>
                <w:rFonts w:ascii="Calibri" w:hAnsi="Calibri"/>
                <w:b w:val="0"/>
                <w:i w:val="0"/>
                <w:sz w:val="18"/>
              </w:rPr>
              <w:t>108.5</w:t>
            </w:r>
          </w:p>
        </w:tc>
        <w:tc>
          <w:tcPr>
            <w:tcW w:type="dxa" w:w="1440"/>
            <w:shd w:val="clear" w:color="auto" w:fill="F2F2F2"/>
          </w:tcPr>
          <w:p>
            <w:pPr>
              <w:keepNext/>
              <w:jc w:val="center"/>
            </w:pPr>
            <w:r>
              <w:rPr>
                <w:rFonts w:ascii="Calibri" w:hAnsi="Calibri"/>
                <w:b w:val="0"/>
                <w:i w:val="0"/>
                <w:sz w:val="18"/>
              </w:rPr>
              <w:t>138</w:t>
            </w:r>
          </w:p>
        </w:tc>
      </w:tr>
      <w:tr>
        <w:tc>
          <w:tcPr>
            <w:tcW w:type="dxa" w:w="3744"/>
            <w:shd w:val="clear" w:color="auto" w:fill="FFFFFF"/>
          </w:tcPr>
          <w:p>
            <w:pPr>
              <w:keepNext/>
              <w:jc w:val="left"/>
            </w:pPr>
            <w:r>
              <w:rPr>
                <w:rFonts w:ascii="Calibri" w:hAnsi="Calibri"/>
                <w:b w:val="0"/>
                <w:i w:val="0"/>
                <w:sz w:val="18"/>
              </w:rPr>
              <w:t>PM2.5 (partículas &lt; 2.5 µm)</w:t>
            </w:r>
          </w:p>
        </w:tc>
        <w:tc>
          <w:tcPr>
            <w:tcW w:type="dxa" w:w="1152"/>
            <w:shd w:val="clear" w:color="auto" w:fill="FFFFFF"/>
          </w:tcPr>
          <w:p>
            <w:pPr>
              <w:keepNext/>
              <w:jc w:val="center"/>
            </w:pPr>
            <w:r>
              <w:rPr>
                <w:rFonts w:ascii="Calibri" w:hAnsi="Calibri"/>
                <w:b w:val="0"/>
                <w:i w:val="0"/>
                <w:sz w:val="18"/>
              </w:rPr>
              <w:t>8.0</w:t>
            </w:r>
          </w:p>
        </w:tc>
        <w:tc>
          <w:tcPr>
            <w:tcW w:type="dxa" w:w="1152"/>
            <w:shd w:val="clear" w:color="auto" w:fill="FFFFFF"/>
          </w:tcPr>
          <w:p>
            <w:pPr>
              <w:keepNext/>
              <w:jc w:val="center"/>
            </w:pPr>
            <w:r>
              <w:rPr>
                <w:rFonts w:ascii="Calibri" w:hAnsi="Calibri"/>
                <w:b w:val="0"/>
                <w:i w:val="0"/>
                <w:sz w:val="18"/>
              </w:rPr>
              <w:t>23.0</w:t>
            </w:r>
          </w:p>
        </w:tc>
        <w:tc>
          <w:tcPr>
            <w:tcW w:type="dxa" w:w="1584"/>
            <w:shd w:val="clear" w:color="auto" w:fill="FFFFFF"/>
          </w:tcPr>
          <w:p>
            <w:pPr>
              <w:keepNext/>
              <w:jc w:val="center"/>
            </w:pPr>
            <w:r>
              <w:rPr>
                <w:rFonts w:ascii="Calibri" w:hAnsi="Calibri"/>
                <w:b w:val="0"/>
                <w:i w:val="0"/>
                <w:sz w:val="18"/>
              </w:rPr>
              <w:t>45.5</w:t>
            </w:r>
          </w:p>
        </w:tc>
        <w:tc>
          <w:tcPr>
            <w:tcW w:type="dxa" w:w="1440"/>
            <w:shd w:val="clear" w:color="auto" w:fill="FFFFFF"/>
          </w:tcPr>
          <w:p>
            <w:pPr>
              <w:keepNext/>
              <w:jc w:val="center"/>
            </w:pPr>
            <w:r>
              <w:rPr>
                <w:rFonts w:ascii="Calibri" w:hAnsi="Calibri"/>
                <w:b w:val="0"/>
                <w:i w:val="0"/>
                <w:sz w:val="18"/>
              </w:rPr>
              <w:t>138</w:t>
            </w:r>
          </w:p>
        </w:tc>
      </w:tr>
    </w:tbl>
    <w:p>
      <w:pPr>
        <w:keepNext w:val="0"/>
        <w:spacing w:before="40" w:after="160"/>
        <w:jc w:val="center"/>
      </w:pPr>
      <w:r>
        <w:rPr>
          <w:rFonts w:ascii="Calibri" w:hAnsi="Calibri"/>
          <w:b w:val="0"/>
          <w:i/>
          <w:color w:val="404040"/>
          <w:sz w:val="18"/>
        </w:rPr>
        <w:t>Tabla 2. Cercas de Tukey y horas atípicas por variable, corpus homogéneo (n = 2,312).</w:t>
      </w:r>
    </w:p>
    <w:p>
      <w:pPr>
        <w:keepNext/>
        <w:jc w:val="center"/>
      </w:pPr>
      <w:r>
        <w:drawing>
          <wp:inline xmlns:a="http://schemas.openxmlformats.org/drawingml/2006/main" xmlns:pic="http://schemas.openxmlformats.org/drawingml/2006/picture">
            <wp:extent cx="5943600" cy="1798570"/>
            <wp:docPr id="2" name="Picture 2"/>
            <wp:cNvGraphicFramePr>
              <a:graphicFrameLocks noChangeAspect="1"/>
            </wp:cNvGraphicFramePr>
            <a:graphic>
              <a:graphicData uri="http://schemas.openxmlformats.org/drawingml/2006/picture">
                <pic:pic>
                  <pic:nvPicPr>
                    <pic:cNvPr id="0" name="boxplots_atipicos.png"/>
                    <pic:cNvPicPr/>
                  </pic:nvPicPr>
                  <pic:blipFill>
                    <a:blip r:embed="rId9"/>
                    <a:stretch>
                      <a:fillRect/>
                    </a:stretch>
                  </pic:blipFill>
                  <pic:spPr>
                    <a:xfrm>
                      <a:off x="0" y="0"/>
                      <a:ext cx="5943600" cy="1798570"/>
                    </a:xfrm>
                    <a:prstGeom prst="rect"/>
                  </pic:spPr>
                </pic:pic>
              </a:graphicData>
            </a:graphic>
          </wp:inline>
        </w:drawing>
      </w:r>
    </w:p>
    <w:p>
      <w:pPr>
        <w:keepNext w:val="0"/>
        <w:spacing w:before="40" w:after="160"/>
        <w:jc w:val="center"/>
      </w:pPr>
      <w:r>
        <w:rPr>
          <w:rFonts w:ascii="Calibri" w:hAnsi="Calibri"/>
          <w:b w:val="0"/>
          <w:i/>
          <w:color w:val="404040"/>
          <w:sz w:val="18"/>
        </w:rPr>
        <w:t>Figura 1. Diagramas de caja de cada variable en el corpus homogéneo. La línea punteada roja marca la cerca superior de Tukey; los puntos rojos son los valores atípicos.</w:t>
      </w:r>
    </w:p>
    <w:p>
      <w:pPr>
        <w:keepNext w:val="0"/>
        <w:spacing w:before="0" w:after="100"/>
        <w:jc w:val="both"/>
      </w:pPr>
      <w:r>
        <w:rPr>
          <w:rFonts w:ascii="Calibri" w:hAnsi="Calibri"/>
          <w:b w:val="0"/>
          <w:i w:val="0"/>
          <w:sz w:val="20"/>
        </w:rPr>
        <w:t>En total se excluyeron 430 horas (18.6 % del corpus homogéneo). El NO concentra la mayor cantidad de atípicos (380), lo que es esperable porque se emite directamente en el escape de los vehículos y presenta picos muy marcados en las horas de mayor tránsito. Las mismas horas suelen ser atípicas en varias variables a la vez, por eso el número de horas excluidas es menor que la suma de la última columna de la Tabla 2.</w:t>
      </w:r>
    </w:p>
    <w:p>
      <w:pPr>
        <w:keepNext/>
        <w:spacing w:before="140" w:after="60"/>
        <w:jc w:val="left"/>
      </w:pPr>
      <w:r>
        <w:rPr>
          <w:rFonts w:ascii="Calibri" w:hAnsi="Calibri"/>
          <w:b/>
          <w:i w:val="0"/>
          <w:color w:val="1F497D"/>
          <w:sz w:val="22"/>
        </w:rPr>
        <w:t>2.3 Recta de regresión que cruza por el origen</w:t>
      </w:r>
    </w:p>
    <w:p>
      <w:pPr>
        <w:keepNext/>
        <w:spacing w:before="0" w:after="100"/>
        <w:jc w:val="both"/>
      </w:pPr>
      <w:r>
        <w:rPr>
          <w:rFonts w:ascii="Calibri" w:hAnsi="Calibri"/>
          <w:b w:val="0"/>
          <w:i w:val="0"/>
          <w:sz w:val="20"/>
        </w:rPr>
        <w:t>En lugar de la recta NO₂ = b₀ + b₁X de la Tarea 1.4, se ajustó por mínimos cuadrados el modelo sin intercepto NO₂ = b·X, cuya recta pasa por el punto (0, 0). La restricción tiene sentido físico: cuando no hay emisiones de combustión, la concentración esperada de NO₂ debe ser cercana a cero. La pendiente y el coeficiente de determinación se obtienen con las expresiones de la Figura 2. El R²₀ de un modelo sin intercepto se calcula respecto a cero y no respecto a la media, por lo que su valor no es comparable con el R² de una recta con intercepto ni con el cuadrado de r. Por esa razón, la jerarquía de contaminantes se establece con el coeficiente de correlación de Pearson, y la recta por el origen se usa para describir la proporción entre el NO₂ y cada contaminante.</w:t>
      </w:r>
    </w:p>
    <w:p>
      <w:pPr>
        <w:keepNext/>
        <w:jc w:val="center"/>
      </w:pPr>
      <w:r>
        <w:drawing>
          <wp:inline xmlns:a="http://schemas.openxmlformats.org/drawingml/2006/main" xmlns:pic="http://schemas.openxmlformats.org/drawingml/2006/picture">
            <wp:extent cx="2651760" cy="1818523"/>
            <wp:docPr id="3" name="Picture 3"/>
            <wp:cNvGraphicFramePr>
              <a:graphicFrameLocks noChangeAspect="1"/>
            </wp:cNvGraphicFramePr>
            <a:graphic>
              <a:graphicData uri="http://schemas.openxmlformats.org/drawingml/2006/picture">
                <pic:pic>
                  <pic:nvPicPr>
                    <pic:cNvPr id="0" name="formulas_origen.png"/>
                    <pic:cNvPicPr/>
                  </pic:nvPicPr>
                  <pic:blipFill>
                    <a:blip r:embed="rId10"/>
                    <a:stretch>
                      <a:fillRect/>
                    </a:stretch>
                  </pic:blipFill>
                  <pic:spPr>
                    <a:xfrm>
                      <a:off x="0" y="0"/>
                      <a:ext cx="2651760" cy="1818523"/>
                    </a:xfrm>
                    <a:prstGeom prst="rect"/>
                  </pic:spPr>
                </pic:pic>
              </a:graphicData>
            </a:graphic>
          </wp:inline>
        </w:drawing>
      </w:r>
    </w:p>
    <w:p>
      <w:pPr>
        <w:keepNext w:val="0"/>
        <w:spacing w:before="40" w:after="160"/>
        <w:jc w:val="center"/>
      </w:pPr>
      <w:r>
        <w:rPr>
          <w:rFonts w:ascii="Calibri" w:hAnsi="Calibri"/>
          <w:b w:val="0"/>
          <w:i/>
          <w:color w:val="404040"/>
          <w:sz w:val="18"/>
        </w:rPr>
        <w:t>Figura 2. Pendiente y coeficiente de determinación de la recta de regresión que cruza por el origen.</w:t>
      </w:r>
    </w:p>
    <w:p>
      <w:pPr>
        <w:keepNext/>
        <w:spacing w:before="200" w:after="60"/>
        <w:jc w:val="left"/>
      </w:pPr>
      <w:r>
        <w:rPr>
          <w:rFonts w:ascii="Calibri" w:hAnsi="Calibri"/>
          <w:b/>
          <w:i w:val="0"/>
          <w:color w:val="1F497D"/>
          <w:sz w:val="26"/>
        </w:rPr>
        <w:t>3. Resultados</w:t>
      </w:r>
    </w:p>
    <w:p>
      <w:pPr>
        <w:keepNext/>
        <w:spacing w:before="140" w:after="60"/>
        <w:jc w:val="left"/>
      </w:pPr>
      <w:r>
        <w:rPr>
          <w:rFonts w:ascii="Calibri" w:hAnsi="Calibri"/>
          <w:b/>
          <w:i w:val="0"/>
          <w:color w:val="1F497D"/>
          <w:sz w:val="22"/>
        </w:rPr>
        <w:t>3.1 Efecto de los ajustes sobre el coeficiente de correlación</w:t>
      </w:r>
    </w:p>
    <w:p>
      <w:pPr>
        <w:keepNext/>
        <w:spacing w:before="0" w:after="100"/>
        <w:jc w:val="both"/>
      </w:pPr>
      <w:r>
        <w:rPr>
          <w:rFonts w:ascii="Calibri" w:hAnsi="Calibri"/>
          <w:b w:val="0"/>
          <w:i w:val="0"/>
          <w:sz w:val="20"/>
        </w:rPr>
        <w:t>La Tabla 3 muestra cómo cambia el coeficiente de correlación de cada contaminante con el NO₂ en cada etapa del ajuste, y la Figura 3 compara las matrices de correlación de la Tarea 1.4 y de esta tarea mediante mapas de calor.</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3600"/>
            <w:shd w:val="clear" w:color="auto" w:fill="1F497D"/>
          </w:tcPr>
          <w:p>
            <w:pPr>
              <w:keepNext/>
              <w:jc w:val="center"/>
            </w:pPr>
            <w:r>
              <w:rPr>
                <w:rFonts w:ascii="Calibri" w:hAnsi="Calibri"/>
                <w:b/>
                <w:i w:val="0"/>
                <w:color w:val="FFFFFF"/>
                <w:sz w:val="18"/>
              </w:rPr>
              <w:t>Contaminante</w:t>
            </w:r>
          </w:p>
        </w:tc>
        <w:tc>
          <w:tcPr>
            <w:tcW w:type="dxa" w:w="1296"/>
            <w:shd w:val="clear" w:color="auto" w:fill="1F497D"/>
          </w:tcPr>
          <w:p>
            <w:pPr>
              <w:keepNext/>
              <w:jc w:val="center"/>
            </w:pPr>
            <w:r>
              <w:rPr>
                <w:rFonts w:ascii="Calibri" w:hAnsi="Calibri"/>
                <w:b/>
                <w:i w:val="0"/>
                <w:color w:val="FFFFFF"/>
                <w:sz w:val="18"/>
              </w:rPr>
              <w:t>r Tarea 1.4</w:t>
            </w:r>
          </w:p>
        </w:tc>
        <w:tc>
          <w:tcPr>
            <w:tcW w:type="dxa" w:w="1872"/>
            <w:shd w:val="clear" w:color="auto" w:fill="1F497D"/>
          </w:tcPr>
          <w:p>
            <w:pPr>
              <w:keepNext/>
              <w:jc w:val="center"/>
            </w:pPr>
            <w:r>
              <w:rPr>
                <w:rFonts w:ascii="Calibri" w:hAnsi="Calibri"/>
                <w:b/>
                <w:i w:val="0"/>
                <w:color w:val="FFFFFF"/>
                <w:sz w:val="18"/>
              </w:rPr>
              <w:t>r corpus homogéneo</w:t>
            </w:r>
          </w:p>
        </w:tc>
        <w:tc>
          <w:tcPr>
            <w:tcW w:type="dxa" w:w="1584"/>
            <w:shd w:val="clear" w:color="auto" w:fill="1F497D"/>
          </w:tcPr>
          <w:p>
            <w:pPr>
              <w:keepNext/>
              <w:jc w:val="center"/>
            </w:pPr>
            <w:r>
              <w:rPr>
                <w:rFonts w:ascii="Calibri" w:hAnsi="Calibri"/>
                <w:b/>
                <w:i w:val="0"/>
                <w:color w:val="FFFFFF"/>
                <w:sz w:val="18"/>
              </w:rPr>
              <w:t>r sin atípicos</w:t>
            </w:r>
          </w:p>
        </w:tc>
        <w:tc>
          <w:tcPr>
            <w:tcW w:type="dxa" w:w="1152"/>
            <w:shd w:val="clear" w:color="auto" w:fill="1F497D"/>
          </w:tcPr>
          <w:p>
            <w:pPr>
              <w:keepNext/>
              <w:jc w:val="center"/>
            </w:pPr>
            <w:r>
              <w:rPr>
                <w:rFonts w:ascii="Calibri" w:hAnsi="Calibri"/>
                <w:b/>
                <w:i w:val="0"/>
                <w:color w:val="FFFFFF"/>
                <w:sz w:val="18"/>
              </w:rPr>
              <w:t>Cambio</w:t>
            </w:r>
          </w:p>
        </w:tc>
      </w:tr>
      <w:tr>
        <w:tc>
          <w:tcPr>
            <w:tcW w:type="dxa" w:w="3600"/>
            <w:shd w:val="clear" w:color="auto" w:fill="FCE4B8"/>
          </w:tcPr>
          <w:p>
            <w:pPr>
              <w:keepNext/>
              <w:jc w:val="left"/>
            </w:pPr>
            <w:r>
              <w:rPr>
                <w:rFonts w:ascii="Calibri" w:hAnsi="Calibri"/>
                <w:b/>
                <w:i w:val="0"/>
                <w:sz w:val="18"/>
              </w:rPr>
              <w:t>NOx (óxidos de nitrógeno)</w:t>
            </w:r>
          </w:p>
        </w:tc>
        <w:tc>
          <w:tcPr>
            <w:tcW w:type="dxa" w:w="1296"/>
            <w:shd w:val="clear" w:color="auto" w:fill="FCE4B8"/>
          </w:tcPr>
          <w:p>
            <w:pPr>
              <w:keepNext/>
              <w:jc w:val="center"/>
            </w:pPr>
            <w:r>
              <w:rPr>
                <w:rFonts w:ascii="Calibri" w:hAnsi="Calibri"/>
                <w:b/>
                <w:i w:val="0"/>
                <w:sz w:val="18"/>
              </w:rPr>
              <w:t>+0.814</w:t>
            </w:r>
          </w:p>
        </w:tc>
        <w:tc>
          <w:tcPr>
            <w:tcW w:type="dxa" w:w="1872"/>
            <w:shd w:val="clear" w:color="auto" w:fill="FCE4B8"/>
          </w:tcPr>
          <w:p>
            <w:pPr>
              <w:keepNext/>
              <w:jc w:val="center"/>
            </w:pPr>
            <w:r>
              <w:rPr>
                <w:rFonts w:ascii="Calibri" w:hAnsi="Calibri"/>
                <w:b/>
                <w:i w:val="0"/>
                <w:sz w:val="18"/>
              </w:rPr>
              <w:t>+0.809</w:t>
            </w:r>
          </w:p>
        </w:tc>
        <w:tc>
          <w:tcPr>
            <w:tcW w:type="dxa" w:w="1584"/>
            <w:shd w:val="clear" w:color="auto" w:fill="FCE4B8"/>
          </w:tcPr>
          <w:p>
            <w:pPr>
              <w:keepNext/>
              <w:jc w:val="center"/>
            </w:pPr>
            <w:r>
              <w:rPr>
                <w:rFonts w:ascii="Calibri" w:hAnsi="Calibri"/>
                <w:b/>
                <w:i w:val="0"/>
                <w:sz w:val="18"/>
              </w:rPr>
              <w:t>+0.942</w:t>
            </w:r>
          </w:p>
        </w:tc>
        <w:tc>
          <w:tcPr>
            <w:tcW w:type="dxa" w:w="1152"/>
            <w:shd w:val="clear" w:color="auto" w:fill="FCE4B8"/>
          </w:tcPr>
          <w:p>
            <w:pPr>
              <w:keepNext/>
              <w:jc w:val="center"/>
            </w:pPr>
            <w:r>
              <w:rPr>
                <w:rFonts w:ascii="Calibri" w:hAnsi="Calibri"/>
                <w:b/>
                <w:i w:val="0"/>
                <w:sz w:val="18"/>
              </w:rPr>
              <w:t>+0.128</w:t>
            </w:r>
          </w:p>
        </w:tc>
      </w:tr>
      <w:tr>
        <w:tc>
          <w:tcPr>
            <w:tcW w:type="dxa" w:w="3600"/>
            <w:shd w:val="clear" w:color="auto" w:fill="F2F2F2"/>
          </w:tcPr>
          <w:p>
            <w:pPr>
              <w:keepNext/>
              <w:jc w:val="left"/>
            </w:pPr>
            <w:r>
              <w:rPr>
                <w:rFonts w:ascii="Calibri" w:hAnsi="Calibri"/>
                <w:b w:val="0"/>
                <w:i w:val="0"/>
                <w:sz w:val="18"/>
              </w:rPr>
              <w:t>CO (monóxido de carbono)</w:t>
            </w:r>
          </w:p>
        </w:tc>
        <w:tc>
          <w:tcPr>
            <w:tcW w:type="dxa" w:w="1296"/>
            <w:shd w:val="clear" w:color="auto" w:fill="F2F2F2"/>
          </w:tcPr>
          <w:p>
            <w:pPr>
              <w:keepNext/>
              <w:jc w:val="center"/>
            </w:pPr>
            <w:r>
              <w:rPr>
                <w:rFonts w:ascii="Calibri" w:hAnsi="Calibri"/>
                <w:b w:val="0"/>
                <w:i w:val="0"/>
                <w:sz w:val="18"/>
              </w:rPr>
              <w:t>+0.806</w:t>
            </w:r>
          </w:p>
        </w:tc>
        <w:tc>
          <w:tcPr>
            <w:tcW w:type="dxa" w:w="1872"/>
            <w:shd w:val="clear" w:color="auto" w:fill="F2F2F2"/>
          </w:tcPr>
          <w:p>
            <w:pPr>
              <w:keepNext/>
              <w:jc w:val="center"/>
            </w:pPr>
            <w:r>
              <w:rPr>
                <w:rFonts w:ascii="Calibri" w:hAnsi="Calibri"/>
                <w:b w:val="0"/>
                <w:i w:val="0"/>
                <w:sz w:val="18"/>
              </w:rPr>
              <w:t>+0.800</w:t>
            </w:r>
          </w:p>
        </w:tc>
        <w:tc>
          <w:tcPr>
            <w:tcW w:type="dxa" w:w="1584"/>
            <w:shd w:val="clear" w:color="auto" w:fill="F2F2F2"/>
          </w:tcPr>
          <w:p>
            <w:pPr>
              <w:keepNext/>
              <w:jc w:val="center"/>
            </w:pPr>
            <w:r>
              <w:rPr>
                <w:rFonts w:ascii="Calibri" w:hAnsi="Calibri"/>
                <w:b w:val="0"/>
                <w:i w:val="0"/>
                <w:sz w:val="18"/>
              </w:rPr>
              <w:t>+0.909</w:t>
            </w:r>
          </w:p>
        </w:tc>
        <w:tc>
          <w:tcPr>
            <w:tcW w:type="dxa" w:w="1152"/>
            <w:shd w:val="clear" w:color="auto" w:fill="F2F2F2"/>
          </w:tcPr>
          <w:p>
            <w:pPr>
              <w:keepNext/>
              <w:jc w:val="center"/>
            </w:pPr>
            <w:r>
              <w:rPr>
                <w:rFonts w:ascii="Calibri" w:hAnsi="Calibri"/>
                <w:b w:val="0"/>
                <w:i w:val="0"/>
                <w:sz w:val="18"/>
              </w:rPr>
              <w:t>+0.103</w:t>
            </w:r>
          </w:p>
        </w:tc>
      </w:tr>
      <w:tr>
        <w:tc>
          <w:tcPr>
            <w:tcW w:type="dxa" w:w="3600"/>
            <w:shd w:val="clear" w:color="auto" w:fill="FFFFFF"/>
          </w:tcPr>
          <w:p>
            <w:pPr>
              <w:keepNext/>
              <w:jc w:val="left"/>
            </w:pPr>
            <w:r>
              <w:rPr>
                <w:rFonts w:ascii="Calibri" w:hAnsi="Calibri"/>
                <w:b w:val="0"/>
                <w:i w:val="0"/>
                <w:sz w:val="18"/>
              </w:rPr>
              <w:t>NO (monóxido de nitrógeno)</w:t>
            </w:r>
          </w:p>
        </w:tc>
        <w:tc>
          <w:tcPr>
            <w:tcW w:type="dxa" w:w="1296"/>
            <w:shd w:val="clear" w:color="auto" w:fill="FFFFFF"/>
          </w:tcPr>
          <w:p>
            <w:pPr>
              <w:keepNext/>
              <w:jc w:val="center"/>
            </w:pPr>
            <w:r>
              <w:rPr>
                <w:rFonts w:ascii="Calibri" w:hAnsi="Calibri"/>
                <w:b w:val="0"/>
                <w:i w:val="0"/>
                <w:sz w:val="18"/>
              </w:rPr>
              <w:t>+0.650</w:t>
            </w:r>
          </w:p>
        </w:tc>
        <w:tc>
          <w:tcPr>
            <w:tcW w:type="dxa" w:w="1872"/>
            <w:shd w:val="clear" w:color="auto" w:fill="FFFFFF"/>
          </w:tcPr>
          <w:p>
            <w:pPr>
              <w:keepNext/>
              <w:jc w:val="center"/>
            </w:pPr>
            <w:r>
              <w:rPr>
                <w:rFonts w:ascii="Calibri" w:hAnsi="Calibri"/>
                <w:b w:val="0"/>
                <w:i w:val="0"/>
                <w:sz w:val="18"/>
              </w:rPr>
              <w:t>+0.646</w:t>
            </w:r>
          </w:p>
        </w:tc>
        <w:tc>
          <w:tcPr>
            <w:tcW w:type="dxa" w:w="1584"/>
            <w:shd w:val="clear" w:color="auto" w:fill="FFFFFF"/>
          </w:tcPr>
          <w:p>
            <w:pPr>
              <w:keepNext/>
              <w:jc w:val="center"/>
            </w:pPr>
            <w:r>
              <w:rPr>
                <w:rFonts w:ascii="Calibri" w:hAnsi="Calibri"/>
                <w:b w:val="0"/>
                <w:i w:val="0"/>
                <w:sz w:val="18"/>
              </w:rPr>
              <w:t>+0.578</w:t>
            </w:r>
          </w:p>
        </w:tc>
        <w:tc>
          <w:tcPr>
            <w:tcW w:type="dxa" w:w="1152"/>
            <w:shd w:val="clear" w:color="auto" w:fill="FFFFFF"/>
          </w:tcPr>
          <w:p>
            <w:pPr>
              <w:keepNext/>
              <w:jc w:val="center"/>
            </w:pPr>
            <w:r>
              <w:rPr>
                <w:rFonts w:ascii="Calibri" w:hAnsi="Calibri"/>
                <w:b w:val="0"/>
                <w:i w:val="0"/>
                <w:sz w:val="18"/>
              </w:rPr>
              <w:t>-0.072</w:t>
            </w:r>
          </w:p>
        </w:tc>
      </w:tr>
      <w:tr>
        <w:tc>
          <w:tcPr>
            <w:tcW w:type="dxa" w:w="3600"/>
            <w:shd w:val="clear" w:color="auto" w:fill="F2F2F2"/>
          </w:tcPr>
          <w:p>
            <w:pPr>
              <w:keepNext/>
              <w:jc w:val="left"/>
            </w:pPr>
            <w:r>
              <w:rPr>
                <w:rFonts w:ascii="Calibri" w:hAnsi="Calibri"/>
                <w:b w:val="0"/>
                <w:i w:val="0"/>
                <w:sz w:val="18"/>
              </w:rPr>
              <w:t>O₃ (ozono)</w:t>
            </w:r>
          </w:p>
        </w:tc>
        <w:tc>
          <w:tcPr>
            <w:tcW w:type="dxa" w:w="1296"/>
            <w:shd w:val="clear" w:color="auto" w:fill="F2F2F2"/>
          </w:tcPr>
          <w:p>
            <w:pPr>
              <w:keepNext/>
              <w:jc w:val="center"/>
            </w:pPr>
            <w:r>
              <w:rPr>
                <w:rFonts w:ascii="Calibri" w:hAnsi="Calibri"/>
                <w:b w:val="0"/>
                <w:i w:val="0"/>
                <w:sz w:val="18"/>
              </w:rPr>
              <w:t>-0.591</w:t>
            </w:r>
          </w:p>
        </w:tc>
        <w:tc>
          <w:tcPr>
            <w:tcW w:type="dxa" w:w="1872"/>
            <w:shd w:val="clear" w:color="auto" w:fill="F2F2F2"/>
          </w:tcPr>
          <w:p>
            <w:pPr>
              <w:keepNext/>
              <w:jc w:val="center"/>
            </w:pPr>
            <w:r>
              <w:rPr>
                <w:rFonts w:ascii="Calibri" w:hAnsi="Calibri"/>
                <w:b w:val="0"/>
                <w:i w:val="0"/>
                <w:sz w:val="18"/>
              </w:rPr>
              <w:t>-0.595</w:t>
            </w:r>
          </w:p>
        </w:tc>
        <w:tc>
          <w:tcPr>
            <w:tcW w:type="dxa" w:w="1584"/>
            <w:shd w:val="clear" w:color="auto" w:fill="F2F2F2"/>
          </w:tcPr>
          <w:p>
            <w:pPr>
              <w:keepNext/>
              <w:jc w:val="center"/>
            </w:pPr>
            <w:r>
              <w:rPr>
                <w:rFonts w:ascii="Calibri" w:hAnsi="Calibri"/>
                <w:b w:val="0"/>
                <w:i w:val="0"/>
                <w:sz w:val="18"/>
              </w:rPr>
              <w:t>-0.523</w:t>
            </w:r>
          </w:p>
        </w:tc>
        <w:tc>
          <w:tcPr>
            <w:tcW w:type="dxa" w:w="1152"/>
            <w:shd w:val="clear" w:color="auto" w:fill="F2F2F2"/>
          </w:tcPr>
          <w:p>
            <w:pPr>
              <w:keepNext/>
              <w:jc w:val="center"/>
            </w:pPr>
            <w:r>
              <w:rPr>
                <w:rFonts w:ascii="Calibri" w:hAnsi="Calibri"/>
                <w:b w:val="0"/>
                <w:i w:val="0"/>
                <w:sz w:val="18"/>
              </w:rPr>
              <w:t>+0.068</w:t>
            </w:r>
          </w:p>
        </w:tc>
      </w:tr>
      <w:tr>
        <w:tc>
          <w:tcPr>
            <w:tcW w:type="dxa" w:w="3600"/>
            <w:shd w:val="clear" w:color="auto" w:fill="FFFFFF"/>
          </w:tcPr>
          <w:p>
            <w:pPr>
              <w:keepNext/>
              <w:jc w:val="left"/>
            </w:pPr>
            <w:r>
              <w:rPr>
                <w:rFonts w:ascii="Calibri" w:hAnsi="Calibri"/>
                <w:b w:val="0"/>
                <w:i w:val="0"/>
                <w:sz w:val="18"/>
              </w:rPr>
              <w:t>PM10 (partículas &lt; 10 µm)</w:t>
            </w:r>
          </w:p>
        </w:tc>
        <w:tc>
          <w:tcPr>
            <w:tcW w:type="dxa" w:w="1296"/>
            <w:shd w:val="clear" w:color="auto" w:fill="FFFFFF"/>
          </w:tcPr>
          <w:p>
            <w:pPr>
              <w:keepNext/>
              <w:jc w:val="center"/>
            </w:pPr>
            <w:r>
              <w:rPr>
                <w:rFonts w:ascii="Calibri" w:hAnsi="Calibri"/>
                <w:b w:val="0"/>
                <w:i w:val="0"/>
                <w:sz w:val="18"/>
              </w:rPr>
              <w:t>+0.696</w:t>
            </w:r>
          </w:p>
        </w:tc>
        <w:tc>
          <w:tcPr>
            <w:tcW w:type="dxa" w:w="1872"/>
            <w:shd w:val="clear" w:color="auto" w:fill="FFFFFF"/>
          </w:tcPr>
          <w:p>
            <w:pPr>
              <w:keepNext/>
              <w:jc w:val="center"/>
            </w:pPr>
            <w:r>
              <w:rPr>
                <w:rFonts w:ascii="Calibri" w:hAnsi="Calibri"/>
                <w:b w:val="0"/>
                <w:i w:val="0"/>
                <w:sz w:val="18"/>
              </w:rPr>
              <w:t>+0.688</w:t>
            </w:r>
          </w:p>
        </w:tc>
        <w:tc>
          <w:tcPr>
            <w:tcW w:type="dxa" w:w="1584"/>
            <w:shd w:val="clear" w:color="auto" w:fill="FFFFFF"/>
          </w:tcPr>
          <w:p>
            <w:pPr>
              <w:keepNext/>
              <w:jc w:val="center"/>
            </w:pPr>
            <w:r>
              <w:rPr>
                <w:rFonts w:ascii="Calibri" w:hAnsi="Calibri"/>
                <w:b w:val="0"/>
                <w:i w:val="0"/>
                <w:sz w:val="18"/>
              </w:rPr>
              <w:t>+0.500</w:t>
            </w:r>
          </w:p>
        </w:tc>
        <w:tc>
          <w:tcPr>
            <w:tcW w:type="dxa" w:w="1152"/>
            <w:shd w:val="clear" w:color="auto" w:fill="FFFFFF"/>
          </w:tcPr>
          <w:p>
            <w:pPr>
              <w:keepNext/>
              <w:jc w:val="center"/>
            </w:pPr>
            <w:r>
              <w:rPr>
                <w:rFonts w:ascii="Calibri" w:hAnsi="Calibri"/>
                <w:b w:val="0"/>
                <w:i w:val="0"/>
                <w:sz w:val="18"/>
              </w:rPr>
              <w:t>-0.196</w:t>
            </w:r>
          </w:p>
        </w:tc>
      </w:tr>
      <w:tr>
        <w:tc>
          <w:tcPr>
            <w:tcW w:type="dxa" w:w="3600"/>
            <w:shd w:val="clear" w:color="auto" w:fill="F2F2F2"/>
          </w:tcPr>
          <w:p>
            <w:pPr>
              <w:keepNext/>
              <w:jc w:val="left"/>
            </w:pPr>
            <w:r>
              <w:rPr>
                <w:rFonts w:ascii="Calibri" w:hAnsi="Calibri"/>
                <w:b w:val="0"/>
                <w:i w:val="0"/>
                <w:sz w:val="18"/>
              </w:rPr>
              <w:t>PM2.5 (partículas &lt; 2.5 µm)</w:t>
            </w:r>
          </w:p>
        </w:tc>
        <w:tc>
          <w:tcPr>
            <w:tcW w:type="dxa" w:w="1296"/>
            <w:shd w:val="clear" w:color="auto" w:fill="F2F2F2"/>
          </w:tcPr>
          <w:p>
            <w:pPr>
              <w:keepNext/>
              <w:jc w:val="center"/>
            </w:pPr>
            <w:r>
              <w:rPr>
                <w:rFonts w:ascii="Calibri" w:hAnsi="Calibri"/>
                <w:b w:val="0"/>
                <w:i w:val="0"/>
                <w:sz w:val="18"/>
              </w:rPr>
              <w:t>+0.572</w:t>
            </w:r>
          </w:p>
        </w:tc>
        <w:tc>
          <w:tcPr>
            <w:tcW w:type="dxa" w:w="1872"/>
            <w:shd w:val="clear" w:color="auto" w:fill="F2F2F2"/>
          </w:tcPr>
          <w:p>
            <w:pPr>
              <w:keepNext/>
              <w:jc w:val="center"/>
            </w:pPr>
            <w:r>
              <w:rPr>
                <w:rFonts w:ascii="Calibri" w:hAnsi="Calibri"/>
                <w:b w:val="0"/>
                <w:i w:val="0"/>
                <w:sz w:val="18"/>
              </w:rPr>
              <w:t>+0.560</w:t>
            </w:r>
          </w:p>
        </w:tc>
        <w:tc>
          <w:tcPr>
            <w:tcW w:type="dxa" w:w="1584"/>
            <w:shd w:val="clear" w:color="auto" w:fill="F2F2F2"/>
          </w:tcPr>
          <w:p>
            <w:pPr>
              <w:keepNext/>
              <w:jc w:val="center"/>
            </w:pPr>
            <w:r>
              <w:rPr>
                <w:rFonts w:ascii="Calibri" w:hAnsi="Calibri"/>
                <w:b w:val="0"/>
                <w:i w:val="0"/>
                <w:sz w:val="18"/>
              </w:rPr>
              <w:t>+0.438</w:t>
            </w:r>
          </w:p>
        </w:tc>
        <w:tc>
          <w:tcPr>
            <w:tcW w:type="dxa" w:w="1152"/>
            <w:shd w:val="clear" w:color="auto" w:fill="F2F2F2"/>
          </w:tcPr>
          <w:p>
            <w:pPr>
              <w:keepNext/>
              <w:jc w:val="center"/>
            </w:pPr>
            <w:r>
              <w:rPr>
                <w:rFonts w:ascii="Calibri" w:hAnsi="Calibri"/>
                <w:b w:val="0"/>
                <w:i w:val="0"/>
                <w:sz w:val="18"/>
              </w:rPr>
              <w:t>-0.134</w:t>
            </w:r>
          </w:p>
        </w:tc>
      </w:tr>
    </w:tbl>
    <w:p>
      <w:pPr>
        <w:keepNext w:val="0"/>
        <w:spacing w:before="40" w:after="160"/>
        <w:jc w:val="center"/>
      </w:pPr>
      <w:r>
        <w:rPr>
          <w:rFonts w:ascii="Calibri" w:hAnsi="Calibri"/>
          <w:b w:val="0"/>
          <w:i/>
          <w:color w:val="404040"/>
          <w:sz w:val="18"/>
        </w:rPr>
        <w:t>Tabla 3. Coeficiente de correlación de Pearson con el NO₂ en cada etapa del ajuste, ordenado por el valor absoluto de r sin atípicos.</w:t>
      </w:r>
    </w:p>
    <w:p>
      <w:pPr>
        <w:keepNext/>
        <w:jc w:val="center"/>
      </w:pPr>
      <w:r>
        <w:drawing>
          <wp:inline xmlns:a="http://schemas.openxmlformats.org/drawingml/2006/main" xmlns:pic="http://schemas.openxmlformats.org/drawingml/2006/picture">
            <wp:extent cx="5943600" cy="2516242"/>
            <wp:docPr id="4" name="Picture 4"/>
            <wp:cNvGraphicFramePr>
              <a:graphicFrameLocks noChangeAspect="1"/>
            </wp:cNvGraphicFramePr>
            <a:graphic>
              <a:graphicData uri="http://schemas.openxmlformats.org/drawingml/2006/picture">
                <pic:pic>
                  <pic:nvPicPr>
                    <pic:cNvPr id="0" name="mapas_calor_correlacion.png"/>
                    <pic:cNvPicPr/>
                  </pic:nvPicPr>
                  <pic:blipFill>
                    <a:blip r:embed="rId11"/>
                    <a:stretch>
                      <a:fillRect/>
                    </a:stretch>
                  </pic:blipFill>
                  <pic:spPr>
                    <a:xfrm>
                      <a:off x="0" y="0"/>
                      <a:ext cx="5943600" cy="2516242"/>
                    </a:xfrm>
                    <a:prstGeom prst="rect"/>
                  </pic:spPr>
                </pic:pic>
              </a:graphicData>
            </a:graphic>
          </wp:inline>
        </w:drawing>
      </w:r>
    </w:p>
    <w:p>
      <w:pPr>
        <w:keepNext w:val="0"/>
        <w:spacing w:before="40" w:after="160"/>
        <w:jc w:val="center"/>
      </w:pPr>
      <w:r>
        <w:rPr>
          <w:rFonts w:ascii="Calibri" w:hAnsi="Calibri"/>
          <w:b w:val="0"/>
          <w:i/>
          <w:color w:val="404040"/>
          <w:sz w:val="18"/>
        </w:rPr>
        <w:t>Figura 3. Mapas de calor de la matriz de correlación de Pearson antes (Tarea 1.4) y después de los ajustes (Tarea 1.5).</w:t>
      </w:r>
    </w:p>
    <w:p>
      <w:pPr>
        <w:keepNext w:val="0"/>
        <w:spacing w:before="0" w:after="100"/>
        <w:jc w:val="both"/>
      </w:pPr>
      <w:r>
        <w:rPr>
          <w:rFonts w:ascii="Calibri" w:hAnsi="Calibri"/>
          <w:b w:val="0"/>
          <w:i w:val="0"/>
          <w:sz w:val="20"/>
        </w:rPr>
        <w:t>El paso al corpus homogéneo apenas modifica los coeficientes (cambios menores a 0.02), lo que indica que la diferencia en el número de horas de la Tarea 1.4 no alteraba los resultados de manera importante. La exclusión de atípicos, en cambio, tiene un efecto claro y en dos sentidos opuestos. La correlación del NO₂ con el NOx sube de 0.814 a 0.942 y la del CO de 0.806 a 0.909. En la Tarea 1.4 se observó que estas relaciones son cóncavas: en las concentraciones altas el NO₂ crece más despacio que el NOx y el CO, y los puntos quedan por debajo de la recta. Esos episodios son precisamente los que el criterio de Tukey identifica como atípicos, y al retirarlos la relación que queda es mucho más cercana a una recta. En el NO, el PM10 y el PM2.5 ocurre lo contrario: su correlación disminuye, porque una parte de ella se debía a unas cuantas horas con valores extremos simultáneos en ambas variables, que actuaban como puntos de alta palanca.</w:t>
      </w:r>
    </w:p>
    <w:p>
      <w:pPr>
        <w:keepNext/>
        <w:spacing w:before="140" w:after="60"/>
        <w:jc w:val="left"/>
      </w:pPr>
      <w:r>
        <w:rPr>
          <w:rFonts w:ascii="Calibri" w:hAnsi="Calibri"/>
          <w:b/>
          <w:i w:val="0"/>
          <w:color w:val="1F497D"/>
          <w:sz w:val="22"/>
        </w:rPr>
        <w:t>3.2 Gráficas de dispersión y rectas por el origen</w:t>
      </w:r>
    </w:p>
    <w:p>
      <w:pPr>
        <w:keepNext w:val="0"/>
        <w:spacing w:before="0" w:after="100"/>
        <w:jc w:val="both"/>
      </w:pPr>
      <w:r>
        <w:rPr>
          <w:rFonts w:ascii="Calibri" w:hAnsi="Calibri"/>
          <w:b w:val="0"/>
          <w:i w:val="0"/>
          <w:sz w:val="20"/>
        </w:rPr>
        <w:t>La Figura 4 presenta las gráficas de dispersión del corpus depurado con la recta que cruza por el origen (ámbar) y, como referencia, la recta con intercepto (gris punteada). La Tabla 4 reúne los estadísticos de ambos modelos.</w:t>
      </w:r>
    </w:p>
    <w:p>
      <w:pPr>
        <w:keepNext/>
        <w:jc w:val="center"/>
      </w:pPr>
      <w:r>
        <w:drawing>
          <wp:inline xmlns:a="http://schemas.openxmlformats.org/drawingml/2006/main" xmlns:pic="http://schemas.openxmlformats.org/drawingml/2006/picture">
            <wp:extent cx="5852160" cy="3767180"/>
            <wp:docPr id="5" name="Picture 5"/>
            <wp:cNvGraphicFramePr>
              <a:graphicFrameLocks noChangeAspect="1"/>
            </wp:cNvGraphicFramePr>
            <a:graphic>
              <a:graphicData uri="http://schemas.openxmlformats.org/drawingml/2006/picture">
                <pic:pic>
                  <pic:nvPicPr>
                    <pic:cNvPr id="0" name="dispersion_origen_no2.png"/>
                    <pic:cNvPicPr/>
                  </pic:nvPicPr>
                  <pic:blipFill>
                    <a:blip r:embed="rId12"/>
                    <a:stretch>
                      <a:fillRect/>
                    </a:stretch>
                  </pic:blipFill>
                  <pic:spPr>
                    <a:xfrm>
                      <a:off x="0" y="0"/>
                      <a:ext cx="5852160" cy="3767180"/>
                    </a:xfrm>
                    <a:prstGeom prst="rect"/>
                  </pic:spPr>
                </pic:pic>
              </a:graphicData>
            </a:graphic>
          </wp:inline>
        </w:drawing>
      </w:r>
    </w:p>
    <w:p>
      <w:pPr>
        <w:keepNext w:val="0"/>
        <w:spacing w:before="40" w:after="160"/>
        <w:jc w:val="center"/>
      </w:pPr>
      <w:r>
        <w:rPr>
          <w:rFonts w:ascii="Calibri" w:hAnsi="Calibri"/>
          <w:b w:val="0"/>
          <w:i/>
          <w:color w:val="404040"/>
          <w:sz w:val="18"/>
        </w:rPr>
        <w:t>Figura 4. Dispersión del NO₂ frente a cada contaminante con rectas de regresión que cruzan por el origen, corpus homogéneo sin atípicos (n = 1,882). El panel con borde ámbar corresponde a la correlación más alta.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3312"/>
            <w:shd w:val="clear" w:color="auto" w:fill="1F497D"/>
          </w:tcPr>
          <w:p>
            <w:pPr>
              <w:keepNext/>
              <w:jc w:val="center"/>
            </w:pPr>
            <w:r>
              <w:rPr>
                <w:rFonts w:ascii="Calibri" w:hAnsi="Calibri"/>
                <w:b/>
                <w:i w:val="0"/>
                <w:color w:val="FFFFFF"/>
                <w:sz w:val="18"/>
              </w:rPr>
              <w:t>Contaminante</w:t>
            </w:r>
          </w:p>
        </w:tc>
        <w:tc>
          <w:tcPr>
            <w:tcW w:type="dxa" w:w="864"/>
            <w:shd w:val="clear" w:color="auto" w:fill="1F497D"/>
          </w:tcPr>
          <w:p>
            <w:pPr>
              <w:keepNext/>
              <w:jc w:val="center"/>
            </w:pPr>
            <w:r>
              <w:rPr>
                <w:rFonts w:ascii="Calibri" w:hAnsi="Calibri"/>
                <w:b/>
                <w:i w:val="0"/>
                <w:color w:val="FFFFFF"/>
                <w:sz w:val="18"/>
              </w:rPr>
              <w:t>r</w:t>
            </w:r>
          </w:p>
        </w:tc>
        <w:tc>
          <w:tcPr>
            <w:tcW w:type="dxa" w:w="1152"/>
            <w:shd w:val="clear" w:color="auto" w:fill="1F497D"/>
          </w:tcPr>
          <w:p>
            <w:pPr>
              <w:keepNext/>
              <w:jc w:val="center"/>
            </w:pPr>
            <w:r>
              <w:rPr>
                <w:rFonts w:ascii="Calibri" w:hAnsi="Calibri"/>
                <w:b/>
                <w:i w:val="0"/>
                <w:color w:val="FFFFFF"/>
                <w:sz w:val="18"/>
              </w:rPr>
              <w:t>b (origen)</w:t>
            </w:r>
          </w:p>
        </w:tc>
        <w:tc>
          <w:tcPr>
            <w:tcW w:type="dxa" w:w="864"/>
            <w:shd w:val="clear" w:color="auto" w:fill="1F497D"/>
          </w:tcPr>
          <w:p>
            <w:pPr>
              <w:keepNext/>
              <w:jc w:val="center"/>
            </w:pPr>
            <w:r>
              <w:rPr>
                <w:rFonts w:ascii="Calibri" w:hAnsi="Calibri"/>
                <w:b/>
                <w:i w:val="0"/>
                <w:color w:val="FFFFFF"/>
                <w:sz w:val="18"/>
              </w:rPr>
              <w:t>R²₀</w:t>
            </w:r>
          </w:p>
        </w:tc>
        <w:tc>
          <w:tcPr>
            <w:tcW w:type="dxa" w:w="1440"/>
            <w:shd w:val="clear" w:color="auto" w:fill="1F497D"/>
          </w:tcPr>
          <w:p>
            <w:pPr>
              <w:keepNext/>
              <w:jc w:val="center"/>
            </w:pPr>
            <w:r>
              <w:rPr>
                <w:rFonts w:ascii="Calibri" w:hAnsi="Calibri"/>
                <w:b/>
                <w:i w:val="0"/>
                <w:color w:val="FFFFFF"/>
                <w:sz w:val="18"/>
              </w:rPr>
              <w:t>b₀ (intercepto)</w:t>
            </w:r>
          </w:p>
        </w:tc>
        <w:tc>
          <w:tcPr>
            <w:tcW w:type="dxa" w:w="1008"/>
            <w:shd w:val="clear" w:color="auto" w:fill="1F497D"/>
          </w:tcPr>
          <w:p>
            <w:pPr>
              <w:keepNext/>
              <w:jc w:val="center"/>
            </w:pPr>
            <w:r>
              <w:rPr>
                <w:rFonts w:ascii="Calibri" w:hAnsi="Calibri"/>
                <w:b/>
                <w:i w:val="0"/>
                <w:color w:val="FFFFFF"/>
                <w:sz w:val="18"/>
              </w:rPr>
              <w:t>b₁</w:t>
            </w:r>
          </w:p>
        </w:tc>
        <w:tc>
          <w:tcPr>
            <w:tcW w:type="dxa" w:w="864"/>
            <w:shd w:val="clear" w:color="auto" w:fill="1F497D"/>
          </w:tcPr>
          <w:p>
            <w:pPr>
              <w:keepNext/>
              <w:jc w:val="center"/>
            </w:pPr>
            <w:r>
              <w:rPr>
                <w:rFonts w:ascii="Calibri" w:hAnsi="Calibri"/>
                <w:b/>
                <w:i w:val="0"/>
                <w:color w:val="FFFFFF"/>
                <w:sz w:val="18"/>
              </w:rPr>
              <w:t>R²</w:t>
            </w:r>
          </w:p>
        </w:tc>
      </w:tr>
      <w:tr>
        <w:tc>
          <w:tcPr>
            <w:tcW w:type="dxa" w:w="3312"/>
            <w:shd w:val="clear" w:color="auto" w:fill="FCE4B8"/>
          </w:tcPr>
          <w:p>
            <w:pPr>
              <w:keepNext/>
              <w:jc w:val="left"/>
            </w:pPr>
            <w:r>
              <w:rPr>
                <w:rFonts w:ascii="Calibri" w:hAnsi="Calibri"/>
                <w:b/>
                <w:i w:val="0"/>
                <w:sz w:val="18"/>
              </w:rPr>
              <w:t>NOx (óxidos de nitrógeno)</w:t>
            </w:r>
          </w:p>
        </w:tc>
        <w:tc>
          <w:tcPr>
            <w:tcW w:type="dxa" w:w="864"/>
            <w:shd w:val="clear" w:color="auto" w:fill="FCE4B8"/>
          </w:tcPr>
          <w:p>
            <w:pPr>
              <w:keepNext/>
              <w:jc w:val="center"/>
            </w:pPr>
            <w:r>
              <w:rPr>
                <w:rFonts w:ascii="Calibri" w:hAnsi="Calibri"/>
                <w:b/>
                <w:i w:val="0"/>
                <w:sz w:val="18"/>
              </w:rPr>
              <w:t>+0.942</w:t>
            </w:r>
          </w:p>
        </w:tc>
        <w:tc>
          <w:tcPr>
            <w:tcW w:type="dxa" w:w="1152"/>
            <w:shd w:val="clear" w:color="auto" w:fill="FCE4B8"/>
          </w:tcPr>
          <w:p>
            <w:pPr>
              <w:keepNext/>
              <w:jc w:val="center"/>
            </w:pPr>
            <w:r>
              <w:rPr>
                <w:rFonts w:ascii="Calibri" w:hAnsi="Calibri"/>
                <w:b/>
                <w:i w:val="0"/>
                <w:sz w:val="18"/>
              </w:rPr>
              <w:t>0.7349</w:t>
            </w:r>
          </w:p>
        </w:tc>
        <w:tc>
          <w:tcPr>
            <w:tcW w:type="dxa" w:w="864"/>
            <w:shd w:val="clear" w:color="auto" w:fill="FCE4B8"/>
          </w:tcPr>
          <w:p>
            <w:pPr>
              <w:keepNext/>
              <w:jc w:val="center"/>
            </w:pPr>
            <w:r>
              <w:rPr>
                <w:rFonts w:ascii="Calibri" w:hAnsi="Calibri"/>
                <w:b/>
                <w:i w:val="0"/>
                <w:sz w:val="18"/>
              </w:rPr>
              <w:t>0.962</w:t>
            </w:r>
          </w:p>
        </w:tc>
        <w:tc>
          <w:tcPr>
            <w:tcW w:type="dxa" w:w="1440"/>
            <w:shd w:val="clear" w:color="auto" w:fill="FCE4B8"/>
          </w:tcPr>
          <w:p>
            <w:pPr>
              <w:keepNext/>
              <w:jc w:val="center"/>
            </w:pPr>
            <w:r>
              <w:rPr>
                <w:rFonts w:ascii="Calibri" w:hAnsi="Calibri"/>
                <w:b/>
                <w:i w:val="0"/>
                <w:sz w:val="18"/>
              </w:rPr>
              <w:t>+0.0023</w:t>
            </w:r>
          </w:p>
        </w:tc>
        <w:tc>
          <w:tcPr>
            <w:tcW w:type="dxa" w:w="1008"/>
            <w:shd w:val="clear" w:color="auto" w:fill="FCE4B8"/>
          </w:tcPr>
          <w:p>
            <w:pPr>
              <w:keepNext/>
              <w:jc w:val="center"/>
            </w:pPr>
            <w:r>
              <w:rPr>
                <w:rFonts w:ascii="Calibri" w:hAnsi="Calibri"/>
                <w:b/>
                <w:i w:val="0"/>
                <w:sz w:val="18"/>
              </w:rPr>
              <w:t>0.6649</w:t>
            </w:r>
          </w:p>
        </w:tc>
        <w:tc>
          <w:tcPr>
            <w:tcW w:type="dxa" w:w="864"/>
            <w:shd w:val="clear" w:color="auto" w:fill="FCE4B8"/>
          </w:tcPr>
          <w:p>
            <w:pPr>
              <w:keepNext/>
              <w:jc w:val="center"/>
            </w:pPr>
            <w:r>
              <w:rPr>
                <w:rFonts w:ascii="Calibri" w:hAnsi="Calibri"/>
                <w:b/>
                <w:i w:val="0"/>
                <w:sz w:val="18"/>
              </w:rPr>
              <w:t>0.888</w:t>
            </w:r>
          </w:p>
        </w:tc>
      </w:tr>
      <w:tr>
        <w:tc>
          <w:tcPr>
            <w:tcW w:type="dxa" w:w="3312"/>
            <w:shd w:val="clear" w:color="auto" w:fill="F2F2F2"/>
          </w:tcPr>
          <w:p>
            <w:pPr>
              <w:keepNext/>
              <w:jc w:val="left"/>
            </w:pPr>
            <w:r>
              <w:rPr>
                <w:rFonts w:ascii="Calibri" w:hAnsi="Calibri"/>
                <w:b w:val="0"/>
                <w:i w:val="0"/>
                <w:sz w:val="18"/>
              </w:rPr>
              <w:t>CO (monóxido de carbono)</w:t>
            </w:r>
          </w:p>
        </w:tc>
        <w:tc>
          <w:tcPr>
            <w:tcW w:type="dxa" w:w="864"/>
            <w:shd w:val="clear" w:color="auto" w:fill="F2F2F2"/>
          </w:tcPr>
          <w:p>
            <w:pPr>
              <w:keepNext/>
              <w:jc w:val="center"/>
            </w:pPr>
            <w:r>
              <w:rPr>
                <w:rFonts w:ascii="Calibri" w:hAnsi="Calibri"/>
                <w:b w:val="0"/>
                <w:i w:val="0"/>
                <w:sz w:val="18"/>
              </w:rPr>
              <w:t>+0.909</w:t>
            </w:r>
          </w:p>
        </w:tc>
        <w:tc>
          <w:tcPr>
            <w:tcW w:type="dxa" w:w="1152"/>
            <w:shd w:val="clear" w:color="auto" w:fill="F2F2F2"/>
          </w:tcPr>
          <w:p>
            <w:pPr>
              <w:keepNext/>
              <w:jc w:val="center"/>
            </w:pPr>
            <w:r>
              <w:rPr>
                <w:rFonts w:ascii="Calibri" w:hAnsi="Calibri"/>
                <w:b w:val="0"/>
                <w:i w:val="0"/>
                <w:sz w:val="18"/>
              </w:rPr>
              <w:t>0.02787</w:t>
            </w:r>
          </w:p>
        </w:tc>
        <w:tc>
          <w:tcPr>
            <w:tcW w:type="dxa" w:w="864"/>
            <w:shd w:val="clear" w:color="auto" w:fill="F2F2F2"/>
          </w:tcPr>
          <w:p>
            <w:pPr>
              <w:keepNext/>
              <w:jc w:val="center"/>
            </w:pPr>
            <w:r>
              <w:rPr>
                <w:rFonts w:ascii="Calibri" w:hAnsi="Calibri"/>
                <w:b w:val="0"/>
                <w:i w:val="0"/>
                <w:sz w:val="18"/>
              </w:rPr>
              <w:t>0.944</w:t>
            </w:r>
          </w:p>
        </w:tc>
        <w:tc>
          <w:tcPr>
            <w:tcW w:type="dxa" w:w="1440"/>
            <w:shd w:val="clear" w:color="auto" w:fill="F2F2F2"/>
          </w:tcPr>
          <w:p>
            <w:pPr>
              <w:keepNext/>
              <w:jc w:val="center"/>
            </w:pPr>
            <w:r>
              <w:rPr>
                <w:rFonts w:ascii="Calibri" w:hAnsi="Calibri"/>
                <w:b w:val="0"/>
                <w:i w:val="0"/>
                <w:sz w:val="18"/>
              </w:rPr>
              <w:t>-0.0029</w:t>
            </w:r>
          </w:p>
        </w:tc>
        <w:tc>
          <w:tcPr>
            <w:tcW w:type="dxa" w:w="1008"/>
            <w:shd w:val="clear" w:color="auto" w:fill="F2F2F2"/>
          </w:tcPr>
          <w:p>
            <w:pPr>
              <w:keepNext/>
              <w:jc w:val="center"/>
            </w:pPr>
            <w:r>
              <w:rPr>
                <w:rFonts w:ascii="Calibri" w:hAnsi="Calibri"/>
                <w:b w:val="0"/>
                <w:i w:val="0"/>
                <w:sz w:val="18"/>
              </w:rPr>
              <w:t>0.0315</w:t>
            </w:r>
          </w:p>
        </w:tc>
        <w:tc>
          <w:tcPr>
            <w:tcW w:type="dxa" w:w="864"/>
            <w:shd w:val="clear" w:color="auto" w:fill="F2F2F2"/>
          </w:tcPr>
          <w:p>
            <w:pPr>
              <w:keepNext/>
              <w:jc w:val="center"/>
            </w:pPr>
            <w:r>
              <w:rPr>
                <w:rFonts w:ascii="Calibri" w:hAnsi="Calibri"/>
                <w:b w:val="0"/>
                <w:i w:val="0"/>
                <w:sz w:val="18"/>
              </w:rPr>
              <w:t>0.826</w:t>
            </w:r>
          </w:p>
        </w:tc>
      </w:tr>
      <w:tr>
        <w:tc>
          <w:tcPr>
            <w:tcW w:type="dxa" w:w="3312"/>
            <w:shd w:val="clear" w:color="auto" w:fill="FFFFFF"/>
          </w:tcPr>
          <w:p>
            <w:pPr>
              <w:keepNext/>
              <w:jc w:val="left"/>
            </w:pPr>
            <w:r>
              <w:rPr>
                <w:rFonts w:ascii="Calibri" w:hAnsi="Calibri"/>
                <w:b w:val="0"/>
                <w:i w:val="0"/>
                <w:sz w:val="18"/>
              </w:rPr>
              <w:t>NO (monóxido de nitrógeno)</w:t>
            </w:r>
          </w:p>
        </w:tc>
        <w:tc>
          <w:tcPr>
            <w:tcW w:type="dxa" w:w="864"/>
            <w:shd w:val="clear" w:color="auto" w:fill="FFFFFF"/>
          </w:tcPr>
          <w:p>
            <w:pPr>
              <w:keepNext/>
              <w:jc w:val="center"/>
            </w:pPr>
            <w:r>
              <w:rPr>
                <w:rFonts w:ascii="Calibri" w:hAnsi="Calibri"/>
                <w:b w:val="0"/>
                <w:i w:val="0"/>
                <w:sz w:val="18"/>
              </w:rPr>
              <w:t>+0.578</w:t>
            </w:r>
          </w:p>
        </w:tc>
        <w:tc>
          <w:tcPr>
            <w:tcW w:type="dxa" w:w="1152"/>
            <w:shd w:val="clear" w:color="auto" w:fill="FFFFFF"/>
          </w:tcPr>
          <w:p>
            <w:pPr>
              <w:keepNext/>
              <w:jc w:val="center"/>
            </w:pPr>
            <w:r>
              <w:rPr>
                <w:rFonts w:ascii="Calibri" w:hAnsi="Calibri"/>
                <w:b w:val="0"/>
                <w:i w:val="0"/>
                <w:sz w:val="18"/>
              </w:rPr>
              <w:t>1.895</w:t>
            </w:r>
          </w:p>
        </w:tc>
        <w:tc>
          <w:tcPr>
            <w:tcW w:type="dxa" w:w="864"/>
            <w:shd w:val="clear" w:color="auto" w:fill="FFFFFF"/>
          </w:tcPr>
          <w:p>
            <w:pPr>
              <w:keepNext/>
              <w:jc w:val="center"/>
            </w:pPr>
            <w:r>
              <w:rPr>
                <w:rFonts w:ascii="Calibri" w:hAnsi="Calibri"/>
                <w:b w:val="0"/>
                <w:i w:val="0"/>
                <w:sz w:val="18"/>
              </w:rPr>
              <w:t>0.586</w:t>
            </w:r>
          </w:p>
        </w:tc>
        <w:tc>
          <w:tcPr>
            <w:tcW w:type="dxa" w:w="1440"/>
            <w:shd w:val="clear" w:color="auto" w:fill="FFFFFF"/>
          </w:tcPr>
          <w:p>
            <w:pPr>
              <w:keepNext/>
              <w:jc w:val="center"/>
            </w:pPr>
            <w:r>
              <w:rPr>
                <w:rFonts w:ascii="Calibri" w:hAnsi="Calibri"/>
                <w:b w:val="0"/>
                <w:i w:val="0"/>
                <w:sz w:val="18"/>
              </w:rPr>
              <w:t>+0.0121</w:t>
            </w:r>
          </w:p>
        </w:tc>
        <w:tc>
          <w:tcPr>
            <w:tcW w:type="dxa" w:w="1008"/>
            <w:shd w:val="clear" w:color="auto" w:fill="FFFFFF"/>
          </w:tcPr>
          <w:p>
            <w:pPr>
              <w:keepNext/>
              <w:jc w:val="center"/>
            </w:pPr>
            <w:r>
              <w:rPr>
                <w:rFonts w:ascii="Calibri" w:hAnsi="Calibri"/>
                <w:b w:val="0"/>
                <w:i w:val="0"/>
                <w:sz w:val="18"/>
              </w:rPr>
              <w:t>0.9939</w:t>
            </w:r>
          </w:p>
        </w:tc>
        <w:tc>
          <w:tcPr>
            <w:tcW w:type="dxa" w:w="864"/>
            <w:shd w:val="clear" w:color="auto" w:fill="FFFFFF"/>
          </w:tcPr>
          <w:p>
            <w:pPr>
              <w:keepNext/>
              <w:jc w:val="center"/>
            </w:pPr>
            <w:r>
              <w:rPr>
                <w:rFonts w:ascii="Calibri" w:hAnsi="Calibri"/>
                <w:b w:val="0"/>
                <w:i w:val="0"/>
                <w:sz w:val="18"/>
              </w:rPr>
              <w:t>0.334</w:t>
            </w:r>
          </w:p>
        </w:tc>
      </w:tr>
      <w:tr>
        <w:tc>
          <w:tcPr>
            <w:tcW w:type="dxa" w:w="3312"/>
            <w:shd w:val="clear" w:color="auto" w:fill="F2F2F2"/>
          </w:tcPr>
          <w:p>
            <w:pPr>
              <w:keepNext/>
              <w:jc w:val="left"/>
            </w:pPr>
            <w:r>
              <w:rPr>
                <w:rFonts w:ascii="Calibri" w:hAnsi="Calibri"/>
                <w:b w:val="0"/>
                <w:i w:val="0"/>
                <w:sz w:val="18"/>
              </w:rPr>
              <w:t>O₃ (ozono)</w:t>
            </w:r>
          </w:p>
        </w:tc>
        <w:tc>
          <w:tcPr>
            <w:tcW w:type="dxa" w:w="864"/>
            <w:shd w:val="clear" w:color="auto" w:fill="F2F2F2"/>
          </w:tcPr>
          <w:p>
            <w:pPr>
              <w:keepNext/>
              <w:jc w:val="center"/>
            </w:pPr>
            <w:r>
              <w:rPr>
                <w:rFonts w:ascii="Calibri" w:hAnsi="Calibri"/>
                <w:b w:val="0"/>
                <w:i w:val="0"/>
                <w:sz w:val="18"/>
              </w:rPr>
              <w:t>-0.523</w:t>
            </w:r>
          </w:p>
        </w:tc>
        <w:tc>
          <w:tcPr>
            <w:tcW w:type="dxa" w:w="1152"/>
            <w:shd w:val="clear" w:color="auto" w:fill="F2F2F2"/>
          </w:tcPr>
          <w:p>
            <w:pPr>
              <w:keepNext/>
              <w:jc w:val="center"/>
            </w:pPr>
            <w:r>
              <w:rPr>
                <w:rFonts w:ascii="Calibri" w:hAnsi="Calibri"/>
                <w:b w:val="0"/>
                <w:i w:val="0"/>
                <w:sz w:val="18"/>
              </w:rPr>
              <w:t>0.3338</w:t>
            </w:r>
          </w:p>
        </w:tc>
        <w:tc>
          <w:tcPr>
            <w:tcW w:type="dxa" w:w="864"/>
            <w:shd w:val="clear" w:color="auto" w:fill="F2F2F2"/>
          </w:tcPr>
          <w:p>
            <w:pPr>
              <w:keepNext/>
              <w:jc w:val="center"/>
            </w:pPr>
            <w:r>
              <w:rPr>
                <w:rFonts w:ascii="Calibri" w:hAnsi="Calibri"/>
                <w:b w:val="0"/>
                <w:i w:val="0"/>
                <w:sz w:val="18"/>
              </w:rPr>
              <w:t>0.264</w:t>
            </w:r>
          </w:p>
        </w:tc>
        <w:tc>
          <w:tcPr>
            <w:tcW w:type="dxa" w:w="1440"/>
            <w:shd w:val="clear" w:color="auto" w:fill="F2F2F2"/>
          </w:tcPr>
          <w:p>
            <w:pPr>
              <w:keepNext/>
              <w:jc w:val="center"/>
            </w:pPr>
            <w:r>
              <w:rPr>
                <w:rFonts w:ascii="Calibri" w:hAnsi="Calibri"/>
                <w:b w:val="0"/>
                <w:i w:val="0"/>
                <w:sz w:val="18"/>
              </w:rPr>
              <w:t>+0.0253</w:t>
            </w:r>
          </w:p>
        </w:tc>
        <w:tc>
          <w:tcPr>
            <w:tcW w:type="dxa" w:w="1008"/>
            <w:shd w:val="clear" w:color="auto" w:fill="F2F2F2"/>
          </w:tcPr>
          <w:p>
            <w:pPr>
              <w:keepNext/>
              <w:jc w:val="center"/>
            </w:pPr>
            <w:r>
              <w:rPr>
                <w:rFonts w:ascii="Calibri" w:hAnsi="Calibri"/>
                <w:b w:val="0"/>
                <w:i w:val="0"/>
                <w:sz w:val="18"/>
              </w:rPr>
              <w:t>-0.3185</w:t>
            </w:r>
          </w:p>
        </w:tc>
        <w:tc>
          <w:tcPr>
            <w:tcW w:type="dxa" w:w="864"/>
            <w:shd w:val="clear" w:color="auto" w:fill="F2F2F2"/>
          </w:tcPr>
          <w:p>
            <w:pPr>
              <w:keepNext/>
              <w:jc w:val="center"/>
            </w:pPr>
            <w:r>
              <w:rPr>
                <w:rFonts w:ascii="Calibri" w:hAnsi="Calibri"/>
                <w:b w:val="0"/>
                <w:i w:val="0"/>
                <w:sz w:val="18"/>
              </w:rPr>
              <w:t>0.273</w:t>
            </w:r>
          </w:p>
        </w:tc>
      </w:tr>
      <w:tr>
        <w:tc>
          <w:tcPr>
            <w:tcW w:type="dxa" w:w="3312"/>
            <w:shd w:val="clear" w:color="auto" w:fill="FFFFFF"/>
          </w:tcPr>
          <w:p>
            <w:pPr>
              <w:keepNext/>
              <w:jc w:val="left"/>
            </w:pPr>
            <w:r>
              <w:rPr>
                <w:rFonts w:ascii="Calibri" w:hAnsi="Calibri"/>
                <w:b w:val="0"/>
                <w:i w:val="0"/>
                <w:sz w:val="18"/>
              </w:rPr>
              <w:t>PM10 (partículas &lt; 10 µm)</w:t>
            </w:r>
          </w:p>
        </w:tc>
        <w:tc>
          <w:tcPr>
            <w:tcW w:type="dxa" w:w="864"/>
            <w:shd w:val="clear" w:color="auto" w:fill="FFFFFF"/>
          </w:tcPr>
          <w:p>
            <w:pPr>
              <w:keepNext/>
              <w:jc w:val="center"/>
            </w:pPr>
            <w:r>
              <w:rPr>
                <w:rFonts w:ascii="Calibri" w:hAnsi="Calibri"/>
                <w:b w:val="0"/>
                <w:i w:val="0"/>
                <w:sz w:val="18"/>
              </w:rPr>
              <w:t>+0.500</w:t>
            </w:r>
          </w:p>
        </w:tc>
        <w:tc>
          <w:tcPr>
            <w:tcW w:type="dxa" w:w="1152"/>
            <w:shd w:val="clear" w:color="auto" w:fill="FFFFFF"/>
          </w:tcPr>
          <w:p>
            <w:pPr>
              <w:keepNext/>
              <w:jc w:val="center"/>
            </w:pPr>
            <w:r>
              <w:rPr>
                <w:rFonts w:ascii="Calibri" w:hAnsi="Calibri"/>
                <w:b w:val="0"/>
                <w:i w:val="0"/>
                <w:sz w:val="18"/>
              </w:rPr>
              <w:t>0.0004607</w:t>
            </w:r>
          </w:p>
        </w:tc>
        <w:tc>
          <w:tcPr>
            <w:tcW w:type="dxa" w:w="864"/>
            <w:shd w:val="clear" w:color="auto" w:fill="FFFFFF"/>
          </w:tcPr>
          <w:p>
            <w:pPr>
              <w:keepNext/>
              <w:jc w:val="center"/>
            </w:pPr>
            <w:r>
              <w:rPr>
                <w:rFonts w:ascii="Calibri" w:hAnsi="Calibri"/>
                <w:b w:val="0"/>
                <w:i w:val="0"/>
                <w:sz w:val="18"/>
              </w:rPr>
              <w:t>0.744</w:t>
            </w:r>
          </w:p>
        </w:tc>
        <w:tc>
          <w:tcPr>
            <w:tcW w:type="dxa" w:w="1440"/>
            <w:shd w:val="clear" w:color="auto" w:fill="FFFFFF"/>
          </w:tcPr>
          <w:p>
            <w:pPr>
              <w:keepNext/>
              <w:jc w:val="center"/>
            </w:pPr>
            <w:r>
              <w:rPr>
                <w:rFonts w:ascii="Calibri" w:hAnsi="Calibri"/>
                <w:b w:val="0"/>
                <w:i w:val="0"/>
                <w:sz w:val="18"/>
              </w:rPr>
              <w:t>+0.0074</w:t>
            </w:r>
          </w:p>
        </w:tc>
        <w:tc>
          <w:tcPr>
            <w:tcW w:type="dxa" w:w="1008"/>
            <w:shd w:val="clear" w:color="auto" w:fill="FFFFFF"/>
          </w:tcPr>
          <w:p>
            <w:pPr>
              <w:keepNext/>
              <w:jc w:val="center"/>
            </w:pPr>
            <w:r>
              <w:rPr>
                <w:rFonts w:ascii="Calibri" w:hAnsi="Calibri"/>
                <w:b w:val="0"/>
                <w:i w:val="0"/>
                <w:sz w:val="18"/>
              </w:rPr>
              <w:t>0.0002942</w:t>
            </w:r>
          </w:p>
        </w:tc>
        <w:tc>
          <w:tcPr>
            <w:tcW w:type="dxa" w:w="864"/>
            <w:shd w:val="clear" w:color="auto" w:fill="FFFFFF"/>
          </w:tcPr>
          <w:p>
            <w:pPr>
              <w:keepNext/>
              <w:jc w:val="center"/>
            </w:pPr>
            <w:r>
              <w:rPr>
                <w:rFonts w:ascii="Calibri" w:hAnsi="Calibri"/>
                <w:b w:val="0"/>
                <w:i w:val="0"/>
                <w:sz w:val="18"/>
              </w:rPr>
              <w:t>0.250</w:t>
            </w:r>
          </w:p>
        </w:tc>
      </w:tr>
      <w:tr>
        <w:tc>
          <w:tcPr>
            <w:tcW w:type="dxa" w:w="3312"/>
            <w:shd w:val="clear" w:color="auto" w:fill="F2F2F2"/>
          </w:tcPr>
          <w:p>
            <w:pPr>
              <w:keepNext/>
              <w:jc w:val="left"/>
            </w:pPr>
            <w:r>
              <w:rPr>
                <w:rFonts w:ascii="Calibri" w:hAnsi="Calibri"/>
                <w:b w:val="0"/>
                <w:i w:val="0"/>
                <w:sz w:val="18"/>
              </w:rPr>
              <w:t>PM2.5 (partículas &lt; 2.5 µm)</w:t>
            </w:r>
          </w:p>
        </w:tc>
        <w:tc>
          <w:tcPr>
            <w:tcW w:type="dxa" w:w="864"/>
            <w:shd w:val="clear" w:color="auto" w:fill="F2F2F2"/>
          </w:tcPr>
          <w:p>
            <w:pPr>
              <w:keepNext/>
              <w:jc w:val="center"/>
            </w:pPr>
            <w:r>
              <w:rPr>
                <w:rFonts w:ascii="Calibri" w:hAnsi="Calibri"/>
                <w:b w:val="0"/>
                <w:i w:val="0"/>
                <w:sz w:val="18"/>
              </w:rPr>
              <w:t>+0.438</w:t>
            </w:r>
          </w:p>
        </w:tc>
        <w:tc>
          <w:tcPr>
            <w:tcW w:type="dxa" w:w="1152"/>
            <w:shd w:val="clear" w:color="auto" w:fill="F2F2F2"/>
          </w:tcPr>
          <w:p>
            <w:pPr>
              <w:keepNext/>
              <w:jc w:val="center"/>
            </w:pPr>
            <w:r>
              <w:rPr>
                <w:rFonts w:ascii="Calibri" w:hAnsi="Calibri"/>
                <w:b w:val="0"/>
                <w:i w:val="0"/>
                <w:sz w:val="18"/>
              </w:rPr>
              <w:t>0.001109</w:t>
            </w:r>
          </w:p>
        </w:tc>
        <w:tc>
          <w:tcPr>
            <w:tcW w:type="dxa" w:w="864"/>
            <w:shd w:val="clear" w:color="auto" w:fill="F2F2F2"/>
          </w:tcPr>
          <w:p>
            <w:pPr>
              <w:keepNext/>
              <w:jc w:val="center"/>
            </w:pPr>
            <w:r>
              <w:rPr>
                <w:rFonts w:ascii="Calibri" w:hAnsi="Calibri"/>
                <w:b w:val="0"/>
                <w:i w:val="0"/>
                <w:sz w:val="18"/>
              </w:rPr>
              <w:t>0.694</w:t>
            </w:r>
          </w:p>
        </w:tc>
        <w:tc>
          <w:tcPr>
            <w:tcW w:type="dxa" w:w="1440"/>
            <w:shd w:val="clear" w:color="auto" w:fill="F2F2F2"/>
          </w:tcPr>
          <w:p>
            <w:pPr>
              <w:keepNext/>
              <w:jc w:val="center"/>
            </w:pPr>
            <w:r>
              <w:rPr>
                <w:rFonts w:ascii="Calibri" w:hAnsi="Calibri"/>
                <w:b w:val="0"/>
                <w:i w:val="0"/>
                <w:sz w:val="18"/>
              </w:rPr>
              <w:t>+0.0096</w:t>
            </w:r>
          </w:p>
        </w:tc>
        <w:tc>
          <w:tcPr>
            <w:tcW w:type="dxa" w:w="1008"/>
            <w:shd w:val="clear" w:color="auto" w:fill="F2F2F2"/>
          </w:tcPr>
          <w:p>
            <w:pPr>
              <w:keepNext/>
              <w:jc w:val="center"/>
            </w:pPr>
            <w:r>
              <w:rPr>
                <w:rFonts w:ascii="Calibri" w:hAnsi="Calibri"/>
                <w:b w:val="0"/>
                <w:i w:val="0"/>
                <w:sz w:val="18"/>
              </w:rPr>
              <w:t>0.0005874</w:t>
            </w:r>
          </w:p>
        </w:tc>
        <w:tc>
          <w:tcPr>
            <w:tcW w:type="dxa" w:w="864"/>
            <w:shd w:val="clear" w:color="auto" w:fill="F2F2F2"/>
          </w:tcPr>
          <w:p>
            <w:pPr>
              <w:keepNext/>
              <w:jc w:val="center"/>
            </w:pPr>
            <w:r>
              <w:rPr>
                <w:rFonts w:ascii="Calibri" w:hAnsi="Calibri"/>
                <w:b w:val="0"/>
                <w:i w:val="0"/>
                <w:sz w:val="18"/>
              </w:rPr>
              <w:t>0.192</w:t>
            </w:r>
          </w:p>
        </w:tc>
      </w:tr>
    </w:tbl>
    <w:p>
      <w:pPr>
        <w:keepNext w:val="0"/>
        <w:spacing w:before="40" w:after="160"/>
        <w:jc w:val="center"/>
      </w:pPr>
      <w:r>
        <w:rPr>
          <w:rFonts w:ascii="Calibri" w:hAnsi="Calibri"/>
          <w:b w:val="0"/>
          <w:i/>
          <w:color w:val="404040"/>
          <w:sz w:val="18"/>
        </w:rPr>
        <w:t>Tabla 4. Regresión por el origen y regresión con intercepto del NO₂ sobre cada contaminante, corpus homogéneo sin atípicos.</w:t>
      </w:r>
    </w:p>
    <w:p>
      <w:pPr>
        <w:keepNext w:val="0"/>
        <w:spacing w:before="0" w:after="100"/>
        <w:jc w:val="both"/>
      </w:pPr>
      <w:r>
        <w:rPr>
          <w:rFonts w:ascii="Calibri" w:hAnsi="Calibri"/>
          <w:b w:val="0"/>
          <w:i w:val="0"/>
          <w:sz w:val="20"/>
        </w:rPr>
        <w:t>En el NOx y el CO las dos rectas casi se superponen y el intercepto estimado es muy cercano a cero (+0.0023 y -0.0029 ppm), de modo que la restricción de pasar por el origen es coherente con los datos y casi no cuesta ajuste. La pendiente del NOx (b = 0.735) indica que, en el corpus depurado, el NO₂ representa alrededor de 73.5 % del NOx medido, y la del CO (b = 0.0279) que por cada ppm de CO se observan, en promedio, 27.9 ppb de NO₂.</w:t>
      </w:r>
    </w:p>
    <w:p>
      <w:pPr>
        <w:keepNext w:val="0"/>
        <w:spacing w:before="0" w:after="100"/>
        <w:jc w:val="both"/>
      </w:pPr>
      <w:r>
        <w:rPr>
          <w:rFonts w:ascii="Calibri" w:hAnsi="Calibri"/>
          <w:b w:val="0"/>
          <w:i w:val="0"/>
          <w:sz w:val="20"/>
        </w:rPr>
        <w:t>En el resto de los contaminantes la recta por el origen se separa claramente de la recta con intercepto. El caso más ilustrativo es el O₃: su correlación con el NO₂ es negativa (r = -0.523), pero la recta forzada al origen tiene pendiente positiva (b = 0.334), porque la única forma de acercarse a la nube partiendo de (0, 0) es subir hacia ella. En este caso la restricción contradice la relación observada, lo que confirma que el O₃ no responde a la misma fuente que el NO₂ sino a su consumo fotoquímico. Los R²₀ de estas variables son engañosamente altos: calculado respecto a la media, el ajuste de la recta por el origen resulta peor que una línea horizontal en el NO, el O₃ y el PM2.5, ejemplo de por qué el R²₀ no sirve para comparar contaminantes.</w:t>
      </w:r>
    </w:p>
    <w:p>
      <w:pPr>
        <w:keepNext/>
        <w:spacing w:before="140" w:after="60"/>
        <w:jc w:val="left"/>
      </w:pPr>
      <w:r>
        <w:rPr>
          <w:rFonts w:ascii="Calibri" w:hAnsi="Calibri"/>
          <w:b/>
          <w:i w:val="0"/>
          <w:color w:val="1F497D"/>
          <w:sz w:val="22"/>
        </w:rPr>
        <w:t>3.3 Dispersión y distribución del NOx y el CO</w:t>
      </w:r>
    </w:p>
    <w:p>
      <w:pPr>
        <w:keepNext/>
        <w:spacing w:before="0" w:after="100"/>
        <w:jc w:val="both"/>
      </w:pPr>
      <w:r>
        <w:rPr>
          <w:rFonts w:ascii="Calibri" w:hAnsi="Calibri"/>
          <w:b w:val="0"/>
          <w:i w:val="0"/>
          <w:sz w:val="20"/>
        </w:rPr>
        <w:t>La Figura 5 combina la gráfica de dispersión con los diagramas de caja de cada eje, como se vio en la sesión 7, para los dos contaminantes con mayor correlación. Las horas excluidas por atípicas aparecen en rojo.</w:t>
      </w:r>
    </w:p>
    <w:p>
      <w:pPr>
        <w:keepNext/>
        <w:jc w:val="center"/>
      </w:pPr>
      <w:r>
        <w:drawing>
          <wp:inline xmlns:a="http://schemas.openxmlformats.org/drawingml/2006/main" xmlns:pic="http://schemas.openxmlformats.org/drawingml/2006/picture">
            <wp:extent cx="6035040" cy="3119428"/>
            <wp:docPr id="6" name="Picture 6"/>
            <wp:cNvGraphicFramePr>
              <a:graphicFrameLocks noChangeAspect="1"/>
            </wp:cNvGraphicFramePr>
            <a:graphic>
              <a:graphicData uri="http://schemas.openxmlformats.org/drawingml/2006/picture">
                <pic:pic>
                  <pic:nvPicPr>
                    <pic:cNvPr id="0" name="dispersion_distribucion_nox_co.png"/>
                    <pic:cNvPicPr/>
                  </pic:nvPicPr>
                  <pic:blipFill>
                    <a:blip r:embed="rId13"/>
                    <a:stretch>
                      <a:fillRect/>
                    </a:stretch>
                  </pic:blipFill>
                  <pic:spPr>
                    <a:xfrm>
                      <a:off x="0" y="0"/>
                      <a:ext cx="6035040" cy="3119428"/>
                    </a:xfrm>
                    <a:prstGeom prst="rect"/>
                  </pic:spPr>
                </pic:pic>
              </a:graphicData>
            </a:graphic>
          </wp:inline>
        </w:drawing>
      </w:r>
    </w:p>
    <w:p>
      <w:pPr>
        <w:keepNext w:val="0"/>
        <w:spacing w:before="40" w:after="160"/>
        <w:jc w:val="center"/>
      </w:pPr>
      <w:r>
        <w:rPr>
          <w:rFonts w:ascii="Calibri" w:hAnsi="Calibri"/>
          <w:b w:val="0"/>
          <w:i/>
          <w:color w:val="404040"/>
          <w:sz w:val="18"/>
        </w:rPr>
        <w:t>Figura 5. Dispersión del NO₂ frente al NOx y al CO con diagramas de caja marginales, corpus homogéneo. En rojo, las horas excluidas por atípicas; la recta se ajustó solo con las horas conservadas.</w:t>
      </w:r>
    </w:p>
    <w:p>
      <w:pPr>
        <w:keepNext w:val="0"/>
        <w:spacing w:before="0" w:after="100"/>
        <w:jc w:val="both"/>
      </w:pPr>
      <w:r>
        <w:rPr>
          <w:rFonts w:ascii="Calibri" w:hAnsi="Calibri"/>
          <w:b w:val="0"/>
          <w:i w:val="0"/>
          <w:sz w:val="20"/>
        </w:rPr>
        <w:t>Los diagramas de caja muestran que las tres variables tienen una cola larga hacia los valores altos. Las horas excluidas se ubican en esa cola y forman la zona donde la nube se abre y se curva; las horas conservadas siguen una banda estrecha y casi recta que nace en el origen, sobre todo en el caso del NOx. Esta forma explica el aumento de r tras la depuración y confirma visualmente que la recta por el origen es una buena descripción de la relación en el rango habitual de concentraciones.</w:t>
      </w:r>
    </w:p>
    <w:p>
      <w:pPr>
        <w:keepNext/>
        <w:spacing w:before="200" w:after="60"/>
        <w:jc w:val="left"/>
      </w:pPr>
      <w:r>
        <w:rPr>
          <w:rFonts w:ascii="Calibri" w:hAnsi="Calibri"/>
          <w:b/>
          <w:i w:val="0"/>
          <w:color w:val="1F497D"/>
          <w:sz w:val="26"/>
        </w:rPr>
        <w:t>4. Conclusiones</w:t>
      </w:r>
    </w:p>
    <w:p>
      <w:pPr>
        <w:keepNext w:val="0"/>
        <w:spacing w:before="0" w:after="100"/>
        <w:jc w:val="both"/>
      </w:pPr>
      <w:r>
        <w:rPr>
          <w:rFonts w:ascii="Calibri" w:hAnsi="Calibri"/>
          <w:b w:val="0"/>
          <w:i w:val="0"/>
          <w:sz w:val="20"/>
        </w:rPr>
        <w:t>Después de homogeneizar el corpus, excluir los valores atípicos y ajustar rectas que cruzan por el origen, el contaminante con el mayor coeficiente de correlación lineal con el NO₂ sigue siendo el NOx (r = 0.942, frente a 0.814 en la Tarea 1.4). Como se señaló en la tarea anterior, este resultado debe leerse con cautela, porque el NOx se obtiene como la suma de NO y NO₂ y, por lo tanto, contiene a la variable con la que se compara.</w:t>
      </w:r>
    </w:p>
    <w:p>
      <w:pPr>
        <w:keepNext w:val="0"/>
        <w:spacing w:before="0" w:after="100"/>
        <w:jc w:val="both"/>
      </w:pPr>
      <w:r>
        <w:rPr>
          <w:rFonts w:ascii="Calibri" w:hAnsi="Calibri"/>
          <w:b w:val="0"/>
          <w:i w:val="0"/>
          <w:sz w:val="20"/>
        </w:rPr>
        <w:t>Entre los contaminantes que no incluyen al NO₂ en su cálculo, el de mayor correlación es el CO (r = 0.909), cuya relación con el NO₂ también se fortalece con los ajustes y queda bien descrita por una recta que cruza por el origen (b = 0.0279, intercepto libre de -0.0029 ppm). Ambos contaminantes provienen sobre todo de la combustión vehicular, lo que explica que crezcan de manera proporcional. El O₃ conserva una relación inversa (r = -0.523) y, junto con el NO y las partículas, queda muy por debajo de los dos anteriores.</w:t>
      </w:r>
    </w:p>
    <w:p>
      <w:pPr>
        <w:keepNext w:val="0"/>
        <w:spacing w:before="0" w:after="100"/>
        <w:jc w:val="both"/>
      </w:pPr>
      <w:r>
        <w:rPr>
          <w:rFonts w:ascii="Calibri" w:hAnsi="Calibri"/>
          <w:b w:val="0"/>
          <w:i w:val="0"/>
          <w:sz w:val="20"/>
        </w:rPr>
        <w:t>Los ajustes también muestran que los resultados de la Tarea 1.4 estaban influidos por los valores extremos: en el NOx y el CO ocultaban parte de la relación lineal, mientras que en el NO y las partículas la inflaban. Por último, la recta por el origen solo es adecuada cuando el intercepto libre es cercano a cero, como ocurre con el NOx y el CO; para el O₃ la restricción produce una pendiente con el signo equivocado. En todos los casos se trata de asociaciones estadísticas, que por sí mismas no establecen relaciones de causalidad.</w:t>
      </w:r>
    </w:p>
    <w:p>
      <w:pPr>
        <w:keepNext/>
        <w:spacing w:before="200" w:after="60"/>
        <w:jc w:val="left"/>
      </w:pPr>
      <w:r>
        <w:rPr>
          <w:rFonts w:ascii="Calibri" w:hAnsi="Calibri"/>
          <w:b/>
          <w:i w:val="0"/>
          <w:color w:val="1F497D"/>
          <w:sz w:val="26"/>
        </w:rPr>
        <w:t>Referencias</w:t>
      </w:r>
    </w:p>
    <w:p>
      <w:pPr>
        <w:spacing w:after="120"/>
        <w:ind w:left="720" w:hanging="720"/>
        <w:jc w:val="both"/>
      </w:pPr>
      <w:r>
        <w:rPr>
          <w:rFonts w:ascii="Calibri" w:hAnsi="Calibri"/>
          <w:b w:val="0"/>
          <w:i w:val="0"/>
          <w:sz w:val="20"/>
        </w:rPr>
        <w:t>Montgomery, D. C., Peck, E. A., &amp; Vining, G. G. (2021). Introduction to linear regression analysis (6.ª ed.). Wiley.</w:t>
      </w:r>
    </w:p>
    <w:p>
      <w:pPr>
        <w:spacing w:after="120"/>
        <w:ind w:left="720" w:hanging="720"/>
        <w:jc w:val="both"/>
      </w:pPr>
      <w:r>
        <w:rPr>
          <w:rFonts w:ascii="Calibri" w:hAnsi="Calibri"/>
          <w:b w:val="0"/>
          <w:i w:val="0"/>
          <w:sz w:val="20"/>
        </w:rPr>
        <w:t>Ruiz Chávez, C. F. (2026). Visualización de grandes bases de datos: Sesión 7 [Diapositivas de clase]. Maestría en Ciencia de los Datos, Centro Universitario de Ciencias Económico Administrativas, Universidad de Guadalajara.</w:t>
      </w:r>
    </w:p>
    <w:p>
      <w:pPr>
        <w:spacing w:after="120"/>
        <w:ind w:left="720" w:hanging="720"/>
        <w:jc w:val="both"/>
      </w:pPr>
      <w:r>
        <w:rPr>
          <w:rFonts w:ascii="Calibri" w:hAnsi="Calibri"/>
          <w:b w:val="0"/>
          <w:i w:val="0"/>
          <w:sz w:val="20"/>
        </w:rPr>
        <w:t>Secretaría de Medio Ambiente y Desarrollo Territorial. (2024). Sistema de Monitoreo Atmosférico de Jalisco (SIMAJ): base de datos de calidad del aire 2024. Gobierno del Estado de Jalisco. https://siga.jalisco.gob.mx/aire/</w:t>
      </w:r>
    </w:p>
    <w:p>
      <w:pPr>
        <w:spacing w:after="120"/>
        <w:ind w:left="720" w:hanging="720"/>
        <w:jc w:val="both"/>
      </w:pPr>
      <w:r>
        <w:rPr>
          <w:rFonts w:ascii="Calibri" w:hAnsi="Calibri"/>
          <w:b w:val="0"/>
          <w:i w:val="0"/>
          <w:sz w:val="20"/>
        </w:rPr>
        <w:t>Seinfeld, J. H., &amp; Pandis, S. N. (2016). Atmospheric chemistry and physics: From air pollution to climate change (3.ª ed.). Wiley.</w:t>
      </w:r>
    </w:p>
    <w:p>
      <w:pPr>
        <w:spacing w:after="120"/>
        <w:ind w:left="720" w:hanging="720"/>
        <w:jc w:val="both"/>
      </w:pPr>
      <w:r>
        <w:rPr>
          <w:rFonts w:ascii="Calibri" w:hAnsi="Calibri"/>
          <w:b w:val="0"/>
          <w:i w:val="0"/>
          <w:sz w:val="20"/>
        </w:rPr>
        <w:t>Tukey, J. W. (1977). Exploratory data analysis. Addison-Wesley.</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