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0" w:type="auto"/>
        <w:tblLook w:val="04A0" w:firstRow="1" w:lastRow="0" w:firstColumn="1" w:lastColumn="0" w:noHBand="0" w:noVBand="1"/>
      </w:tblPr>
      <w:tblGrid>
        <w:gridCol w:w="1540"/>
        <w:gridCol w:w="8540"/>
      </w:tblGrid>
      <w:tr w:rsidR="00AF3200" w:rsidRPr="00007695" w14:paraId="5867A577" w14:textId="77777777">
        <w:tc>
          <w:tcPr>
            <w:tcW w:w="1300" w:type="dxa"/>
            <w:vAlign w:val="center"/>
          </w:tcPr>
          <w:p w14:paraId="46E4EC4F" w14:textId="77777777" w:rsidR="00AF3200" w:rsidRDefault="00000000">
            <w:pPr>
              <w:jc w:val="center"/>
            </w:pPr>
            <w:r>
              <w:rPr>
                <w:noProof/>
              </w:rPr>
              <w:drawing>
                <wp:inline distT="0" distB="0" distL="0" distR="0" wp14:anchorId="1C3858B4" wp14:editId="38AFACCF">
                  <wp:extent cx="841248" cy="841248"/>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ogo_udeg_flat.png"/>
                          <pic:cNvPicPr/>
                        </pic:nvPicPr>
                        <pic:blipFill>
                          <a:blip r:embed="rId6"/>
                          <a:stretch>
                            <a:fillRect/>
                          </a:stretch>
                        </pic:blipFill>
                        <pic:spPr>
                          <a:xfrm>
                            <a:off x="0" y="0"/>
                            <a:ext cx="841248" cy="841248"/>
                          </a:xfrm>
                          <a:prstGeom prst="rect">
                            <a:avLst/>
                          </a:prstGeom>
                        </pic:spPr>
                      </pic:pic>
                    </a:graphicData>
                  </a:graphic>
                </wp:inline>
              </w:drawing>
            </w:r>
          </w:p>
        </w:tc>
        <w:tc>
          <w:tcPr>
            <w:tcW w:w="8780" w:type="dxa"/>
            <w:vAlign w:val="center"/>
          </w:tcPr>
          <w:p w14:paraId="574A5EC0" w14:textId="77777777" w:rsidR="00AF3200" w:rsidRPr="00007695" w:rsidRDefault="00000000">
            <w:pPr>
              <w:spacing w:before="20" w:after="20"/>
              <w:rPr>
                <w:lang w:val="es-MX"/>
              </w:rPr>
            </w:pPr>
            <w:r w:rsidRPr="00007695">
              <w:rPr>
                <w:b/>
                <w:color w:val="1A237E"/>
                <w:sz w:val="24"/>
                <w:lang w:val="es-MX"/>
              </w:rPr>
              <w:t>Universidad de Guadalajara</w:t>
            </w:r>
          </w:p>
          <w:p w14:paraId="5B21D399" w14:textId="77777777" w:rsidR="00AF3200" w:rsidRPr="00007695" w:rsidRDefault="00000000">
            <w:pPr>
              <w:spacing w:before="20" w:after="20"/>
              <w:rPr>
                <w:lang w:val="es-MX"/>
              </w:rPr>
            </w:pPr>
            <w:r w:rsidRPr="00007695">
              <w:rPr>
                <w:color w:val="1A237E"/>
                <w:lang w:val="es-MX"/>
              </w:rPr>
              <w:t>Centro Universitario de Ciencias Económico-Administrativas</w:t>
            </w:r>
          </w:p>
          <w:p w14:paraId="3BBF8B58" w14:textId="4C7E1FC1" w:rsidR="00AF3200" w:rsidRPr="00007695" w:rsidRDefault="00000000">
            <w:pPr>
              <w:spacing w:before="20" w:after="20"/>
              <w:rPr>
                <w:lang w:val="es-MX"/>
              </w:rPr>
            </w:pPr>
            <w:r w:rsidRPr="00007695">
              <w:rPr>
                <w:color w:val="1A237E"/>
                <w:lang w:val="es-MX"/>
              </w:rPr>
              <w:t>Maestría en Ciencias de los Datos | 3er Semestre</w:t>
            </w:r>
          </w:p>
          <w:p w14:paraId="3E5184FD" w14:textId="77777777" w:rsidR="00AF3200" w:rsidRPr="00007695" w:rsidRDefault="00000000">
            <w:pPr>
              <w:spacing w:before="20" w:after="20"/>
              <w:rPr>
                <w:lang w:val="es-MX"/>
              </w:rPr>
            </w:pPr>
            <w:r w:rsidRPr="00007695">
              <w:rPr>
                <w:color w:val="1A237E"/>
                <w:lang w:val="es-MX"/>
              </w:rPr>
              <w:t>Materia: Visualización de Grandes Bases de Datos</w:t>
            </w:r>
          </w:p>
        </w:tc>
      </w:tr>
    </w:tbl>
    <w:p w14:paraId="73B1CDEB" w14:textId="77777777" w:rsidR="00007695" w:rsidRDefault="00007695">
      <w:pPr>
        <w:pBdr>
          <w:bottom w:val="single" w:sz="6" w:space="1" w:color="F9A825"/>
        </w:pBdr>
        <w:spacing w:before="40" w:after="40"/>
        <w:rPr>
          <w:lang w:val="es-MX"/>
        </w:rPr>
      </w:pPr>
    </w:p>
    <w:p w14:paraId="36EECCA9" w14:textId="0811316B" w:rsidR="00007695" w:rsidRPr="00007695" w:rsidRDefault="00007695" w:rsidP="00007695">
      <w:pPr>
        <w:pBdr>
          <w:bottom w:val="single" w:sz="18" w:space="1" w:color="1A237E"/>
        </w:pBdr>
        <w:spacing w:before="80" w:after="40"/>
        <w:jc w:val="center"/>
        <w:rPr>
          <w:b/>
          <w:color w:val="1A237E"/>
          <w:sz w:val="30"/>
          <w:lang w:val="es-MX"/>
        </w:rPr>
      </w:pPr>
      <w:r>
        <w:rPr>
          <w:rFonts w:ascii="Calibri" w:hAnsi="Calibri"/>
          <w:b/>
          <w:color w:val="1F497D"/>
          <w:sz w:val="26"/>
        </w:rPr>
        <w:t>Tarea 1.5. Ajustes a la correlación lineal con el NO₂</w:t>
        <w:br/>
        <w:t>Estación de monitoreo Centro, Zona Metropolitana de Guadalajara, 2024</w:t>
      </w:r>
    </w:p>
    <w:p w14:paraId="56346EEE" w14:textId="77777777" w:rsidR="00007695" w:rsidRPr="00007695" w:rsidRDefault="00007695">
      <w:pPr>
        <w:pBdr>
          <w:bottom w:val="single" w:sz="6" w:space="1" w:color="F9A825"/>
        </w:pBdr>
        <w:spacing w:before="40" w:after="40"/>
        <w:rPr>
          <w:lang w:val="es-MX"/>
        </w:rPr>
      </w:pPr>
    </w:p>
    <w:tbl>
      <w:tblPr>
        <w:tblStyle w:val="TableGrid"/>
        <w:tblW w:w="0" w:type="auto"/>
        <w:tblLook w:val="04A0" w:firstRow="1" w:lastRow="0" w:firstColumn="1" w:lastColumn="0" w:noHBand="0" w:noVBand="1"/>
      </w:tblPr>
      <w:tblGrid>
        <w:gridCol w:w="1799"/>
        <w:gridCol w:w="8271"/>
      </w:tblGrid>
      <w:tr w:rsidR="00AF3200" w14:paraId="0EA24C6B" w14:textId="77777777">
        <w:tc>
          <w:tcPr>
            <w:tcW w:w="1800" w:type="dxa"/>
            <w:shd w:val="clear" w:color="auto" w:fill="E8EAF6"/>
          </w:tcPr>
          <w:p w14:paraId="0F0FA54E" w14:textId="77777777" w:rsidR="00AF3200" w:rsidRDefault="00000000">
            <w:pPr>
              <w:spacing w:before="40" w:after="40"/>
            </w:pPr>
            <w:proofErr w:type="spellStart"/>
            <w:r>
              <w:rPr>
                <w:b/>
                <w:color w:val="1A237E"/>
              </w:rPr>
              <w:t>Alumno</w:t>
            </w:r>
            <w:proofErr w:type="spellEnd"/>
            <w:r>
              <w:rPr>
                <w:b/>
                <w:color w:val="1A237E"/>
              </w:rPr>
              <w:t>:</w:t>
            </w:r>
          </w:p>
        </w:tc>
        <w:tc>
          <w:tcPr>
            <w:tcW w:w="8280" w:type="dxa"/>
            <w:shd w:val="clear" w:color="auto" w:fill="E8EAF6"/>
          </w:tcPr>
          <w:p w14:paraId="664560E0" w14:textId="77777777" w:rsidR="00AF3200" w:rsidRDefault="00000000">
            <w:pPr>
              <w:spacing w:before="40" w:after="40"/>
            </w:pPr>
            <w:r>
              <w:rPr>
                <w:color w:val="1A237E"/>
              </w:rPr>
              <w:t>Carlos Pulido Rosas</w:t>
            </w:r>
          </w:p>
        </w:tc>
      </w:tr>
      <w:tr w:rsidR="00AF3200" w:rsidRPr="00007695" w14:paraId="3135AEEB" w14:textId="77777777">
        <w:tc>
          <w:tcPr>
            <w:tcW w:w="1800" w:type="dxa"/>
            <w:shd w:val="clear" w:color="auto" w:fill="E8EAF6"/>
          </w:tcPr>
          <w:p w14:paraId="035A4C96" w14:textId="77777777" w:rsidR="00AF3200" w:rsidRDefault="00000000">
            <w:pPr>
              <w:spacing w:before="40" w:after="40"/>
            </w:pPr>
            <w:r>
              <w:rPr>
                <w:b/>
                <w:color w:val="1A237E"/>
              </w:rPr>
              <w:t>Fecha:</w:t>
            </w:r>
          </w:p>
        </w:tc>
        <w:tc>
          <w:tcPr>
            <w:tcW w:w="8280" w:type="dxa"/>
            <w:shd w:val="clear" w:color="auto" w:fill="E8EAF6"/>
          </w:tcPr>
          <w:p w14:paraId="3A38D44F" w14:textId="77777777" w:rsidR="00AF3200" w:rsidRPr="00007695" w:rsidRDefault="00000000">
            <w:pPr>
              <w:spacing w:before="40" w:after="40"/>
              <w:rPr>
                <w:lang w:val="es-MX"/>
              </w:rPr>
            </w:pPr>
            <w:r w:rsidRPr="00007695">
              <w:rPr>
                <w:color w:val="1A237E"/>
                <w:lang w:val="es-MX"/>
              </w:rPr>
              <w:t>8 de octubre de 2026</w:t>
            </w:r>
          </w:p>
        </w:tc>
      </w:tr>
      <w:tr w:rsidR="00AF3200" w:rsidRPr="00007695" w14:paraId="0FA8133E" w14:textId="77777777">
        <w:tc>
          <w:tcPr>
            <w:tcW w:w="1800" w:type="dxa"/>
            <w:shd w:val="clear" w:color="auto" w:fill="E8EAF6"/>
          </w:tcPr>
          <w:p w14:paraId="73844D80" w14:textId="77777777" w:rsidR="00AF3200" w:rsidRDefault="00000000">
            <w:pPr>
              <w:spacing w:before="40" w:after="40"/>
            </w:pPr>
            <w:proofErr w:type="spellStart"/>
            <w:r>
              <w:rPr>
                <w:b/>
                <w:color w:val="1A237E"/>
              </w:rPr>
              <w:t>Actividad</w:t>
            </w:r>
            <w:proofErr w:type="spellEnd"/>
            <w:r>
              <w:rPr>
                <w:b/>
                <w:color w:val="1A237E"/>
              </w:rPr>
              <w:t>:</w:t>
            </w:r>
          </w:p>
        </w:tc>
        <w:tc>
          <w:tcPr>
            <w:tcW w:w="8280" w:type="dxa"/>
            <w:shd w:val="clear" w:color="auto" w:fill="E8EAF6"/>
          </w:tcPr>
          <w:p w14:paraId="359E296D" w14:textId="77777777" w:rsidR="00AF3200" w:rsidRPr="00007695" w:rsidRDefault="00000000">
            <w:pPr>
              <w:spacing w:before="40" w:after="40"/>
              <w:rPr>
                <w:lang w:val="es-MX"/>
              </w:rPr>
            </w:pPr>
            <w:r w:rsidRPr="00007695">
              <w:rPr>
                <w:color w:val="1A237E"/>
                <w:lang w:val="es-MX"/>
              </w:rPr>
              <w:t>Tarea 1.5. Ajustes a la correlación con NO₂</w:t>
            </w:r>
          </w:p>
        </w:tc>
      </w:tr>
      <w:tr w:rsidR="00AF3200" w14:paraId="57F81E8B" w14:textId="77777777">
        <w:tc>
          <w:tcPr>
            <w:tcW w:w="1800" w:type="dxa"/>
            <w:shd w:val="clear" w:color="auto" w:fill="E8EAF6"/>
          </w:tcPr>
          <w:p w14:paraId="3DF6E06E" w14:textId="77777777" w:rsidR="00AF3200" w:rsidRDefault="00000000">
            <w:pPr>
              <w:spacing w:before="40" w:after="40"/>
            </w:pPr>
            <w:proofErr w:type="spellStart"/>
            <w:r>
              <w:rPr>
                <w:b/>
                <w:color w:val="1A237E"/>
              </w:rPr>
              <w:t>Herramienta</w:t>
            </w:r>
            <w:proofErr w:type="spellEnd"/>
            <w:r>
              <w:rPr>
                <w:b/>
                <w:color w:val="1A237E"/>
              </w:rPr>
              <w:t>:</w:t>
            </w:r>
          </w:p>
        </w:tc>
        <w:tc>
          <w:tcPr>
            <w:tcW w:w="8280" w:type="dxa"/>
            <w:shd w:val="clear" w:color="auto" w:fill="E8EAF6"/>
          </w:tcPr>
          <w:p w14:paraId="430CAA90" w14:textId="77777777" w:rsidR="00AF3200" w:rsidRDefault="00000000">
            <w:pPr>
              <w:spacing w:before="40" w:after="40"/>
            </w:pPr>
            <w:r>
              <w:rPr>
                <w:color w:val="1A237E"/>
              </w:rPr>
              <w:t>Python 3.13 (pandas, NumPy, Matplotlib, statsmodels)</w:t>
            </w:r>
          </w:p>
        </w:tc>
      </w:tr>
      <w:tr w:rsidR="00AF3200" w14:paraId="70BC04B6" w14:textId="77777777">
        <w:tc>
          <w:tcPr>
            <w:tcW w:w="1800" w:type="dxa"/>
            <w:shd w:val="clear" w:color="auto" w:fill="E8EAF6"/>
          </w:tcPr>
          <w:p w14:paraId="64B8983B" w14:textId="77777777" w:rsidR="00AF3200" w:rsidRDefault="00000000">
            <w:pPr>
              <w:spacing w:before="40" w:after="40"/>
            </w:pPr>
            <w:r>
              <w:rPr>
                <w:b/>
                <w:color w:val="1A237E"/>
              </w:rPr>
              <w:t>Versión:</w:t>
            </w:r>
          </w:p>
        </w:tc>
        <w:tc>
          <w:tcPr>
            <w:tcW w:w="8280" w:type="dxa"/>
            <w:shd w:val="clear" w:color="auto" w:fill="E8EAF6"/>
          </w:tcPr>
          <w:p w14:paraId="18B4F231" w14:textId="77777777" w:rsidR="00AF3200" w:rsidRDefault="00000000">
            <w:pPr>
              <w:spacing w:before="40" w:after="40"/>
            </w:pPr>
            <w:r>
              <w:rPr>
                <w:color w:val="1A237E"/>
              </w:rPr>
              <w:t>SIMAJ, base de calidad del aire 2024 (BD_2024)</w:t>
            </w:r>
          </w:p>
        </w:tc>
      </w:tr>
      <w:tr w:rsidR="00AF3200" w:rsidRPr="00007695" w14:paraId="066607D6" w14:textId="77777777">
        <w:tc>
          <w:tcPr>
            <w:tcW w:w="1800" w:type="dxa"/>
            <w:shd w:val="clear" w:color="auto" w:fill="E8EAF6"/>
          </w:tcPr>
          <w:p w14:paraId="780D9BD2" w14:textId="77777777" w:rsidR="00AF3200" w:rsidRDefault="00000000">
            <w:pPr>
              <w:spacing w:before="40" w:after="40"/>
            </w:pPr>
            <w:r>
              <w:rPr>
                <w:b/>
                <w:color w:val="1A237E"/>
              </w:rPr>
              <w:t>Entorno:</w:t>
            </w:r>
          </w:p>
        </w:tc>
        <w:tc>
          <w:tcPr>
            <w:tcW w:w="8280" w:type="dxa"/>
            <w:shd w:val="clear" w:color="auto" w:fill="E8EAF6"/>
          </w:tcPr>
          <w:p w14:paraId="3D1FC219" w14:textId="77777777" w:rsidR="00AF3200" w:rsidRPr="00007695" w:rsidRDefault="00000000">
            <w:pPr>
              <w:spacing w:before="40" w:after="40"/>
              <w:rPr>
                <w:lang w:val="es-MX"/>
              </w:rPr>
            </w:pPr>
            <w:r w:rsidRPr="00007695">
              <w:rPr>
                <w:color w:val="1A237E"/>
                <w:lang w:val="es-MX"/>
              </w:rPr>
              <w:t>Equipo personal, entorno conda MCD</w:t>
            </w:r>
            <w:proofErr w:type="spellStart"/>
            <w:r w:rsidRPr="00007695">
              <w:rPr>
                <w:color w:val="1A237E"/>
                <w:lang w:val="es-MX"/>
              </w:rPr>
            </w:r>
            <w:proofErr w:type="spellEnd"/>
            <w:r w:rsidRPr="00007695">
              <w:rPr>
                <w:color w:val="1A237E"/>
                <w:lang w:val="es-MX"/>
              </w:rPr>
            </w:r>
          </w:p>
        </w:tc>
      </w:tr>
      <w:tr w:rsidR="00AF3200" w:rsidRPr="00007695" w14:paraId="75599C32" w14:textId="77777777">
        <w:tc>
          <w:tcPr>
            <w:tcW w:w="1800" w:type="dxa"/>
            <w:shd w:val="clear" w:color="auto" w:fill="E8EAF6"/>
          </w:tcPr>
          <w:p w14:paraId="13474C8D" w14:textId="77777777" w:rsidR="00AF3200" w:rsidRDefault="00000000">
            <w:pPr>
              <w:spacing w:before="40" w:after="40"/>
            </w:pPr>
            <w:r>
              <w:rPr>
                <w:b/>
                <w:color w:val="1A237E"/>
              </w:rPr>
              <w:t>Dataset:</w:t>
            </w:r>
          </w:p>
        </w:tc>
        <w:tc>
          <w:tcPr>
            <w:tcW w:w="8280" w:type="dxa"/>
            <w:shd w:val="clear" w:color="auto" w:fill="E8EAF6"/>
          </w:tcPr>
          <w:p w14:paraId="31506C5B" w14:textId="77777777" w:rsidR="00AF3200" w:rsidRPr="00007695" w:rsidRDefault="00000000">
            <w:pPr>
              <w:spacing w:before="40" w:after="40"/>
              <w:rPr>
                <w:lang w:val="es-MX"/>
              </w:rPr>
            </w:pPr>
            <w:r w:rsidRPr="00007695">
              <w:rPr>
                <w:color w:val="1A237E"/>
                <w:lang w:val="es-MX"/>
              </w:rPr>
              <w:t>Calidad del aire ZMG 2024, estación Centro (CEN)</w:t>
            </w:r>
            <w:proofErr w:type="spellStart"/>
            <w:r w:rsidRPr="00007695">
              <w:rPr>
                <w:color w:val="1A237E"/>
                <w:lang w:val="es-MX"/>
              </w:rPr>
            </w:r>
            <w:proofErr w:type="spellEnd"/>
            <w:r w:rsidRPr="00007695">
              <w:rPr>
                <w:color w:val="1A237E"/>
                <w:lang w:val="es-MX"/>
              </w:rPr>
            </w:r>
          </w:p>
        </w:tc>
      </w:tr>
    </w:tbl>
    <w:p>
      <w:pPr>
        <w:keepNext w:val="0"/>
        <w:spacing w:before="160" w:after="0"/>
        <w:jc w:val="both"/>
      </w:pPr>
    </w:p>
    <w:p>
      <w:pPr>
        <w:keepNext/>
        <w:spacing w:before="200" w:after="60"/>
        <w:jc w:val="left"/>
      </w:pPr>
      <w:r>
        <w:rPr>
          <w:rFonts w:ascii="Calibri" w:hAnsi="Calibri"/>
          <w:b/>
          <w:i w:val="0"/>
          <w:color w:val="1F497D"/>
          <w:sz w:val="26"/>
        </w:rPr>
        <w:t>1. Introducción</w:t>
      </w:r>
    </w:p>
    <w:p>
      <w:pPr>
        <w:keepNext w:val="0"/>
        <w:spacing w:before="0" w:after="100"/>
        <w:jc w:val="both"/>
      </w:pPr>
      <w:r>
        <w:rPr>
          <w:rFonts w:ascii="Calibri" w:hAnsi="Calibri"/>
          <w:b w:val="0"/>
          <w:i w:val="0"/>
          <w:sz w:val="20"/>
        </w:rPr>
        <w:t>En la Tarea 1.4 busqué qué contaminante tiene la correlación lineal más alta con el dióxido de nitrógeno (NO₂) en la estación Centro del SIMAJ. Después de la sesión 7 quedó claro que a ese análisis le faltaban tres ajustes, y en esta tarea los hago. El primero es trabajar con un corpus homogéneo, es decir, que todos los contaminantes se comparen usando exactamente las mismas horas. El segundo es quitar los valores atípicos antes de ajustar las regresiones. El tercero es que las rectas de regresión pasen por el origen (0, 0). Con los datos ya ajustados vuelvo a buscar el contaminante con mayor correlación y reviso el resultado con mapas de calor, gráficas de dispersión, diagramas de caja y rectas de regresión.</w:t>
      </w:r>
    </w:p>
    <w:p>
      <w:pPr>
        <w:keepNext/>
        <w:spacing w:before="200" w:after="60"/>
        <w:jc w:val="left"/>
      </w:pPr>
      <w:r>
        <w:rPr>
          <w:rFonts w:ascii="Calibri" w:hAnsi="Calibri"/>
          <w:b/>
          <w:i w:val="0"/>
          <w:color w:val="1F497D"/>
          <w:sz w:val="26"/>
        </w:rPr>
        <w:t>2. Metodología</w:t>
      </w:r>
    </w:p>
    <w:p>
      <w:pPr>
        <w:keepNext/>
        <w:spacing w:before="140" w:after="60"/>
        <w:jc w:val="left"/>
      </w:pPr>
      <w:r>
        <w:rPr>
          <w:rFonts w:ascii="Calibri" w:hAnsi="Calibri"/>
          <w:b/>
          <w:i w:val="0"/>
          <w:color w:val="1F497D"/>
          <w:sz w:val="22"/>
        </w:rPr>
        <w:t>2.1 Corpus homogéneo</w:t>
      </w:r>
    </w:p>
    <w:p>
      <w:pPr>
        <w:keepNext w:val="0"/>
        <w:spacing w:before="0" w:after="100"/>
        <w:jc w:val="both"/>
      </w:pPr>
      <w:r>
        <w:rPr>
          <w:rFonts w:ascii="Calibri" w:hAnsi="Calibri"/>
          <w:b w:val="0"/>
          <w:i w:val="0"/>
          <w:sz w:val="20"/>
        </w:rPr>
        <w:t>En la Tarea 1.4 calculé cada correlación con las horas en que el NO₂ y el otro contaminante tenían dato. El problema es que cada par terminó usando un número distinto de horas (entre 2,412 y 2,706), y no siempre las mismas. Así, si un coeficiente salía más alto que otro, no se podía saber si era por el contaminante o porque se estaban comparando horas diferentes. A eso se suma que la estación solo midió NO₂ de septiembre a diciembre de 2024, mientras que el O₃, el CO y las partículas se midieron casi todo el año. Para que la comparación fuera justa, me quedé solo con las horas que tienen dato de las siete variables al mismo tiempo (Tabla 1).</w:t>
      </w:r>
    </w:p>
    <w:tbl>
      <w:tblPr>
        <w:tblStyle w:val="TableGrid"/>
        <w:tblW w:type="auto" w:w="0"/>
        <w:jc w:val="center"/>
        <w:tblLook w:firstColumn="1" w:firstRow="1" w:lastColumn="0" w:lastRow="0" w:noHBand="0" w:noVBand="1" w:val="04A0"/>
      </w:tblPr>
      <w:tblGrid>
        <w:gridCol w:w="3360"/>
        <w:gridCol w:w="3360"/>
        <w:gridCol w:w="3360"/>
      </w:tblGrid>
      <w:tr>
        <w:tc>
          <w:tcPr>
            <w:tcW w:type="dxa" w:w="5616"/>
            <w:shd w:val="clear" w:color="auto" w:fill="1F497D"/>
          </w:tcPr>
          <w:p>
            <w:pPr>
              <w:keepNext/>
              <w:jc w:val="center"/>
            </w:pPr>
            <w:r>
              <w:rPr>
                <w:rFonts w:ascii="Calibri" w:hAnsi="Calibri"/>
                <w:b/>
                <w:i w:val="0"/>
                <w:color w:val="FFFFFF"/>
                <w:sz w:val="18"/>
              </w:rPr>
              <w:t>Etapa</w:t>
            </w:r>
          </w:p>
        </w:tc>
        <w:tc>
          <w:tcPr>
            <w:tcW w:type="dxa" w:w="1296"/>
            <w:shd w:val="clear" w:color="auto" w:fill="1F497D"/>
          </w:tcPr>
          <w:p>
            <w:pPr>
              <w:keepNext/>
              <w:jc w:val="center"/>
            </w:pPr>
            <w:r>
              <w:rPr>
                <w:rFonts w:ascii="Calibri" w:hAnsi="Calibri"/>
                <w:b/>
                <w:i w:val="0"/>
                <w:color w:val="FFFFFF"/>
                <w:sz w:val="18"/>
              </w:rPr>
              <w:t>Horas</w:t>
            </w:r>
          </w:p>
        </w:tc>
        <w:tc>
          <w:tcPr>
            <w:tcW w:type="dxa" w:w="1440"/>
            <w:shd w:val="clear" w:color="auto" w:fill="1F497D"/>
          </w:tcPr>
          <w:p>
            <w:pPr>
              <w:keepNext/>
              <w:jc w:val="center"/>
            </w:pPr>
            <w:r>
              <w:rPr>
                <w:rFonts w:ascii="Calibri" w:hAnsi="Calibri"/>
                <w:b/>
                <w:i w:val="0"/>
                <w:color w:val="FFFFFF"/>
                <w:sz w:val="18"/>
              </w:rPr>
              <w:t>% del total</w:t>
            </w:r>
          </w:p>
        </w:tc>
      </w:tr>
      <w:tr>
        <w:tc>
          <w:tcPr>
            <w:tcW w:type="dxa" w:w="5616"/>
            <w:shd w:val="clear" w:color="auto" w:fill="FFFFFF"/>
          </w:tcPr>
          <w:p>
            <w:pPr>
              <w:keepNext/>
              <w:jc w:val="left"/>
            </w:pPr>
            <w:r>
              <w:rPr>
                <w:rFonts w:ascii="Calibri" w:hAnsi="Calibri"/>
                <w:b w:val="0"/>
                <w:i w:val="0"/>
                <w:sz w:val="18"/>
              </w:rPr>
              <w:t>Registros horarios de la estación Centro, 2024</w:t>
            </w:r>
          </w:p>
        </w:tc>
        <w:tc>
          <w:tcPr>
            <w:tcW w:type="dxa" w:w="1296"/>
            <w:shd w:val="clear" w:color="auto" w:fill="FFFFFF"/>
          </w:tcPr>
          <w:p>
            <w:pPr>
              <w:keepNext/>
              <w:jc w:val="center"/>
            </w:pPr>
            <w:r>
              <w:rPr>
                <w:rFonts w:ascii="Calibri" w:hAnsi="Calibri"/>
                <w:b w:val="0"/>
                <w:i w:val="0"/>
                <w:sz w:val="18"/>
              </w:rPr>
              <w:t>8,784</w:t>
            </w:r>
          </w:p>
        </w:tc>
        <w:tc>
          <w:tcPr>
            <w:tcW w:type="dxa" w:w="1440"/>
            <w:shd w:val="clear" w:color="auto" w:fill="FFFFFF"/>
          </w:tcPr>
          <w:p>
            <w:pPr>
              <w:keepNext/>
              <w:jc w:val="center"/>
            </w:pPr>
            <w:r>
              <w:rPr>
                <w:rFonts w:ascii="Calibri" w:hAnsi="Calibri"/>
                <w:b w:val="0"/>
                <w:i w:val="0"/>
                <w:sz w:val="18"/>
              </w:rPr>
              <w:t>100.0 %</w:t>
            </w:r>
          </w:p>
        </w:tc>
      </w:tr>
      <w:tr>
        <w:tc>
          <w:tcPr>
            <w:tcW w:type="dxa" w:w="5616"/>
            <w:shd w:val="clear" w:color="auto" w:fill="F2F2F2"/>
          </w:tcPr>
          <w:p>
            <w:pPr>
              <w:keepNext/>
              <w:jc w:val="left"/>
            </w:pPr>
            <w:r>
              <w:rPr>
                <w:rFonts w:ascii="Calibri" w:hAnsi="Calibri"/>
                <w:b w:val="0"/>
                <w:i w:val="0"/>
                <w:sz w:val="18"/>
              </w:rPr>
              <w:t>Con lectura de NO₂ (septiembre a diciembre)</w:t>
            </w:r>
          </w:p>
        </w:tc>
        <w:tc>
          <w:tcPr>
            <w:tcW w:type="dxa" w:w="1296"/>
            <w:shd w:val="clear" w:color="auto" w:fill="F2F2F2"/>
          </w:tcPr>
          <w:p>
            <w:pPr>
              <w:keepNext/>
              <w:jc w:val="center"/>
            </w:pPr>
            <w:r>
              <w:rPr>
                <w:rFonts w:ascii="Calibri" w:hAnsi="Calibri"/>
                <w:b w:val="0"/>
                <w:i w:val="0"/>
                <w:sz w:val="18"/>
              </w:rPr>
              <w:t>2,706</w:t>
            </w:r>
          </w:p>
        </w:tc>
        <w:tc>
          <w:tcPr>
            <w:tcW w:type="dxa" w:w="1440"/>
            <w:shd w:val="clear" w:color="auto" w:fill="F2F2F2"/>
          </w:tcPr>
          <w:p>
            <w:pPr>
              <w:keepNext/>
              <w:jc w:val="center"/>
            </w:pPr>
            <w:r>
              <w:rPr>
                <w:rFonts w:ascii="Calibri" w:hAnsi="Calibri"/>
                <w:b w:val="0"/>
                <w:i w:val="0"/>
                <w:sz w:val="18"/>
              </w:rPr>
              <w:t>30.8 %</w:t>
            </w:r>
          </w:p>
        </w:tc>
      </w:tr>
      <w:tr>
        <w:tc>
          <w:tcPr>
            <w:tcW w:type="dxa" w:w="5616"/>
            <w:shd w:val="clear" w:color="auto" w:fill="FFFFFF"/>
          </w:tcPr>
          <w:p>
            <w:pPr>
              <w:keepNext/>
              <w:jc w:val="left"/>
            </w:pPr>
            <w:r>
              <w:rPr>
                <w:rFonts w:ascii="Calibri" w:hAnsi="Calibri"/>
                <w:b w:val="0"/>
                <w:i w:val="0"/>
                <w:sz w:val="18"/>
              </w:rPr>
              <w:t>Corpus homogéneo (lectura de las siete variables)</w:t>
            </w:r>
          </w:p>
        </w:tc>
        <w:tc>
          <w:tcPr>
            <w:tcW w:type="dxa" w:w="1296"/>
            <w:shd w:val="clear" w:color="auto" w:fill="FFFFFF"/>
          </w:tcPr>
          <w:p>
            <w:pPr>
              <w:keepNext/>
              <w:jc w:val="center"/>
            </w:pPr>
            <w:r>
              <w:rPr>
                <w:rFonts w:ascii="Calibri" w:hAnsi="Calibri"/>
                <w:b w:val="0"/>
                <w:i w:val="0"/>
                <w:sz w:val="18"/>
              </w:rPr>
              <w:t>2,312</w:t>
            </w:r>
          </w:p>
        </w:tc>
        <w:tc>
          <w:tcPr>
            <w:tcW w:type="dxa" w:w="1440"/>
            <w:shd w:val="clear" w:color="auto" w:fill="FFFFFF"/>
          </w:tcPr>
          <w:p>
            <w:pPr>
              <w:keepNext/>
              <w:jc w:val="center"/>
            </w:pPr>
            <w:r>
              <w:rPr>
                <w:rFonts w:ascii="Calibri" w:hAnsi="Calibri"/>
                <w:b w:val="0"/>
                <w:i w:val="0"/>
                <w:sz w:val="18"/>
              </w:rPr>
              <w:t>26.3 %</w:t>
            </w:r>
          </w:p>
        </w:tc>
      </w:tr>
      <w:tr>
        <w:tc>
          <w:tcPr>
            <w:tcW w:type="dxa" w:w="5616"/>
            <w:shd w:val="clear" w:color="auto" w:fill="FCE4B8"/>
          </w:tcPr>
          <w:p>
            <w:pPr>
              <w:keepNext/>
              <w:jc w:val="left"/>
            </w:pPr>
            <w:r>
              <w:rPr>
                <w:rFonts w:ascii="Calibri" w:hAnsi="Calibri"/>
                <w:b/>
                <w:i w:val="0"/>
                <w:sz w:val="18"/>
              </w:rPr>
              <w:t>Corpus homogéneo sin valores atípicos</w:t>
            </w:r>
          </w:p>
        </w:tc>
        <w:tc>
          <w:tcPr>
            <w:tcW w:type="dxa" w:w="1296"/>
            <w:shd w:val="clear" w:color="auto" w:fill="FCE4B8"/>
          </w:tcPr>
          <w:p>
            <w:pPr>
              <w:keepNext/>
              <w:jc w:val="center"/>
            </w:pPr>
            <w:r>
              <w:rPr>
                <w:rFonts w:ascii="Calibri" w:hAnsi="Calibri"/>
                <w:b/>
                <w:i w:val="0"/>
                <w:sz w:val="18"/>
              </w:rPr>
              <w:t>1,882</w:t>
            </w:r>
          </w:p>
        </w:tc>
        <w:tc>
          <w:tcPr>
            <w:tcW w:type="dxa" w:w="1440"/>
            <w:shd w:val="clear" w:color="auto" w:fill="FCE4B8"/>
          </w:tcPr>
          <w:p>
            <w:pPr>
              <w:keepNext/>
              <w:jc w:val="center"/>
            </w:pPr>
            <w:r>
              <w:rPr>
                <w:rFonts w:ascii="Calibri" w:hAnsi="Calibri"/>
                <w:b/>
                <w:i w:val="0"/>
                <w:sz w:val="18"/>
              </w:rPr>
              <w:t>21.4 %</w:t>
            </w:r>
          </w:p>
        </w:tc>
      </w:tr>
    </w:tbl>
    <w:p>
      <w:pPr>
        <w:keepNext w:val="0"/>
        <w:spacing w:before="40" w:after="160"/>
        <w:jc w:val="center"/>
      </w:pPr>
      <w:r>
        <w:rPr>
          <w:rFonts w:ascii="Calibri" w:hAnsi="Calibri"/>
          <w:b w:val="0"/>
          <w:i/>
          <w:color w:val="404040"/>
          <w:sz w:val="18"/>
        </w:rPr>
        <w:t>Tabla 1. Construcción del corpus de análisis, estación Centro, 2024.</w:t>
      </w:r>
    </w:p>
    <w:p>
      <w:pPr>
        <w:keepNext/>
        <w:spacing w:before="140" w:after="60"/>
        <w:jc w:val="left"/>
      </w:pPr>
      <w:r>
        <w:rPr>
          <w:rFonts w:ascii="Calibri" w:hAnsi="Calibri"/>
          <w:b/>
          <w:i w:val="0"/>
          <w:color w:val="1F497D"/>
          <w:sz w:val="22"/>
        </w:rPr>
        <w:t>2.2 Exclusión de valores atípicos</w:t>
      </w:r>
    </w:p>
    <w:p>
      <w:pPr>
        <w:keepNext/>
        <w:spacing w:before="0" w:after="100"/>
        <w:jc w:val="both"/>
      </w:pPr>
      <w:r>
        <w:rPr>
          <w:rFonts w:ascii="Calibri" w:hAnsi="Calibri"/>
          <w:b w:val="0"/>
          <w:i w:val="0"/>
          <w:sz w:val="20"/>
        </w:rPr>
        <w:t>Para encontrar los atípicos usé el criterio de Tukey de las tareas 1.0 y 1.1. Un valor es atípico si queda fuera del intervalo [Q1 − 1.5·RIC, Q3 + 1.5·RIC], donde RIC = Q3 − Q1. Calculé las cercas de cada variable sobre el corpus homogéneo. Si una hora era atípica en cualquiera de las siete variables, la quité completa, para que todas las regresiones siguieran usando las mismas horas y no se perdiera lo ganado en el paso anterior. Como todas las distribuciones tienen la cola hacia la derecha, la cerca inferior siempre salió negativa, así que solo se quitaron valores altos (Tabla 2 y Figura 1).</w:t>
      </w:r>
    </w:p>
    <w:tbl>
      <w:tblPr>
        <w:tblStyle w:val="TableGrid"/>
        <w:tblW w:type="auto" w:w="0"/>
        <w:jc w:val="center"/>
        <w:tblLook w:firstColumn="1" w:firstRow="1" w:lastColumn="0" w:lastRow="0" w:noHBand="0" w:noVBand="1" w:val="04A0"/>
      </w:tblPr>
      <w:tblGrid>
        <w:gridCol w:w="2016"/>
        <w:gridCol w:w="2016"/>
        <w:gridCol w:w="2016"/>
        <w:gridCol w:w="2016"/>
        <w:gridCol w:w="2016"/>
      </w:tblGrid>
      <w:tr>
        <w:tc>
          <w:tcPr>
            <w:tcW w:type="dxa" w:w="3744"/>
            <w:shd w:val="clear" w:color="auto" w:fill="1F497D"/>
          </w:tcPr>
          <w:p>
            <w:pPr>
              <w:keepNext/>
              <w:jc w:val="center"/>
            </w:pPr>
            <w:r>
              <w:rPr>
                <w:rFonts w:ascii="Calibri" w:hAnsi="Calibri"/>
                <w:b/>
                <w:i w:val="0"/>
                <w:color w:val="FFFFFF"/>
                <w:sz w:val="18"/>
              </w:rPr>
              <w:t>Variable</w:t>
            </w:r>
          </w:p>
        </w:tc>
        <w:tc>
          <w:tcPr>
            <w:tcW w:type="dxa" w:w="1152"/>
            <w:shd w:val="clear" w:color="auto" w:fill="1F497D"/>
          </w:tcPr>
          <w:p>
            <w:pPr>
              <w:keepNext/>
              <w:jc w:val="center"/>
            </w:pPr>
            <w:r>
              <w:rPr>
                <w:rFonts w:ascii="Calibri" w:hAnsi="Calibri"/>
                <w:b/>
                <w:i w:val="0"/>
                <w:color w:val="FFFFFF"/>
                <w:sz w:val="18"/>
              </w:rPr>
              <w:t>Q1</w:t>
            </w:r>
          </w:p>
        </w:tc>
        <w:tc>
          <w:tcPr>
            <w:tcW w:type="dxa" w:w="1152"/>
            <w:shd w:val="clear" w:color="auto" w:fill="1F497D"/>
          </w:tcPr>
          <w:p>
            <w:pPr>
              <w:keepNext/>
              <w:jc w:val="center"/>
            </w:pPr>
            <w:r>
              <w:rPr>
                <w:rFonts w:ascii="Calibri" w:hAnsi="Calibri"/>
                <w:b/>
                <w:i w:val="0"/>
                <w:color w:val="FFFFFF"/>
                <w:sz w:val="18"/>
              </w:rPr>
              <w:t>Q3</w:t>
            </w:r>
          </w:p>
        </w:tc>
        <w:tc>
          <w:tcPr>
            <w:tcW w:type="dxa" w:w="1584"/>
            <w:shd w:val="clear" w:color="auto" w:fill="1F497D"/>
          </w:tcPr>
          <w:p>
            <w:pPr>
              <w:keepNext/>
              <w:jc w:val="center"/>
            </w:pPr>
            <w:r>
              <w:rPr>
                <w:rFonts w:ascii="Calibri" w:hAnsi="Calibri"/>
                <w:b/>
                <w:i w:val="0"/>
                <w:color w:val="FFFFFF"/>
                <w:sz w:val="18"/>
              </w:rPr>
              <w:t>Cerca superior</w:t>
            </w:r>
          </w:p>
        </w:tc>
        <w:tc>
          <w:tcPr>
            <w:tcW w:type="dxa" w:w="1440"/>
            <w:shd w:val="clear" w:color="auto" w:fill="1F497D"/>
          </w:tcPr>
          <w:p>
            <w:pPr>
              <w:keepNext/>
              <w:jc w:val="center"/>
            </w:pPr>
            <w:r>
              <w:rPr>
                <w:rFonts w:ascii="Calibri" w:hAnsi="Calibri"/>
                <w:b/>
                <w:i w:val="0"/>
                <w:color w:val="FFFFFF"/>
                <w:sz w:val="18"/>
              </w:rPr>
              <w:t>Horas atípicas</w:t>
            </w:r>
          </w:p>
        </w:tc>
      </w:tr>
      <w:tr>
        <w:tc>
          <w:tcPr>
            <w:tcW w:type="dxa" w:w="3744"/>
            <w:shd w:val="clear" w:color="auto" w:fill="FFFFFF"/>
          </w:tcPr>
          <w:p>
            <w:pPr>
              <w:keepNext/>
              <w:jc w:val="left"/>
            </w:pPr>
            <w:r>
              <w:rPr>
                <w:rFonts w:ascii="Calibri" w:hAnsi="Calibri"/>
                <w:b w:val="0"/>
                <w:i w:val="0"/>
                <w:sz w:val="18"/>
              </w:rPr>
              <w:t>NO₂ (dióxido de nitrógeno)</w:t>
            </w:r>
          </w:p>
        </w:tc>
        <w:tc>
          <w:tcPr>
            <w:tcW w:type="dxa" w:w="1152"/>
            <w:shd w:val="clear" w:color="auto" w:fill="FFFFFF"/>
          </w:tcPr>
          <w:p>
            <w:pPr>
              <w:keepNext/>
              <w:jc w:val="center"/>
            </w:pPr>
            <w:r>
              <w:rPr>
                <w:rFonts w:ascii="Calibri" w:hAnsi="Calibri"/>
                <w:b w:val="0"/>
                <w:i w:val="0"/>
                <w:sz w:val="18"/>
              </w:rPr>
              <w:t>0.009</w:t>
            </w:r>
          </w:p>
        </w:tc>
        <w:tc>
          <w:tcPr>
            <w:tcW w:type="dxa" w:w="1152"/>
            <w:shd w:val="clear" w:color="auto" w:fill="FFFFFF"/>
          </w:tcPr>
          <w:p>
            <w:pPr>
              <w:keepNext/>
              <w:jc w:val="center"/>
            </w:pPr>
            <w:r>
              <w:rPr>
                <w:rFonts w:ascii="Calibri" w:hAnsi="Calibri"/>
                <w:b w:val="0"/>
                <w:i w:val="0"/>
                <w:sz w:val="18"/>
              </w:rPr>
              <w:t>0.031</w:t>
            </w:r>
          </w:p>
        </w:tc>
        <w:tc>
          <w:tcPr>
            <w:tcW w:type="dxa" w:w="1584"/>
            <w:shd w:val="clear" w:color="auto" w:fill="FFFFFF"/>
          </w:tcPr>
          <w:p>
            <w:pPr>
              <w:keepNext/>
              <w:jc w:val="center"/>
            </w:pPr>
            <w:r>
              <w:rPr>
                <w:rFonts w:ascii="Calibri" w:hAnsi="Calibri"/>
                <w:b w:val="0"/>
                <w:i w:val="0"/>
                <w:sz w:val="18"/>
              </w:rPr>
              <w:t>0.0640</w:t>
            </w:r>
          </w:p>
        </w:tc>
        <w:tc>
          <w:tcPr>
            <w:tcW w:type="dxa" w:w="1440"/>
            <w:shd w:val="clear" w:color="auto" w:fill="FFFFFF"/>
          </w:tcPr>
          <w:p>
            <w:pPr>
              <w:keepNext/>
              <w:jc w:val="center"/>
            </w:pPr>
            <w:r>
              <w:rPr>
                <w:rFonts w:ascii="Calibri" w:hAnsi="Calibri"/>
                <w:b w:val="0"/>
                <w:i w:val="0"/>
                <w:sz w:val="18"/>
              </w:rPr>
              <w:t>28</w:t>
            </w:r>
          </w:p>
        </w:tc>
      </w:tr>
      <w:tr>
        <w:tc>
          <w:tcPr>
            <w:tcW w:type="dxa" w:w="3744"/>
            <w:shd w:val="clear" w:color="auto" w:fill="F2F2F2"/>
          </w:tcPr>
          <w:p>
            <w:pPr>
              <w:keepNext/>
              <w:jc w:val="left"/>
            </w:pPr>
            <w:r>
              <w:rPr>
                <w:rFonts w:ascii="Calibri" w:hAnsi="Calibri"/>
                <w:b w:val="0"/>
                <w:i w:val="0"/>
                <w:sz w:val="18"/>
              </w:rPr>
              <w:t>O₃ (ozono)</w:t>
            </w:r>
          </w:p>
        </w:tc>
        <w:tc>
          <w:tcPr>
            <w:tcW w:type="dxa" w:w="1152"/>
            <w:shd w:val="clear" w:color="auto" w:fill="F2F2F2"/>
          </w:tcPr>
          <w:p>
            <w:pPr>
              <w:keepNext/>
              <w:jc w:val="center"/>
            </w:pPr>
            <w:r>
              <w:rPr>
                <w:rFonts w:ascii="Calibri" w:hAnsi="Calibri"/>
                <w:b w:val="0"/>
                <w:i w:val="0"/>
                <w:sz w:val="18"/>
              </w:rPr>
              <w:t>0.004</w:t>
            </w:r>
          </w:p>
        </w:tc>
        <w:tc>
          <w:tcPr>
            <w:tcW w:type="dxa" w:w="1152"/>
            <w:shd w:val="clear" w:color="auto" w:fill="F2F2F2"/>
          </w:tcPr>
          <w:p>
            <w:pPr>
              <w:keepNext/>
              <w:jc w:val="center"/>
            </w:pPr>
            <w:r>
              <w:rPr>
                <w:rFonts w:ascii="Calibri" w:hAnsi="Calibri"/>
                <w:b w:val="0"/>
                <w:i w:val="0"/>
                <w:sz w:val="18"/>
              </w:rPr>
              <w:t>0.035</w:t>
            </w:r>
          </w:p>
        </w:tc>
        <w:tc>
          <w:tcPr>
            <w:tcW w:type="dxa" w:w="1584"/>
            <w:shd w:val="clear" w:color="auto" w:fill="F2F2F2"/>
          </w:tcPr>
          <w:p>
            <w:pPr>
              <w:keepNext/>
              <w:jc w:val="center"/>
            </w:pPr>
            <w:r>
              <w:rPr>
                <w:rFonts w:ascii="Calibri" w:hAnsi="Calibri"/>
                <w:b w:val="0"/>
                <w:i w:val="0"/>
                <w:sz w:val="18"/>
              </w:rPr>
              <w:t>0.0815</w:t>
            </w:r>
          </w:p>
        </w:tc>
        <w:tc>
          <w:tcPr>
            <w:tcW w:type="dxa" w:w="1440"/>
            <w:shd w:val="clear" w:color="auto" w:fill="F2F2F2"/>
          </w:tcPr>
          <w:p>
            <w:pPr>
              <w:keepNext/>
              <w:jc w:val="center"/>
            </w:pPr>
            <w:r>
              <w:rPr>
                <w:rFonts w:ascii="Calibri" w:hAnsi="Calibri"/>
                <w:b w:val="0"/>
                <w:i w:val="0"/>
                <w:sz w:val="18"/>
              </w:rPr>
              <w:t>12</w:t>
            </w:r>
          </w:p>
        </w:tc>
      </w:tr>
      <w:tr>
        <w:tc>
          <w:tcPr>
            <w:tcW w:type="dxa" w:w="3744"/>
            <w:shd w:val="clear" w:color="auto" w:fill="FFFFFF"/>
          </w:tcPr>
          <w:p>
            <w:pPr>
              <w:keepNext/>
              <w:jc w:val="left"/>
            </w:pPr>
            <w:r>
              <w:rPr>
                <w:rFonts w:ascii="Calibri" w:hAnsi="Calibri"/>
                <w:b w:val="0"/>
                <w:i w:val="0"/>
                <w:sz w:val="18"/>
              </w:rPr>
              <w:t>NO (monóxido de nitrógeno)</w:t>
            </w:r>
          </w:p>
        </w:tc>
        <w:tc>
          <w:tcPr>
            <w:tcW w:type="dxa" w:w="1152"/>
            <w:shd w:val="clear" w:color="auto" w:fill="FFFFFF"/>
          </w:tcPr>
          <w:p>
            <w:pPr>
              <w:keepNext/>
              <w:jc w:val="center"/>
            </w:pPr>
            <w:r>
              <w:rPr>
                <w:rFonts w:ascii="Calibri" w:hAnsi="Calibri"/>
                <w:b w:val="0"/>
                <w:i w:val="0"/>
                <w:sz w:val="18"/>
              </w:rPr>
              <w:t>0.001</w:t>
            </w:r>
          </w:p>
        </w:tc>
        <w:tc>
          <w:tcPr>
            <w:tcW w:type="dxa" w:w="1152"/>
            <w:shd w:val="clear" w:color="auto" w:fill="FFFFFF"/>
          </w:tcPr>
          <w:p>
            <w:pPr>
              <w:keepNext/>
              <w:jc w:val="center"/>
            </w:pPr>
            <w:r>
              <w:rPr>
                <w:rFonts w:ascii="Calibri" w:hAnsi="Calibri"/>
                <w:b w:val="0"/>
                <w:i w:val="0"/>
                <w:sz w:val="18"/>
              </w:rPr>
              <w:t>0.014</w:t>
            </w:r>
          </w:p>
        </w:tc>
        <w:tc>
          <w:tcPr>
            <w:tcW w:type="dxa" w:w="1584"/>
            <w:shd w:val="clear" w:color="auto" w:fill="FFFFFF"/>
          </w:tcPr>
          <w:p>
            <w:pPr>
              <w:keepNext/>
              <w:jc w:val="center"/>
            </w:pPr>
            <w:r>
              <w:rPr>
                <w:rFonts w:ascii="Calibri" w:hAnsi="Calibri"/>
                <w:b w:val="0"/>
                <w:i w:val="0"/>
                <w:sz w:val="18"/>
              </w:rPr>
              <w:t>0.0335</w:t>
            </w:r>
          </w:p>
        </w:tc>
        <w:tc>
          <w:tcPr>
            <w:tcW w:type="dxa" w:w="1440"/>
            <w:shd w:val="clear" w:color="auto" w:fill="FFFFFF"/>
          </w:tcPr>
          <w:p>
            <w:pPr>
              <w:keepNext/>
              <w:jc w:val="center"/>
            </w:pPr>
            <w:r>
              <w:rPr>
                <w:rFonts w:ascii="Calibri" w:hAnsi="Calibri"/>
                <w:b w:val="0"/>
                <w:i w:val="0"/>
                <w:sz w:val="18"/>
              </w:rPr>
              <w:t>380</w:t>
            </w:r>
          </w:p>
        </w:tc>
      </w:tr>
      <w:tr>
        <w:tc>
          <w:tcPr>
            <w:tcW w:type="dxa" w:w="3744"/>
            <w:shd w:val="clear" w:color="auto" w:fill="F2F2F2"/>
          </w:tcPr>
          <w:p>
            <w:pPr>
              <w:keepNext/>
              <w:jc w:val="left"/>
            </w:pPr>
            <w:r>
              <w:rPr>
                <w:rFonts w:ascii="Calibri" w:hAnsi="Calibri"/>
                <w:b w:val="0"/>
                <w:i w:val="0"/>
                <w:sz w:val="18"/>
              </w:rPr>
              <w:t>NOx (óxidos de nitrógeno)</w:t>
            </w:r>
          </w:p>
        </w:tc>
        <w:tc>
          <w:tcPr>
            <w:tcW w:type="dxa" w:w="1152"/>
            <w:shd w:val="clear" w:color="auto" w:fill="F2F2F2"/>
          </w:tcPr>
          <w:p>
            <w:pPr>
              <w:keepNext/>
              <w:jc w:val="center"/>
            </w:pPr>
            <w:r>
              <w:rPr>
                <w:rFonts w:ascii="Calibri" w:hAnsi="Calibri"/>
                <w:b w:val="0"/>
                <w:i w:val="0"/>
                <w:sz w:val="18"/>
              </w:rPr>
              <w:t>0.012</w:t>
            </w:r>
          </w:p>
        </w:tc>
        <w:tc>
          <w:tcPr>
            <w:tcW w:type="dxa" w:w="1152"/>
            <w:shd w:val="clear" w:color="auto" w:fill="F2F2F2"/>
          </w:tcPr>
          <w:p>
            <w:pPr>
              <w:keepNext/>
              <w:jc w:val="center"/>
            </w:pPr>
            <w:r>
              <w:rPr>
                <w:rFonts w:ascii="Calibri" w:hAnsi="Calibri"/>
                <w:b w:val="0"/>
                <w:i w:val="0"/>
                <w:sz w:val="18"/>
              </w:rPr>
              <w:t>0.047</w:t>
            </w:r>
          </w:p>
        </w:tc>
        <w:tc>
          <w:tcPr>
            <w:tcW w:type="dxa" w:w="1584"/>
            <w:shd w:val="clear" w:color="auto" w:fill="F2F2F2"/>
          </w:tcPr>
          <w:p>
            <w:pPr>
              <w:keepNext/>
              <w:jc w:val="center"/>
            </w:pPr>
            <w:r>
              <w:rPr>
                <w:rFonts w:ascii="Calibri" w:hAnsi="Calibri"/>
                <w:b w:val="0"/>
                <w:i w:val="0"/>
                <w:sz w:val="18"/>
              </w:rPr>
              <w:t>0.0995</w:t>
            </w:r>
          </w:p>
        </w:tc>
        <w:tc>
          <w:tcPr>
            <w:tcW w:type="dxa" w:w="1440"/>
            <w:shd w:val="clear" w:color="auto" w:fill="F2F2F2"/>
          </w:tcPr>
          <w:p>
            <w:pPr>
              <w:keepNext/>
              <w:jc w:val="center"/>
            </w:pPr>
            <w:r>
              <w:rPr>
                <w:rFonts w:ascii="Calibri" w:hAnsi="Calibri"/>
                <w:b w:val="0"/>
                <w:i w:val="0"/>
                <w:sz w:val="18"/>
              </w:rPr>
              <w:t>235</w:t>
            </w:r>
          </w:p>
        </w:tc>
      </w:tr>
      <w:tr>
        <w:tc>
          <w:tcPr>
            <w:tcW w:type="dxa" w:w="3744"/>
            <w:shd w:val="clear" w:color="auto" w:fill="FFFFFF"/>
          </w:tcPr>
          <w:p>
            <w:pPr>
              <w:keepNext/>
              <w:jc w:val="left"/>
            </w:pPr>
            <w:r>
              <w:rPr>
                <w:rFonts w:ascii="Calibri" w:hAnsi="Calibri"/>
                <w:b w:val="0"/>
                <w:i w:val="0"/>
                <w:sz w:val="18"/>
              </w:rPr>
              <w:t>CO (monóxido de carbono)</w:t>
            </w:r>
          </w:p>
        </w:tc>
        <w:tc>
          <w:tcPr>
            <w:tcW w:type="dxa" w:w="1152"/>
            <w:shd w:val="clear" w:color="auto" w:fill="FFFFFF"/>
          </w:tcPr>
          <w:p>
            <w:pPr>
              <w:keepNext/>
              <w:jc w:val="center"/>
            </w:pPr>
            <w:r>
              <w:rPr>
                <w:rFonts w:ascii="Calibri" w:hAnsi="Calibri"/>
                <w:b w:val="0"/>
                <w:i w:val="0"/>
                <w:sz w:val="18"/>
              </w:rPr>
              <w:t>0.433</w:t>
            </w:r>
          </w:p>
        </w:tc>
        <w:tc>
          <w:tcPr>
            <w:tcW w:type="dxa" w:w="1152"/>
            <w:shd w:val="clear" w:color="auto" w:fill="FFFFFF"/>
          </w:tcPr>
          <w:p>
            <w:pPr>
              <w:keepNext/>
              <w:jc w:val="center"/>
            </w:pPr>
            <w:r>
              <w:rPr>
                <w:rFonts w:ascii="Calibri" w:hAnsi="Calibri"/>
                <w:b w:val="0"/>
                <w:i w:val="0"/>
                <w:sz w:val="18"/>
              </w:rPr>
              <w:t>1.111</w:t>
            </w:r>
          </w:p>
        </w:tc>
        <w:tc>
          <w:tcPr>
            <w:tcW w:type="dxa" w:w="1584"/>
            <w:shd w:val="clear" w:color="auto" w:fill="FFFFFF"/>
          </w:tcPr>
          <w:p>
            <w:pPr>
              <w:keepNext/>
              <w:jc w:val="center"/>
            </w:pPr>
            <w:r>
              <w:rPr>
                <w:rFonts w:ascii="Calibri" w:hAnsi="Calibri"/>
                <w:b w:val="0"/>
                <w:i w:val="0"/>
                <w:sz w:val="18"/>
              </w:rPr>
              <w:t>2.1280</w:t>
            </w:r>
          </w:p>
        </w:tc>
        <w:tc>
          <w:tcPr>
            <w:tcW w:type="dxa" w:w="1440"/>
            <w:shd w:val="clear" w:color="auto" w:fill="FFFFFF"/>
          </w:tcPr>
          <w:p>
            <w:pPr>
              <w:keepNext/>
              <w:jc w:val="center"/>
            </w:pPr>
            <w:r>
              <w:rPr>
                <w:rFonts w:ascii="Calibri" w:hAnsi="Calibri"/>
                <w:b w:val="0"/>
                <w:i w:val="0"/>
                <w:sz w:val="18"/>
              </w:rPr>
              <w:t>239</w:t>
            </w:r>
          </w:p>
        </w:tc>
      </w:tr>
      <w:tr>
        <w:tc>
          <w:tcPr>
            <w:tcW w:type="dxa" w:w="3744"/>
            <w:shd w:val="clear" w:color="auto" w:fill="F2F2F2"/>
          </w:tcPr>
          <w:p>
            <w:pPr>
              <w:keepNext/>
              <w:jc w:val="left"/>
            </w:pPr>
            <w:r>
              <w:rPr>
                <w:rFonts w:ascii="Calibri" w:hAnsi="Calibri"/>
                <w:b w:val="0"/>
                <w:i w:val="0"/>
                <w:sz w:val="18"/>
              </w:rPr>
              <w:t>PM10 (partículas &lt; 10 µm)</w:t>
            </w:r>
          </w:p>
        </w:tc>
        <w:tc>
          <w:tcPr>
            <w:tcW w:type="dxa" w:w="1152"/>
            <w:shd w:val="clear" w:color="auto" w:fill="F2F2F2"/>
          </w:tcPr>
          <w:p>
            <w:pPr>
              <w:keepNext/>
              <w:jc w:val="center"/>
            </w:pPr>
            <w:r>
              <w:rPr>
                <w:rFonts w:ascii="Calibri" w:hAnsi="Calibri"/>
                <w:b w:val="0"/>
                <w:i w:val="0"/>
                <w:sz w:val="18"/>
              </w:rPr>
              <w:t>21.0</w:t>
            </w:r>
          </w:p>
        </w:tc>
        <w:tc>
          <w:tcPr>
            <w:tcW w:type="dxa" w:w="1152"/>
            <w:shd w:val="clear" w:color="auto" w:fill="F2F2F2"/>
          </w:tcPr>
          <w:p>
            <w:pPr>
              <w:keepNext/>
              <w:jc w:val="center"/>
            </w:pPr>
            <w:r>
              <w:rPr>
                <w:rFonts w:ascii="Calibri" w:hAnsi="Calibri"/>
                <w:b w:val="0"/>
                <w:i w:val="0"/>
                <w:sz w:val="18"/>
              </w:rPr>
              <w:t>56.0</w:t>
            </w:r>
          </w:p>
        </w:tc>
        <w:tc>
          <w:tcPr>
            <w:tcW w:type="dxa" w:w="1584"/>
            <w:shd w:val="clear" w:color="auto" w:fill="F2F2F2"/>
          </w:tcPr>
          <w:p>
            <w:pPr>
              <w:keepNext/>
              <w:jc w:val="center"/>
            </w:pPr>
            <w:r>
              <w:rPr>
                <w:rFonts w:ascii="Calibri" w:hAnsi="Calibri"/>
                <w:b w:val="0"/>
                <w:i w:val="0"/>
                <w:sz w:val="18"/>
              </w:rPr>
              <w:t>108.5</w:t>
            </w:r>
          </w:p>
        </w:tc>
        <w:tc>
          <w:tcPr>
            <w:tcW w:type="dxa" w:w="1440"/>
            <w:shd w:val="clear" w:color="auto" w:fill="F2F2F2"/>
          </w:tcPr>
          <w:p>
            <w:pPr>
              <w:keepNext/>
              <w:jc w:val="center"/>
            </w:pPr>
            <w:r>
              <w:rPr>
                <w:rFonts w:ascii="Calibri" w:hAnsi="Calibri"/>
                <w:b w:val="0"/>
                <w:i w:val="0"/>
                <w:sz w:val="18"/>
              </w:rPr>
              <w:t>138</w:t>
            </w:r>
          </w:p>
        </w:tc>
      </w:tr>
      <w:tr>
        <w:tc>
          <w:tcPr>
            <w:tcW w:type="dxa" w:w="3744"/>
            <w:shd w:val="clear" w:color="auto" w:fill="FFFFFF"/>
          </w:tcPr>
          <w:p>
            <w:pPr>
              <w:keepNext/>
              <w:jc w:val="left"/>
            </w:pPr>
            <w:r>
              <w:rPr>
                <w:rFonts w:ascii="Calibri" w:hAnsi="Calibri"/>
                <w:b w:val="0"/>
                <w:i w:val="0"/>
                <w:sz w:val="18"/>
              </w:rPr>
              <w:t>PM2.5 (partículas &lt; 2.5 µm)</w:t>
            </w:r>
          </w:p>
        </w:tc>
        <w:tc>
          <w:tcPr>
            <w:tcW w:type="dxa" w:w="1152"/>
            <w:shd w:val="clear" w:color="auto" w:fill="FFFFFF"/>
          </w:tcPr>
          <w:p>
            <w:pPr>
              <w:keepNext/>
              <w:jc w:val="center"/>
            </w:pPr>
            <w:r>
              <w:rPr>
                <w:rFonts w:ascii="Calibri" w:hAnsi="Calibri"/>
                <w:b w:val="0"/>
                <w:i w:val="0"/>
                <w:sz w:val="18"/>
              </w:rPr>
              <w:t>8.0</w:t>
            </w:r>
          </w:p>
        </w:tc>
        <w:tc>
          <w:tcPr>
            <w:tcW w:type="dxa" w:w="1152"/>
            <w:shd w:val="clear" w:color="auto" w:fill="FFFFFF"/>
          </w:tcPr>
          <w:p>
            <w:pPr>
              <w:keepNext/>
              <w:jc w:val="center"/>
            </w:pPr>
            <w:r>
              <w:rPr>
                <w:rFonts w:ascii="Calibri" w:hAnsi="Calibri"/>
                <w:b w:val="0"/>
                <w:i w:val="0"/>
                <w:sz w:val="18"/>
              </w:rPr>
              <w:t>23.0</w:t>
            </w:r>
          </w:p>
        </w:tc>
        <w:tc>
          <w:tcPr>
            <w:tcW w:type="dxa" w:w="1584"/>
            <w:shd w:val="clear" w:color="auto" w:fill="FFFFFF"/>
          </w:tcPr>
          <w:p>
            <w:pPr>
              <w:keepNext/>
              <w:jc w:val="center"/>
            </w:pPr>
            <w:r>
              <w:rPr>
                <w:rFonts w:ascii="Calibri" w:hAnsi="Calibri"/>
                <w:b w:val="0"/>
                <w:i w:val="0"/>
                <w:sz w:val="18"/>
              </w:rPr>
              <w:t>45.5</w:t>
            </w:r>
          </w:p>
        </w:tc>
        <w:tc>
          <w:tcPr>
            <w:tcW w:type="dxa" w:w="1440"/>
            <w:shd w:val="clear" w:color="auto" w:fill="FFFFFF"/>
          </w:tcPr>
          <w:p>
            <w:pPr>
              <w:keepNext/>
              <w:jc w:val="center"/>
            </w:pPr>
            <w:r>
              <w:rPr>
                <w:rFonts w:ascii="Calibri" w:hAnsi="Calibri"/>
                <w:b w:val="0"/>
                <w:i w:val="0"/>
                <w:sz w:val="18"/>
              </w:rPr>
              <w:t>138</w:t>
            </w:r>
          </w:p>
        </w:tc>
      </w:tr>
    </w:tbl>
    <w:p>
      <w:pPr>
        <w:keepNext w:val="0"/>
        <w:spacing w:before="40" w:after="160"/>
        <w:jc w:val="center"/>
      </w:pPr>
      <w:r>
        <w:rPr>
          <w:rFonts w:ascii="Calibri" w:hAnsi="Calibri"/>
          <w:b w:val="0"/>
          <w:i/>
          <w:color w:val="404040"/>
          <w:sz w:val="18"/>
        </w:rPr>
        <w:t>Tabla 2. Cercas de Tukey y horas atípicas por variable, corpus homogéneo (n = 2,312).</w:t>
      </w:r>
    </w:p>
    <w:p>
      <w:pPr>
        <w:keepNext/>
        <w:jc w:val="center"/>
      </w:pPr>
      <w:r>
        <w:drawing>
          <wp:inline xmlns:a="http://schemas.openxmlformats.org/drawingml/2006/main" xmlns:pic="http://schemas.openxmlformats.org/drawingml/2006/picture">
            <wp:extent cx="5943600" cy="1798570"/>
            <wp:docPr id="2" name="Picture 2"/>
            <wp:cNvGraphicFramePr>
              <a:graphicFrameLocks noChangeAspect="1"/>
            </wp:cNvGraphicFramePr>
            <a:graphic>
              <a:graphicData uri="http://schemas.openxmlformats.org/drawingml/2006/picture">
                <pic:pic>
                  <pic:nvPicPr>
                    <pic:cNvPr id="0" name="boxplots_atipicos.png"/>
                    <pic:cNvPicPr/>
                  </pic:nvPicPr>
                  <pic:blipFill>
                    <a:blip r:embed="rId9"/>
                    <a:stretch>
                      <a:fillRect/>
                    </a:stretch>
                  </pic:blipFill>
                  <pic:spPr>
                    <a:xfrm>
                      <a:off x="0" y="0"/>
                      <a:ext cx="5943600" cy="1798570"/>
                    </a:xfrm>
                    <a:prstGeom prst="rect"/>
                  </pic:spPr>
                </pic:pic>
              </a:graphicData>
            </a:graphic>
          </wp:inline>
        </w:drawing>
      </w:r>
    </w:p>
    <w:p>
      <w:pPr>
        <w:keepNext w:val="0"/>
        <w:spacing w:before="40" w:after="160"/>
        <w:jc w:val="center"/>
      </w:pPr>
      <w:r>
        <w:rPr>
          <w:rFonts w:ascii="Calibri" w:hAnsi="Calibri"/>
          <w:b w:val="0"/>
          <w:i/>
          <w:color w:val="404040"/>
          <w:sz w:val="18"/>
        </w:rPr>
        <w:t>Figura 1. Diagramas de caja de cada variable en el corpus homogéneo. La línea punteada roja marca la cerca superior de Tukey; los puntos rojos son los valores atípicos.</w:t>
      </w:r>
    </w:p>
    <w:p>
      <w:pPr>
        <w:keepNext w:val="0"/>
        <w:spacing w:before="0" w:after="100"/>
        <w:jc w:val="both"/>
      </w:pPr>
      <w:r>
        <w:rPr>
          <w:rFonts w:ascii="Calibri" w:hAnsi="Calibri"/>
          <w:b w:val="0"/>
          <w:i w:val="0"/>
          <w:sz w:val="20"/>
        </w:rPr>
        <w:t>En total quité 430 horas, el 18.6 % del corpus. El NO es el que tiene más atípicos (380). Tiene sentido, porque sale directo del escape de los coches y se dispara en las horas de más tráfico. Muchas veces una misma hora es atípica en varios contaminantes a la vez, y por eso el total de horas quitadas es menor que la suma de la última columna de la Tabla 2.</w:t>
      </w:r>
    </w:p>
    <w:p>
      <w:pPr>
        <w:keepNext/>
        <w:spacing w:before="140" w:after="60"/>
        <w:jc w:val="left"/>
      </w:pPr>
      <w:r>
        <w:rPr>
          <w:rFonts w:ascii="Calibri" w:hAnsi="Calibri"/>
          <w:b/>
          <w:i w:val="0"/>
          <w:color w:val="1F497D"/>
          <w:sz w:val="22"/>
        </w:rPr>
        <w:t>2.3 Recta de regresión que cruza por el origen</w:t>
      </w:r>
    </w:p>
    <w:p>
      <w:pPr>
        <w:keepNext/>
        <w:spacing w:before="0" w:after="100"/>
        <w:jc w:val="both"/>
      </w:pPr>
      <w:r>
        <w:rPr>
          <w:rFonts w:ascii="Calibri" w:hAnsi="Calibri"/>
          <w:b w:val="0"/>
          <w:i w:val="0"/>
          <w:sz w:val="20"/>
        </w:rPr>
        <w:t>En la Tarea 1.4 usé la recta NO₂ = b₀ + b₁X. Ahora ajusté por mínimos cuadrados el modelo sin intercepto NO₂ = b·X, que obliga a la recta a pasar por (0, 0). La idea es que, si no hay emisiones, tampoco debería haber NO₂. Las fórmulas de la pendiente y del coeficiente de determinación están en la Figura 2.</w:t>
      </w:r>
    </w:p>
    <w:p>
      <w:pPr>
        <w:keepNext/>
        <w:jc w:val="center"/>
      </w:pPr>
      <w:r>
        <w:drawing>
          <wp:inline xmlns:a="http://schemas.openxmlformats.org/drawingml/2006/main" xmlns:pic="http://schemas.openxmlformats.org/drawingml/2006/picture">
            <wp:extent cx="2651760" cy="1818523"/>
            <wp:docPr id="3" name="Picture 3"/>
            <wp:cNvGraphicFramePr>
              <a:graphicFrameLocks noChangeAspect="1"/>
            </wp:cNvGraphicFramePr>
            <a:graphic>
              <a:graphicData uri="http://schemas.openxmlformats.org/drawingml/2006/picture">
                <pic:pic>
                  <pic:nvPicPr>
                    <pic:cNvPr id="0" name="formulas_origen.png"/>
                    <pic:cNvPicPr/>
                  </pic:nvPicPr>
                  <pic:blipFill>
                    <a:blip r:embed="rId10"/>
                    <a:stretch>
                      <a:fillRect/>
                    </a:stretch>
                  </pic:blipFill>
                  <pic:spPr>
                    <a:xfrm>
                      <a:off x="0" y="0"/>
                      <a:ext cx="2651760" cy="1818523"/>
                    </a:xfrm>
                    <a:prstGeom prst="rect"/>
                  </pic:spPr>
                </pic:pic>
              </a:graphicData>
            </a:graphic>
          </wp:inline>
        </w:drawing>
      </w:r>
    </w:p>
    <w:p>
      <w:pPr>
        <w:keepNext w:val="0"/>
        <w:spacing w:before="40" w:after="160"/>
        <w:jc w:val="center"/>
      </w:pPr>
      <w:r>
        <w:rPr>
          <w:rFonts w:ascii="Calibri" w:hAnsi="Calibri"/>
          <w:b w:val="0"/>
          <w:i/>
          <w:color w:val="404040"/>
          <w:sz w:val="18"/>
        </w:rPr>
        <w:t>Figura 2. Pendiente y coeficiente de determinación de la recta de regresión que cruza por el origen.</w:t>
      </w:r>
    </w:p>
    <w:p>
      <w:pPr>
        <w:keepNext w:val="0"/>
        <w:spacing w:before="0" w:after="100"/>
        <w:jc w:val="both"/>
      </w:pPr>
      <w:r>
        <w:rPr>
          <w:rFonts w:ascii="Calibri" w:hAnsi="Calibri"/>
          <w:b w:val="0"/>
          <w:i w:val="0"/>
          <w:sz w:val="20"/>
        </w:rPr>
        <w:t>Hay que tener cuidado con el R²₀. En un modelo sin intercepto el R² se mide contra cero y no contra el promedio, y por eso suele salir más alto de lo que en realidad ajusta el modelo. No se puede comparar con el R² de una recta normal ni con r². Por esa razón usé el coeficiente de Pearson para ordenar los contaminantes, y la recta por el origen solo para ver la proporción entre el NO₂ y cada contaminante.</w:t>
      </w:r>
    </w:p>
    <w:p>
      <w:pPr>
        <w:keepNext/>
        <w:spacing w:before="200" w:after="60"/>
        <w:jc w:val="left"/>
      </w:pPr>
      <w:r>
        <w:rPr>
          <w:rFonts w:ascii="Calibri" w:hAnsi="Calibri"/>
          <w:b/>
          <w:i w:val="0"/>
          <w:color w:val="1F497D"/>
          <w:sz w:val="26"/>
        </w:rPr>
        <w:t>3. Resultados</w:t>
      </w:r>
    </w:p>
    <w:p>
      <w:pPr>
        <w:keepNext/>
        <w:spacing w:before="140" w:after="60"/>
        <w:jc w:val="left"/>
      </w:pPr>
      <w:r>
        <w:rPr>
          <w:rFonts w:ascii="Calibri" w:hAnsi="Calibri"/>
          <w:b/>
          <w:i w:val="0"/>
          <w:color w:val="1F497D"/>
          <w:sz w:val="22"/>
        </w:rPr>
        <w:t>3.1 Efecto de los ajustes sobre el coeficiente de correlación</w:t>
      </w:r>
    </w:p>
    <w:p>
      <w:pPr>
        <w:keepNext/>
        <w:spacing w:before="0" w:after="100"/>
        <w:jc w:val="both"/>
      </w:pPr>
      <w:r>
        <w:rPr>
          <w:rFonts w:ascii="Calibri" w:hAnsi="Calibri"/>
          <w:b w:val="0"/>
          <w:i w:val="0"/>
          <w:sz w:val="20"/>
        </w:rPr>
        <w:t>En la Tabla 3 se ve cómo cambia la correlación de cada contaminante con el NO₂ después de cada ajuste. La Figura 3 compara las matrices de correlación de la Tarea 1.4 y de esta tarea en mapas de calor, donde el rojo intenso indica correlación positiva fuerte y el azul, negativa.</w:t>
      </w:r>
    </w:p>
    <w:tbl>
      <w:tblPr>
        <w:tblStyle w:val="TableGrid"/>
        <w:tblW w:type="auto" w:w="0"/>
        <w:jc w:val="center"/>
        <w:tblLook w:firstColumn="1" w:firstRow="1" w:lastColumn="0" w:lastRow="0" w:noHBand="0" w:noVBand="1" w:val="04A0"/>
      </w:tblPr>
      <w:tblGrid>
        <w:gridCol w:w="2016"/>
        <w:gridCol w:w="2016"/>
        <w:gridCol w:w="2016"/>
        <w:gridCol w:w="2016"/>
        <w:gridCol w:w="2016"/>
      </w:tblGrid>
      <w:tr>
        <w:tc>
          <w:tcPr>
            <w:tcW w:type="dxa" w:w="3600"/>
            <w:shd w:val="clear" w:color="auto" w:fill="1F497D"/>
          </w:tcPr>
          <w:p>
            <w:pPr>
              <w:keepNext/>
              <w:jc w:val="center"/>
            </w:pPr>
            <w:r>
              <w:rPr>
                <w:rFonts w:ascii="Calibri" w:hAnsi="Calibri"/>
                <w:b/>
                <w:i w:val="0"/>
                <w:color w:val="FFFFFF"/>
                <w:sz w:val="18"/>
              </w:rPr>
              <w:t>Contaminante</w:t>
            </w:r>
          </w:p>
        </w:tc>
        <w:tc>
          <w:tcPr>
            <w:tcW w:type="dxa" w:w="1296"/>
            <w:shd w:val="clear" w:color="auto" w:fill="1F497D"/>
          </w:tcPr>
          <w:p>
            <w:pPr>
              <w:keepNext/>
              <w:jc w:val="center"/>
            </w:pPr>
            <w:r>
              <w:rPr>
                <w:rFonts w:ascii="Calibri" w:hAnsi="Calibri"/>
                <w:b/>
                <w:i w:val="0"/>
                <w:color w:val="FFFFFF"/>
                <w:sz w:val="18"/>
              </w:rPr>
              <w:t>r Tarea 1.4</w:t>
            </w:r>
          </w:p>
        </w:tc>
        <w:tc>
          <w:tcPr>
            <w:tcW w:type="dxa" w:w="1872"/>
            <w:shd w:val="clear" w:color="auto" w:fill="1F497D"/>
          </w:tcPr>
          <w:p>
            <w:pPr>
              <w:keepNext/>
              <w:jc w:val="center"/>
            </w:pPr>
            <w:r>
              <w:rPr>
                <w:rFonts w:ascii="Calibri" w:hAnsi="Calibri"/>
                <w:b/>
                <w:i w:val="0"/>
                <w:color w:val="FFFFFF"/>
                <w:sz w:val="18"/>
              </w:rPr>
              <w:t>r corpus homogéneo</w:t>
            </w:r>
          </w:p>
        </w:tc>
        <w:tc>
          <w:tcPr>
            <w:tcW w:type="dxa" w:w="1584"/>
            <w:shd w:val="clear" w:color="auto" w:fill="1F497D"/>
          </w:tcPr>
          <w:p>
            <w:pPr>
              <w:keepNext/>
              <w:jc w:val="center"/>
            </w:pPr>
            <w:r>
              <w:rPr>
                <w:rFonts w:ascii="Calibri" w:hAnsi="Calibri"/>
                <w:b/>
                <w:i w:val="0"/>
                <w:color w:val="FFFFFF"/>
                <w:sz w:val="18"/>
              </w:rPr>
              <w:t>r sin atípicos</w:t>
            </w:r>
          </w:p>
        </w:tc>
        <w:tc>
          <w:tcPr>
            <w:tcW w:type="dxa" w:w="1152"/>
            <w:shd w:val="clear" w:color="auto" w:fill="1F497D"/>
          </w:tcPr>
          <w:p>
            <w:pPr>
              <w:keepNext/>
              <w:jc w:val="center"/>
            </w:pPr>
            <w:r>
              <w:rPr>
                <w:rFonts w:ascii="Calibri" w:hAnsi="Calibri"/>
                <w:b/>
                <w:i w:val="0"/>
                <w:color w:val="FFFFFF"/>
                <w:sz w:val="18"/>
              </w:rPr>
              <w:t>Cambio</w:t>
            </w:r>
          </w:p>
        </w:tc>
      </w:tr>
      <w:tr>
        <w:tc>
          <w:tcPr>
            <w:tcW w:type="dxa" w:w="3600"/>
            <w:shd w:val="clear" w:color="auto" w:fill="FCE4B8"/>
          </w:tcPr>
          <w:p>
            <w:pPr>
              <w:keepNext/>
              <w:jc w:val="left"/>
            </w:pPr>
            <w:r>
              <w:rPr>
                <w:rFonts w:ascii="Calibri" w:hAnsi="Calibri"/>
                <w:b/>
                <w:i w:val="0"/>
                <w:sz w:val="18"/>
              </w:rPr>
              <w:t>NOx (óxidos de nitrógeno)</w:t>
            </w:r>
          </w:p>
        </w:tc>
        <w:tc>
          <w:tcPr>
            <w:tcW w:type="dxa" w:w="1296"/>
            <w:shd w:val="clear" w:color="auto" w:fill="FCE4B8"/>
          </w:tcPr>
          <w:p>
            <w:pPr>
              <w:keepNext/>
              <w:jc w:val="center"/>
            </w:pPr>
            <w:r>
              <w:rPr>
                <w:rFonts w:ascii="Calibri" w:hAnsi="Calibri"/>
                <w:b/>
                <w:i w:val="0"/>
                <w:sz w:val="18"/>
              </w:rPr>
              <w:t>+0.814</w:t>
            </w:r>
          </w:p>
        </w:tc>
        <w:tc>
          <w:tcPr>
            <w:tcW w:type="dxa" w:w="1872"/>
            <w:shd w:val="clear" w:color="auto" w:fill="FCE4B8"/>
          </w:tcPr>
          <w:p>
            <w:pPr>
              <w:keepNext/>
              <w:jc w:val="center"/>
            </w:pPr>
            <w:r>
              <w:rPr>
                <w:rFonts w:ascii="Calibri" w:hAnsi="Calibri"/>
                <w:b/>
                <w:i w:val="0"/>
                <w:sz w:val="18"/>
              </w:rPr>
              <w:t>+0.809</w:t>
            </w:r>
          </w:p>
        </w:tc>
        <w:tc>
          <w:tcPr>
            <w:tcW w:type="dxa" w:w="1584"/>
            <w:shd w:val="clear" w:color="auto" w:fill="FCE4B8"/>
          </w:tcPr>
          <w:p>
            <w:pPr>
              <w:keepNext/>
              <w:jc w:val="center"/>
            </w:pPr>
            <w:r>
              <w:rPr>
                <w:rFonts w:ascii="Calibri" w:hAnsi="Calibri"/>
                <w:b/>
                <w:i w:val="0"/>
                <w:sz w:val="18"/>
              </w:rPr>
              <w:t>+0.942</w:t>
            </w:r>
          </w:p>
        </w:tc>
        <w:tc>
          <w:tcPr>
            <w:tcW w:type="dxa" w:w="1152"/>
            <w:shd w:val="clear" w:color="auto" w:fill="FCE4B8"/>
          </w:tcPr>
          <w:p>
            <w:pPr>
              <w:keepNext/>
              <w:jc w:val="center"/>
            </w:pPr>
            <w:r>
              <w:rPr>
                <w:rFonts w:ascii="Calibri" w:hAnsi="Calibri"/>
                <w:b/>
                <w:i w:val="0"/>
                <w:sz w:val="18"/>
              </w:rPr>
              <w:t>+0.128</w:t>
            </w:r>
          </w:p>
        </w:tc>
      </w:tr>
      <w:tr>
        <w:tc>
          <w:tcPr>
            <w:tcW w:type="dxa" w:w="3600"/>
            <w:shd w:val="clear" w:color="auto" w:fill="F2F2F2"/>
          </w:tcPr>
          <w:p>
            <w:pPr>
              <w:keepNext/>
              <w:jc w:val="left"/>
            </w:pPr>
            <w:r>
              <w:rPr>
                <w:rFonts w:ascii="Calibri" w:hAnsi="Calibri"/>
                <w:b w:val="0"/>
                <w:i w:val="0"/>
                <w:sz w:val="18"/>
              </w:rPr>
              <w:t>CO (monóxido de carbono)</w:t>
            </w:r>
          </w:p>
        </w:tc>
        <w:tc>
          <w:tcPr>
            <w:tcW w:type="dxa" w:w="1296"/>
            <w:shd w:val="clear" w:color="auto" w:fill="F2F2F2"/>
          </w:tcPr>
          <w:p>
            <w:pPr>
              <w:keepNext/>
              <w:jc w:val="center"/>
            </w:pPr>
            <w:r>
              <w:rPr>
                <w:rFonts w:ascii="Calibri" w:hAnsi="Calibri"/>
                <w:b w:val="0"/>
                <w:i w:val="0"/>
                <w:sz w:val="18"/>
              </w:rPr>
              <w:t>+0.806</w:t>
            </w:r>
          </w:p>
        </w:tc>
        <w:tc>
          <w:tcPr>
            <w:tcW w:type="dxa" w:w="1872"/>
            <w:shd w:val="clear" w:color="auto" w:fill="F2F2F2"/>
          </w:tcPr>
          <w:p>
            <w:pPr>
              <w:keepNext/>
              <w:jc w:val="center"/>
            </w:pPr>
            <w:r>
              <w:rPr>
                <w:rFonts w:ascii="Calibri" w:hAnsi="Calibri"/>
                <w:b w:val="0"/>
                <w:i w:val="0"/>
                <w:sz w:val="18"/>
              </w:rPr>
              <w:t>+0.800</w:t>
            </w:r>
          </w:p>
        </w:tc>
        <w:tc>
          <w:tcPr>
            <w:tcW w:type="dxa" w:w="1584"/>
            <w:shd w:val="clear" w:color="auto" w:fill="F2F2F2"/>
          </w:tcPr>
          <w:p>
            <w:pPr>
              <w:keepNext/>
              <w:jc w:val="center"/>
            </w:pPr>
            <w:r>
              <w:rPr>
                <w:rFonts w:ascii="Calibri" w:hAnsi="Calibri"/>
                <w:b w:val="0"/>
                <w:i w:val="0"/>
                <w:sz w:val="18"/>
              </w:rPr>
              <w:t>+0.909</w:t>
            </w:r>
          </w:p>
        </w:tc>
        <w:tc>
          <w:tcPr>
            <w:tcW w:type="dxa" w:w="1152"/>
            <w:shd w:val="clear" w:color="auto" w:fill="F2F2F2"/>
          </w:tcPr>
          <w:p>
            <w:pPr>
              <w:keepNext/>
              <w:jc w:val="center"/>
            </w:pPr>
            <w:r>
              <w:rPr>
                <w:rFonts w:ascii="Calibri" w:hAnsi="Calibri"/>
                <w:b w:val="0"/>
                <w:i w:val="0"/>
                <w:sz w:val="18"/>
              </w:rPr>
              <w:t>+0.103</w:t>
            </w:r>
          </w:p>
        </w:tc>
      </w:tr>
      <w:tr>
        <w:tc>
          <w:tcPr>
            <w:tcW w:type="dxa" w:w="3600"/>
            <w:shd w:val="clear" w:color="auto" w:fill="FFFFFF"/>
          </w:tcPr>
          <w:p>
            <w:pPr>
              <w:keepNext/>
              <w:jc w:val="left"/>
            </w:pPr>
            <w:r>
              <w:rPr>
                <w:rFonts w:ascii="Calibri" w:hAnsi="Calibri"/>
                <w:b w:val="0"/>
                <w:i w:val="0"/>
                <w:sz w:val="18"/>
              </w:rPr>
              <w:t>NO (monóxido de nitrógeno)</w:t>
            </w:r>
          </w:p>
        </w:tc>
        <w:tc>
          <w:tcPr>
            <w:tcW w:type="dxa" w:w="1296"/>
            <w:shd w:val="clear" w:color="auto" w:fill="FFFFFF"/>
          </w:tcPr>
          <w:p>
            <w:pPr>
              <w:keepNext/>
              <w:jc w:val="center"/>
            </w:pPr>
            <w:r>
              <w:rPr>
                <w:rFonts w:ascii="Calibri" w:hAnsi="Calibri"/>
                <w:b w:val="0"/>
                <w:i w:val="0"/>
                <w:sz w:val="18"/>
              </w:rPr>
              <w:t>+0.650</w:t>
            </w:r>
          </w:p>
        </w:tc>
        <w:tc>
          <w:tcPr>
            <w:tcW w:type="dxa" w:w="1872"/>
            <w:shd w:val="clear" w:color="auto" w:fill="FFFFFF"/>
          </w:tcPr>
          <w:p>
            <w:pPr>
              <w:keepNext/>
              <w:jc w:val="center"/>
            </w:pPr>
            <w:r>
              <w:rPr>
                <w:rFonts w:ascii="Calibri" w:hAnsi="Calibri"/>
                <w:b w:val="0"/>
                <w:i w:val="0"/>
                <w:sz w:val="18"/>
              </w:rPr>
              <w:t>+0.646</w:t>
            </w:r>
          </w:p>
        </w:tc>
        <w:tc>
          <w:tcPr>
            <w:tcW w:type="dxa" w:w="1584"/>
            <w:shd w:val="clear" w:color="auto" w:fill="FFFFFF"/>
          </w:tcPr>
          <w:p>
            <w:pPr>
              <w:keepNext/>
              <w:jc w:val="center"/>
            </w:pPr>
            <w:r>
              <w:rPr>
                <w:rFonts w:ascii="Calibri" w:hAnsi="Calibri"/>
                <w:b w:val="0"/>
                <w:i w:val="0"/>
                <w:sz w:val="18"/>
              </w:rPr>
              <w:t>+0.578</w:t>
            </w:r>
          </w:p>
        </w:tc>
        <w:tc>
          <w:tcPr>
            <w:tcW w:type="dxa" w:w="1152"/>
            <w:shd w:val="clear" w:color="auto" w:fill="FFFFFF"/>
          </w:tcPr>
          <w:p>
            <w:pPr>
              <w:keepNext/>
              <w:jc w:val="center"/>
            </w:pPr>
            <w:r>
              <w:rPr>
                <w:rFonts w:ascii="Calibri" w:hAnsi="Calibri"/>
                <w:b w:val="0"/>
                <w:i w:val="0"/>
                <w:sz w:val="18"/>
              </w:rPr>
              <w:t>-0.072</w:t>
            </w:r>
          </w:p>
        </w:tc>
      </w:tr>
      <w:tr>
        <w:tc>
          <w:tcPr>
            <w:tcW w:type="dxa" w:w="3600"/>
            <w:shd w:val="clear" w:color="auto" w:fill="F2F2F2"/>
          </w:tcPr>
          <w:p>
            <w:pPr>
              <w:keepNext/>
              <w:jc w:val="left"/>
            </w:pPr>
            <w:r>
              <w:rPr>
                <w:rFonts w:ascii="Calibri" w:hAnsi="Calibri"/>
                <w:b w:val="0"/>
                <w:i w:val="0"/>
                <w:sz w:val="18"/>
              </w:rPr>
              <w:t>O₃ (ozono)</w:t>
            </w:r>
          </w:p>
        </w:tc>
        <w:tc>
          <w:tcPr>
            <w:tcW w:type="dxa" w:w="1296"/>
            <w:shd w:val="clear" w:color="auto" w:fill="F2F2F2"/>
          </w:tcPr>
          <w:p>
            <w:pPr>
              <w:keepNext/>
              <w:jc w:val="center"/>
            </w:pPr>
            <w:r>
              <w:rPr>
                <w:rFonts w:ascii="Calibri" w:hAnsi="Calibri"/>
                <w:b w:val="0"/>
                <w:i w:val="0"/>
                <w:sz w:val="18"/>
              </w:rPr>
              <w:t>-0.591</w:t>
            </w:r>
          </w:p>
        </w:tc>
        <w:tc>
          <w:tcPr>
            <w:tcW w:type="dxa" w:w="1872"/>
            <w:shd w:val="clear" w:color="auto" w:fill="F2F2F2"/>
          </w:tcPr>
          <w:p>
            <w:pPr>
              <w:keepNext/>
              <w:jc w:val="center"/>
            </w:pPr>
            <w:r>
              <w:rPr>
                <w:rFonts w:ascii="Calibri" w:hAnsi="Calibri"/>
                <w:b w:val="0"/>
                <w:i w:val="0"/>
                <w:sz w:val="18"/>
              </w:rPr>
              <w:t>-0.595</w:t>
            </w:r>
          </w:p>
        </w:tc>
        <w:tc>
          <w:tcPr>
            <w:tcW w:type="dxa" w:w="1584"/>
            <w:shd w:val="clear" w:color="auto" w:fill="F2F2F2"/>
          </w:tcPr>
          <w:p>
            <w:pPr>
              <w:keepNext/>
              <w:jc w:val="center"/>
            </w:pPr>
            <w:r>
              <w:rPr>
                <w:rFonts w:ascii="Calibri" w:hAnsi="Calibri"/>
                <w:b w:val="0"/>
                <w:i w:val="0"/>
                <w:sz w:val="18"/>
              </w:rPr>
              <w:t>-0.523</w:t>
            </w:r>
          </w:p>
        </w:tc>
        <w:tc>
          <w:tcPr>
            <w:tcW w:type="dxa" w:w="1152"/>
            <w:shd w:val="clear" w:color="auto" w:fill="F2F2F2"/>
          </w:tcPr>
          <w:p>
            <w:pPr>
              <w:keepNext/>
              <w:jc w:val="center"/>
            </w:pPr>
            <w:r>
              <w:rPr>
                <w:rFonts w:ascii="Calibri" w:hAnsi="Calibri"/>
                <w:b w:val="0"/>
                <w:i w:val="0"/>
                <w:sz w:val="18"/>
              </w:rPr>
              <w:t>+0.068</w:t>
            </w:r>
          </w:p>
        </w:tc>
      </w:tr>
      <w:tr>
        <w:tc>
          <w:tcPr>
            <w:tcW w:type="dxa" w:w="3600"/>
            <w:shd w:val="clear" w:color="auto" w:fill="FFFFFF"/>
          </w:tcPr>
          <w:p>
            <w:pPr>
              <w:keepNext/>
              <w:jc w:val="left"/>
            </w:pPr>
            <w:r>
              <w:rPr>
                <w:rFonts w:ascii="Calibri" w:hAnsi="Calibri"/>
                <w:b w:val="0"/>
                <w:i w:val="0"/>
                <w:sz w:val="18"/>
              </w:rPr>
              <w:t>PM10 (partículas &lt; 10 µm)</w:t>
            </w:r>
          </w:p>
        </w:tc>
        <w:tc>
          <w:tcPr>
            <w:tcW w:type="dxa" w:w="1296"/>
            <w:shd w:val="clear" w:color="auto" w:fill="FFFFFF"/>
          </w:tcPr>
          <w:p>
            <w:pPr>
              <w:keepNext/>
              <w:jc w:val="center"/>
            </w:pPr>
            <w:r>
              <w:rPr>
                <w:rFonts w:ascii="Calibri" w:hAnsi="Calibri"/>
                <w:b w:val="0"/>
                <w:i w:val="0"/>
                <w:sz w:val="18"/>
              </w:rPr>
              <w:t>+0.696</w:t>
            </w:r>
          </w:p>
        </w:tc>
        <w:tc>
          <w:tcPr>
            <w:tcW w:type="dxa" w:w="1872"/>
            <w:shd w:val="clear" w:color="auto" w:fill="FFFFFF"/>
          </w:tcPr>
          <w:p>
            <w:pPr>
              <w:keepNext/>
              <w:jc w:val="center"/>
            </w:pPr>
            <w:r>
              <w:rPr>
                <w:rFonts w:ascii="Calibri" w:hAnsi="Calibri"/>
                <w:b w:val="0"/>
                <w:i w:val="0"/>
                <w:sz w:val="18"/>
              </w:rPr>
              <w:t>+0.688</w:t>
            </w:r>
          </w:p>
        </w:tc>
        <w:tc>
          <w:tcPr>
            <w:tcW w:type="dxa" w:w="1584"/>
            <w:shd w:val="clear" w:color="auto" w:fill="FFFFFF"/>
          </w:tcPr>
          <w:p>
            <w:pPr>
              <w:keepNext/>
              <w:jc w:val="center"/>
            </w:pPr>
            <w:r>
              <w:rPr>
                <w:rFonts w:ascii="Calibri" w:hAnsi="Calibri"/>
                <w:b w:val="0"/>
                <w:i w:val="0"/>
                <w:sz w:val="18"/>
              </w:rPr>
              <w:t>+0.500</w:t>
            </w:r>
          </w:p>
        </w:tc>
        <w:tc>
          <w:tcPr>
            <w:tcW w:type="dxa" w:w="1152"/>
            <w:shd w:val="clear" w:color="auto" w:fill="FFFFFF"/>
          </w:tcPr>
          <w:p>
            <w:pPr>
              <w:keepNext/>
              <w:jc w:val="center"/>
            </w:pPr>
            <w:r>
              <w:rPr>
                <w:rFonts w:ascii="Calibri" w:hAnsi="Calibri"/>
                <w:b w:val="0"/>
                <w:i w:val="0"/>
                <w:sz w:val="18"/>
              </w:rPr>
              <w:t>-0.196</w:t>
            </w:r>
          </w:p>
        </w:tc>
      </w:tr>
      <w:tr>
        <w:tc>
          <w:tcPr>
            <w:tcW w:type="dxa" w:w="3600"/>
            <w:shd w:val="clear" w:color="auto" w:fill="F2F2F2"/>
          </w:tcPr>
          <w:p>
            <w:pPr>
              <w:keepNext/>
              <w:jc w:val="left"/>
            </w:pPr>
            <w:r>
              <w:rPr>
                <w:rFonts w:ascii="Calibri" w:hAnsi="Calibri"/>
                <w:b w:val="0"/>
                <w:i w:val="0"/>
                <w:sz w:val="18"/>
              </w:rPr>
              <w:t>PM2.5 (partículas &lt; 2.5 µm)</w:t>
            </w:r>
          </w:p>
        </w:tc>
        <w:tc>
          <w:tcPr>
            <w:tcW w:type="dxa" w:w="1296"/>
            <w:shd w:val="clear" w:color="auto" w:fill="F2F2F2"/>
          </w:tcPr>
          <w:p>
            <w:pPr>
              <w:keepNext/>
              <w:jc w:val="center"/>
            </w:pPr>
            <w:r>
              <w:rPr>
                <w:rFonts w:ascii="Calibri" w:hAnsi="Calibri"/>
                <w:b w:val="0"/>
                <w:i w:val="0"/>
                <w:sz w:val="18"/>
              </w:rPr>
              <w:t>+0.572</w:t>
            </w:r>
          </w:p>
        </w:tc>
        <w:tc>
          <w:tcPr>
            <w:tcW w:type="dxa" w:w="1872"/>
            <w:shd w:val="clear" w:color="auto" w:fill="F2F2F2"/>
          </w:tcPr>
          <w:p>
            <w:pPr>
              <w:keepNext/>
              <w:jc w:val="center"/>
            </w:pPr>
            <w:r>
              <w:rPr>
                <w:rFonts w:ascii="Calibri" w:hAnsi="Calibri"/>
                <w:b w:val="0"/>
                <w:i w:val="0"/>
                <w:sz w:val="18"/>
              </w:rPr>
              <w:t>+0.560</w:t>
            </w:r>
          </w:p>
        </w:tc>
        <w:tc>
          <w:tcPr>
            <w:tcW w:type="dxa" w:w="1584"/>
            <w:shd w:val="clear" w:color="auto" w:fill="F2F2F2"/>
          </w:tcPr>
          <w:p>
            <w:pPr>
              <w:keepNext/>
              <w:jc w:val="center"/>
            </w:pPr>
            <w:r>
              <w:rPr>
                <w:rFonts w:ascii="Calibri" w:hAnsi="Calibri"/>
                <w:b w:val="0"/>
                <w:i w:val="0"/>
                <w:sz w:val="18"/>
              </w:rPr>
              <w:t>+0.438</w:t>
            </w:r>
          </w:p>
        </w:tc>
        <w:tc>
          <w:tcPr>
            <w:tcW w:type="dxa" w:w="1152"/>
            <w:shd w:val="clear" w:color="auto" w:fill="F2F2F2"/>
          </w:tcPr>
          <w:p>
            <w:pPr>
              <w:keepNext/>
              <w:jc w:val="center"/>
            </w:pPr>
            <w:r>
              <w:rPr>
                <w:rFonts w:ascii="Calibri" w:hAnsi="Calibri"/>
                <w:b w:val="0"/>
                <w:i w:val="0"/>
                <w:sz w:val="18"/>
              </w:rPr>
              <w:t>-0.134</w:t>
            </w:r>
          </w:p>
        </w:tc>
      </w:tr>
    </w:tbl>
    <w:p>
      <w:pPr>
        <w:keepNext w:val="0"/>
        <w:spacing w:before="40" w:after="160"/>
        <w:jc w:val="center"/>
      </w:pPr>
      <w:r>
        <w:rPr>
          <w:rFonts w:ascii="Calibri" w:hAnsi="Calibri"/>
          <w:b w:val="0"/>
          <w:i/>
          <w:color w:val="404040"/>
          <w:sz w:val="18"/>
        </w:rPr>
        <w:t>Tabla 3. Coeficiente de correlación de Pearson con el NO₂ en cada etapa del ajuste, ordenado por el valor absoluto de r sin atípicos.</w:t>
      </w:r>
    </w:p>
    <w:p>
      <w:pPr>
        <w:keepNext/>
        <w:jc w:val="center"/>
      </w:pPr>
      <w:r>
        <w:drawing>
          <wp:inline xmlns:a="http://schemas.openxmlformats.org/drawingml/2006/main" xmlns:pic="http://schemas.openxmlformats.org/drawingml/2006/picture">
            <wp:extent cx="5943600" cy="2516242"/>
            <wp:docPr id="4" name="Picture 4"/>
            <wp:cNvGraphicFramePr>
              <a:graphicFrameLocks noChangeAspect="1"/>
            </wp:cNvGraphicFramePr>
            <a:graphic>
              <a:graphicData uri="http://schemas.openxmlformats.org/drawingml/2006/picture">
                <pic:pic>
                  <pic:nvPicPr>
                    <pic:cNvPr id="0" name="mapas_calor_correlacion.png"/>
                    <pic:cNvPicPr/>
                  </pic:nvPicPr>
                  <pic:blipFill>
                    <a:blip r:embed="rId11"/>
                    <a:stretch>
                      <a:fillRect/>
                    </a:stretch>
                  </pic:blipFill>
                  <pic:spPr>
                    <a:xfrm>
                      <a:off x="0" y="0"/>
                      <a:ext cx="5943600" cy="2516242"/>
                    </a:xfrm>
                    <a:prstGeom prst="rect"/>
                  </pic:spPr>
                </pic:pic>
              </a:graphicData>
            </a:graphic>
          </wp:inline>
        </w:drawing>
      </w:r>
    </w:p>
    <w:p>
      <w:pPr>
        <w:keepNext w:val="0"/>
        <w:spacing w:before="40" w:after="160"/>
        <w:jc w:val="center"/>
      </w:pPr>
      <w:r>
        <w:rPr>
          <w:rFonts w:ascii="Calibri" w:hAnsi="Calibri"/>
          <w:b w:val="0"/>
          <w:i/>
          <w:color w:val="404040"/>
          <w:sz w:val="18"/>
        </w:rPr>
        <w:t>Figura 3. Mapas de calor de la matriz de correlación de Pearson antes (Tarea 1.4) y después de los ajustes (Tarea 1.5).</w:t>
      </w:r>
    </w:p>
    <w:p>
      <w:pPr>
        <w:keepNext w:val="0"/>
        <w:spacing w:before="0" w:after="100"/>
        <w:jc w:val="both"/>
      </w:pPr>
      <w:r>
        <w:rPr>
          <w:rFonts w:ascii="Calibri" w:hAnsi="Calibri"/>
          <w:b w:val="0"/>
          <w:i w:val="0"/>
          <w:sz w:val="20"/>
        </w:rPr>
        <w:t>Usar el corpus homogéneo casi no movió los coeficientes (ninguno cambió más de 0.02). O sea, que en la Tarea 1.4 cada par tuviera distintas horas no estaba distorsionando mucho los resultados. Quitar los atípicos, en cambio, sí hizo una diferencia, y no en la misma dirección para todos. En el NOx la correlación subió de 0.814 a 0.942, y en el CO de 0.806 a 0.909.</w:t>
      </w:r>
    </w:p>
    <w:p>
      <w:pPr>
        <w:keepNext w:val="0"/>
        <w:spacing w:before="0" w:after="100"/>
        <w:jc w:val="both"/>
      </w:pPr>
      <w:r>
        <w:rPr>
          <w:rFonts w:ascii="Calibri" w:hAnsi="Calibri"/>
          <w:b w:val="0"/>
          <w:i w:val="0"/>
          <w:sz w:val="20"/>
        </w:rPr>
        <w:t>Para entender por qué, hay que recordar lo que se vio en la Tarea 1.4. Con el NOx y el CO la nube de puntos se curva: cuando sus concentraciones son muy altas, el NO₂ ya no sube al mismo ritmo y los puntos quedan por debajo de la recta. Esos puntos son justo los que el criterio de Tukey marca como atípicos. Al quitarlos, lo que queda es casi una línea recta, y r sube. En el NO, el PM10 y el PM2.5 pasó lo contrario y la correlación bajó. Ahí unas cuantas horas con valores extremos en las dos variables a la vez jalaban la recta hacia arriba, porque los puntos muy alejados del resto pesan mucho en el cálculo (puntos de alta palanca). Sin ellos, la relación resulta más débil de lo que parecía.</w:t>
      </w:r>
    </w:p>
    <w:p>
      <w:pPr>
        <w:keepNext/>
        <w:spacing w:before="140" w:after="60"/>
        <w:jc w:val="left"/>
      </w:pPr>
      <w:r>
        <w:rPr>
          <w:rFonts w:ascii="Calibri" w:hAnsi="Calibri"/>
          <w:b/>
          <w:i w:val="0"/>
          <w:color w:val="1F497D"/>
          <w:sz w:val="22"/>
        </w:rPr>
        <w:t>3.2 Gráficas de dispersión y rectas por el origen</w:t>
      </w:r>
    </w:p>
    <w:p>
      <w:pPr>
        <w:keepNext w:val="0"/>
        <w:spacing w:before="0" w:after="100"/>
        <w:jc w:val="both"/>
      </w:pPr>
      <w:r>
        <w:rPr>
          <w:rFonts w:ascii="Calibri" w:hAnsi="Calibri"/>
          <w:b w:val="0"/>
          <w:i w:val="0"/>
          <w:sz w:val="20"/>
        </w:rPr>
        <w:t>La Figura 4 muestra las gráficas de dispersión ya sin atípicos, con la recta que pasa por el origen en ámbar y, para comparar, la recta con intercepto en gris punteado. Los valores de los dos modelos están en la Tabla 4.</w:t>
      </w:r>
    </w:p>
    <w:p>
      <w:pPr>
        <w:keepNext/>
        <w:jc w:val="center"/>
      </w:pPr>
      <w:r>
        <w:drawing>
          <wp:inline xmlns:a="http://schemas.openxmlformats.org/drawingml/2006/main" xmlns:pic="http://schemas.openxmlformats.org/drawingml/2006/picture">
            <wp:extent cx="5852160" cy="3767180"/>
            <wp:docPr id="5" name="Picture 5"/>
            <wp:cNvGraphicFramePr>
              <a:graphicFrameLocks noChangeAspect="1"/>
            </wp:cNvGraphicFramePr>
            <a:graphic>
              <a:graphicData uri="http://schemas.openxmlformats.org/drawingml/2006/picture">
                <pic:pic>
                  <pic:nvPicPr>
                    <pic:cNvPr id="0" name="dispersion_origen_no2.png"/>
                    <pic:cNvPicPr/>
                  </pic:nvPicPr>
                  <pic:blipFill>
                    <a:blip r:embed="rId12"/>
                    <a:stretch>
                      <a:fillRect/>
                    </a:stretch>
                  </pic:blipFill>
                  <pic:spPr>
                    <a:xfrm>
                      <a:off x="0" y="0"/>
                      <a:ext cx="5852160" cy="3767180"/>
                    </a:xfrm>
                    <a:prstGeom prst="rect"/>
                  </pic:spPr>
                </pic:pic>
              </a:graphicData>
            </a:graphic>
          </wp:inline>
        </w:drawing>
      </w:r>
    </w:p>
    <w:p>
      <w:pPr>
        <w:keepNext w:val="0"/>
        <w:spacing w:before="40" w:after="160"/>
        <w:jc w:val="center"/>
      </w:pPr>
      <w:r>
        <w:rPr>
          <w:rFonts w:ascii="Calibri" w:hAnsi="Calibri"/>
          <w:b w:val="0"/>
          <w:i/>
          <w:color w:val="404040"/>
          <w:sz w:val="18"/>
        </w:rPr>
        <w:t>Figura 4. Dispersión del NO₂ frente a cada contaminante con rectas de regresión que cruzan por el origen, corpus homogéneo sin atípicos (n = 1,882). El panel con borde ámbar corresponde a la correlación más alta.</w:t>
      </w:r>
    </w:p>
    <w:tbl>
      <w:tblPr>
        <w:tblStyle w:val="TableGrid"/>
        <w:tblW w:type="auto" w:w="0"/>
        <w:jc w:val="center"/>
        <w:tblLook w:firstColumn="1" w:firstRow="1" w:lastColumn="0" w:lastRow="0" w:noHBand="0" w:noVBand="1" w:val="04A0"/>
      </w:tblPr>
      <w:tblGrid>
        <w:gridCol w:w="1440"/>
        <w:gridCol w:w="1440"/>
        <w:gridCol w:w="1440"/>
        <w:gridCol w:w="1440"/>
        <w:gridCol w:w="1440"/>
        <w:gridCol w:w="1440"/>
        <w:gridCol w:w="1440"/>
      </w:tblGrid>
      <w:tr>
        <w:tc>
          <w:tcPr>
            <w:tcW w:type="dxa" w:w="3312"/>
            <w:shd w:val="clear" w:color="auto" w:fill="1F497D"/>
          </w:tcPr>
          <w:p>
            <w:pPr>
              <w:keepNext/>
              <w:jc w:val="center"/>
            </w:pPr>
            <w:r>
              <w:rPr>
                <w:rFonts w:ascii="Calibri" w:hAnsi="Calibri"/>
                <w:b/>
                <w:i w:val="0"/>
                <w:color w:val="FFFFFF"/>
                <w:sz w:val="18"/>
              </w:rPr>
              <w:t>Contaminante</w:t>
            </w:r>
          </w:p>
        </w:tc>
        <w:tc>
          <w:tcPr>
            <w:tcW w:type="dxa" w:w="864"/>
            <w:shd w:val="clear" w:color="auto" w:fill="1F497D"/>
          </w:tcPr>
          <w:p>
            <w:pPr>
              <w:keepNext/>
              <w:jc w:val="center"/>
            </w:pPr>
            <w:r>
              <w:rPr>
                <w:rFonts w:ascii="Calibri" w:hAnsi="Calibri"/>
                <w:b/>
                <w:i w:val="0"/>
                <w:color w:val="FFFFFF"/>
                <w:sz w:val="18"/>
              </w:rPr>
              <w:t>r</w:t>
            </w:r>
          </w:p>
        </w:tc>
        <w:tc>
          <w:tcPr>
            <w:tcW w:type="dxa" w:w="1152"/>
            <w:shd w:val="clear" w:color="auto" w:fill="1F497D"/>
          </w:tcPr>
          <w:p>
            <w:pPr>
              <w:keepNext/>
              <w:jc w:val="center"/>
            </w:pPr>
            <w:r>
              <w:rPr>
                <w:rFonts w:ascii="Calibri" w:hAnsi="Calibri"/>
                <w:b/>
                <w:i w:val="0"/>
                <w:color w:val="FFFFFF"/>
                <w:sz w:val="18"/>
              </w:rPr>
              <w:t>b (origen)</w:t>
            </w:r>
          </w:p>
        </w:tc>
        <w:tc>
          <w:tcPr>
            <w:tcW w:type="dxa" w:w="864"/>
            <w:shd w:val="clear" w:color="auto" w:fill="1F497D"/>
          </w:tcPr>
          <w:p>
            <w:pPr>
              <w:keepNext/>
              <w:jc w:val="center"/>
            </w:pPr>
            <w:r>
              <w:rPr>
                <w:rFonts w:ascii="Calibri" w:hAnsi="Calibri"/>
                <w:b/>
                <w:i w:val="0"/>
                <w:color w:val="FFFFFF"/>
                <w:sz w:val="18"/>
              </w:rPr>
              <w:t>R²₀</w:t>
            </w:r>
          </w:p>
        </w:tc>
        <w:tc>
          <w:tcPr>
            <w:tcW w:type="dxa" w:w="1440"/>
            <w:shd w:val="clear" w:color="auto" w:fill="1F497D"/>
          </w:tcPr>
          <w:p>
            <w:pPr>
              <w:keepNext/>
              <w:jc w:val="center"/>
            </w:pPr>
            <w:r>
              <w:rPr>
                <w:rFonts w:ascii="Calibri" w:hAnsi="Calibri"/>
                <w:b/>
                <w:i w:val="0"/>
                <w:color w:val="FFFFFF"/>
                <w:sz w:val="18"/>
              </w:rPr>
              <w:t>b₀ (intercepto)</w:t>
            </w:r>
          </w:p>
        </w:tc>
        <w:tc>
          <w:tcPr>
            <w:tcW w:type="dxa" w:w="1008"/>
            <w:shd w:val="clear" w:color="auto" w:fill="1F497D"/>
          </w:tcPr>
          <w:p>
            <w:pPr>
              <w:keepNext/>
              <w:jc w:val="center"/>
            </w:pPr>
            <w:r>
              <w:rPr>
                <w:rFonts w:ascii="Calibri" w:hAnsi="Calibri"/>
                <w:b/>
                <w:i w:val="0"/>
                <w:color w:val="FFFFFF"/>
                <w:sz w:val="18"/>
              </w:rPr>
              <w:t>b₁</w:t>
            </w:r>
          </w:p>
        </w:tc>
        <w:tc>
          <w:tcPr>
            <w:tcW w:type="dxa" w:w="864"/>
            <w:shd w:val="clear" w:color="auto" w:fill="1F497D"/>
          </w:tcPr>
          <w:p>
            <w:pPr>
              <w:keepNext/>
              <w:jc w:val="center"/>
            </w:pPr>
            <w:r>
              <w:rPr>
                <w:rFonts w:ascii="Calibri" w:hAnsi="Calibri"/>
                <w:b/>
                <w:i w:val="0"/>
                <w:color w:val="FFFFFF"/>
                <w:sz w:val="18"/>
              </w:rPr>
              <w:t>R²</w:t>
            </w:r>
          </w:p>
        </w:tc>
      </w:tr>
      <w:tr>
        <w:tc>
          <w:tcPr>
            <w:tcW w:type="dxa" w:w="3312"/>
            <w:shd w:val="clear" w:color="auto" w:fill="FCE4B8"/>
          </w:tcPr>
          <w:p>
            <w:pPr>
              <w:keepNext/>
              <w:jc w:val="left"/>
            </w:pPr>
            <w:r>
              <w:rPr>
                <w:rFonts w:ascii="Calibri" w:hAnsi="Calibri"/>
                <w:b/>
                <w:i w:val="0"/>
                <w:sz w:val="18"/>
              </w:rPr>
              <w:t>NOx (óxidos de nitrógeno)</w:t>
            </w:r>
          </w:p>
        </w:tc>
        <w:tc>
          <w:tcPr>
            <w:tcW w:type="dxa" w:w="864"/>
            <w:shd w:val="clear" w:color="auto" w:fill="FCE4B8"/>
          </w:tcPr>
          <w:p>
            <w:pPr>
              <w:keepNext/>
              <w:jc w:val="center"/>
            </w:pPr>
            <w:r>
              <w:rPr>
                <w:rFonts w:ascii="Calibri" w:hAnsi="Calibri"/>
                <w:b/>
                <w:i w:val="0"/>
                <w:sz w:val="18"/>
              </w:rPr>
              <w:t>+0.942</w:t>
            </w:r>
          </w:p>
        </w:tc>
        <w:tc>
          <w:tcPr>
            <w:tcW w:type="dxa" w:w="1152"/>
            <w:shd w:val="clear" w:color="auto" w:fill="FCE4B8"/>
          </w:tcPr>
          <w:p>
            <w:pPr>
              <w:keepNext/>
              <w:jc w:val="center"/>
            </w:pPr>
            <w:r>
              <w:rPr>
                <w:rFonts w:ascii="Calibri" w:hAnsi="Calibri"/>
                <w:b/>
                <w:i w:val="0"/>
                <w:sz w:val="18"/>
              </w:rPr>
              <w:t>0.7349</w:t>
            </w:r>
          </w:p>
        </w:tc>
        <w:tc>
          <w:tcPr>
            <w:tcW w:type="dxa" w:w="864"/>
            <w:shd w:val="clear" w:color="auto" w:fill="FCE4B8"/>
          </w:tcPr>
          <w:p>
            <w:pPr>
              <w:keepNext/>
              <w:jc w:val="center"/>
            </w:pPr>
            <w:r>
              <w:rPr>
                <w:rFonts w:ascii="Calibri" w:hAnsi="Calibri"/>
                <w:b/>
                <w:i w:val="0"/>
                <w:sz w:val="18"/>
              </w:rPr>
              <w:t>0.962</w:t>
            </w:r>
          </w:p>
        </w:tc>
        <w:tc>
          <w:tcPr>
            <w:tcW w:type="dxa" w:w="1440"/>
            <w:shd w:val="clear" w:color="auto" w:fill="FCE4B8"/>
          </w:tcPr>
          <w:p>
            <w:pPr>
              <w:keepNext/>
              <w:jc w:val="center"/>
            </w:pPr>
            <w:r>
              <w:rPr>
                <w:rFonts w:ascii="Calibri" w:hAnsi="Calibri"/>
                <w:b/>
                <w:i w:val="0"/>
                <w:sz w:val="18"/>
              </w:rPr>
              <w:t>+0.0023</w:t>
            </w:r>
          </w:p>
        </w:tc>
        <w:tc>
          <w:tcPr>
            <w:tcW w:type="dxa" w:w="1008"/>
            <w:shd w:val="clear" w:color="auto" w:fill="FCE4B8"/>
          </w:tcPr>
          <w:p>
            <w:pPr>
              <w:keepNext/>
              <w:jc w:val="center"/>
            </w:pPr>
            <w:r>
              <w:rPr>
                <w:rFonts w:ascii="Calibri" w:hAnsi="Calibri"/>
                <w:b/>
                <w:i w:val="0"/>
                <w:sz w:val="18"/>
              </w:rPr>
              <w:t>0.6649</w:t>
            </w:r>
          </w:p>
        </w:tc>
        <w:tc>
          <w:tcPr>
            <w:tcW w:type="dxa" w:w="864"/>
            <w:shd w:val="clear" w:color="auto" w:fill="FCE4B8"/>
          </w:tcPr>
          <w:p>
            <w:pPr>
              <w:keepNext/>
              <w:jc w:val="center"/>
            </w:pPr>
            <w:r>
              <w:rPr>
                <w:rFonts w:ascii="Calibri" w:hAnsi="Calibri"/>
                <w:b/>
                <w:i w:val="0"/>
                <w:sz w:val="18"/>
              </w:rPr>
              <w:t>0.888</w:t>
            </w:r>
          </w:p>
        </w:tc>
      </w:tr>
      <w:tr>
        <w:tc>
          <w:tcPr>
            <w:tcW w:type="dxa" w:w="3312"/>
            <w:shd w:val="clear" w:color="auto" w:fill="F2F2F2"/>
          </w:tcPr>
          <w:p>
            <w:pPr>
              <w:keepNext/>
              <w:jc w:val="left"/>
            </w:pPr>
            <w:r>
              <w:rPr>
                <w:rFonts w:ascii="Calibri" w:hAnsi="Calibri"/>
                <w:b w:val="0"/>
                <w:i w:val="0"/>
                <w:sz w:val="18"/>
              </w:rPr>
              <w:t>CO (monóxido de carbono)</w:t>
            </w:r>
          </w:p>
        </w:tc>
        <w:tc>
          <w:tcPr>
            <w:tcW w:type="dxa" w:w="864"/>
            <w:shd w:val="clear" w:color="auto" w:fill="F2F2F2"/>
          </w:tcPr>
          <w:p>
            <w:pPr>
              <w:keepNext/>
              <w:jc w:val="center"/>
            </w:pPr>
            <w:r>
              <w:rPr>
                <w:rFonts w:ascii="Calibri" w:hAnsi="Calibri"/>
                <w:b w:val="0"/>
                <w:i w:val="0"/>
                <w:sz w:val="18"/>
              </w:rPr>
              <w:t>+0.909</w:t>
            </w:r>
          </w:p>
        </w:tc>
        <w:tc>
          <w:tcPr>
            <w:tcW w:type="dxa" w:w="1152"/>
            <w:shd w:val="clear" w:color="auto" w:fill="F2F2F2"/>
          </w:tcPr>
          <w:p>
            <w:pPr>
              <w:keepNext/>
              <w:jc w:val="center"/>
            </w:pPr>
            <w:r>
              <w:rPr>
                <w:rFonts w:ascii="Calibri" w:hAnsi="Calibri"/>
                <w:b w:val="0"/>
                <w:i w:val="0"/>
                <w:sz w:val="18"/>
              </w:rPr>
              <w:t>0.02787</w:t>
            </w:r>
          </w:p>
        </w:tc>
        <w:tc>
          <w:tcPr>
            <w:tcW w:type="dxa" w:w="864"/>
            <w:shd w:val="clear" w:color="auto" w:fill="F2F2F2"/>
          </w:tcPr>
          <w:p>
            <w:pPr>
              <w:keepNext/>
              <w:jc w:val="center"/>
            </w:pPr>
            <w:r>
              <w:rPr>
                <w:rFonts w:ascii="Calibri" w:hAnsi="Calibri"/>
                <w:b w:val="0"/>
                <w:i w:val="0"/>
                <w:sz w:val="18"/>
              </w:rPr>
              <w:t>0.944</w:t>
            </w:r>
          </w:p>
        </w:tc>
        <w:tc>
          <w:tcPr>
            <w:tcW w:type="dxa" w:w="1440"/>
            <w:shd w:val="clear" w:color="auto" w:fill="F2F2F2"/>
          </w:tcPr>
          <w:p>
            <w:pPr>
              <w:keepNext/>
              <w:jc w:val="center"/>
            </w:pPr>
            <w:r>
              <w:rPr>
                <w:rFonts w:ascii="Calibri" w:hAnsi="Calibri"/>
                <w:b w:val="0"/>
                <w:i w:val="0"/>
                <w:sz w:val="18"/>
              </w:rPr>
              <w:t>-0.0029</w:t>
            </w:r>
          </w:p>
        </w:tc>
        <w:tc>
          <w:tcPr>
            <w:tcW w:type="dxa" w:w="1008"/>
            <w:shd w:val="clear" w:color="auto" w:fill="F2F2F2"/>
          </w:tcPr>
          <w:p>
            <w:pPr>
              <w:keepNext/>
              <w:jc w:val="center"/>
            </w:pPr>
            <w:r>
              <w:rPr>
                <w:rFonts w:ascii="Calibri" w:hAnsi="Calibri"/>
                <w:b w:val="0"/>
                <w:i w:val="0"/>
                <w:sz w:val="18"/>
              </w:rPr>
              <w:t>0.0315</w:t>
            </w:r>
          </w:p>
        </w:tc>
        <w:tc>
          <w:tcPr>
            <w:tcW w:type="dxa" w:w="864"/>
            <w:shd w:val="clear" w:color="auto" w:fill="F2F2F2"/>
          </w:tcPr>
          <w:p>
            <w:pPr>
              <w:keepNext/>
              <w:jc w:val="center"/>
            </w:pPr>
            <w:r>
              <w:rPr>
                <w:rFonts w:ascii="Calibri" w:hAnsi="Calibri"/>
                <w:b w:val="0"/>
                <w:i w:val="0"/>
                <w:sz w:val="18"/>
              </w:rPr>
              <w:t>0.826</w:t>
            </w:r>
          </w:p>
        </w:tc>
      </w:tr>
      <w:tr>
        <w:tc>
          <w:tcPr>
            <w:tcW w:type="dxa" w:w="3312"/>
            <w:shd w:val="clear" w:color="auto" w:fill="FFFFFF"/>
          </w:tcPr>
          <w:p>
            <w:pPr>
              <w:keepNext/>
              <w:jc w:val="left"/>
            </w:pPr>
            <w:r>
              <w:rPr>
                <w:rFonts w:ascii="Calibri" w:hAnsi="Calibri"/>
                <w:b w:val="0"/>
                <w:i w:val="0"/>
                <w:sz w:val="18"/>
              </w:rPr>
              <w:t>NO (monóxido de nitrógeno)</w:t>
            </w:r>
          </w:p>
        </w:tc>
        <w:tc>
          <w:tcPr>
            <w:tcW w:type="dxa" w:w="864"/>
            <w:shd w:val="clear" w:color="auto" w:fill="FFFFFF"/>
          </w:tcPr>
          <w:p>
            <w:pPr>
              <w:keepNext/>
              <w:jc w:val="center"/>
            </w:pPr>
            <w:r>
              <w:rPr>
                <w:rFonts w:ascii="Calibri" w:hAnsi="Calibri"/>
                <w:b w:val="0"/>
                <w:i w:val="0"/>
                <w:sz w:val="18"/>
              </w:rPr>
              <w:t>+0.578</w:t>
            </w:r>
          </w:p>
        </w:tc>
        <w:tc>
          <w:tcPr>
            <w:tcW w:type="dxa" w:w="1152"/>
            <w:shd w:val="clear" w:color="auto" w:fill="FFFFFF"/>
          </w:tcPr>
          <w:p>
            <w:pPr>
              <w:keepNext/>
              <w:jc w:val="center"/>
            </w:pPr>
            <w:r>
              <w:rPr>
                <w:rFonts w:ascii="Calibri" w:hAnsi="Calibri"/>
                <w:b w:val="0"/>
                <w:i w:val="0"/>
                <w:sz w:val="18"/>
              </w:rPr>
              <w:t>1.895</w:t>
            </w:r>
          </w:p>
        </w:tc>
        <w:tc>
          <w:tcPr>
            <w:tcW w:type="dxa" w:w="864"/>
            <w:shd w:val="clear" w:color="auto" w:fill="FFFFFF"/>
          </w:tcPr>
          <w:p>
            <w:pPr>
              <w:keepNext/>
              <w:jc w:val="center"/>
            </w:pPr>
            <w:r>
              <w:rPr>
                <w:rFonts w:ascii="Calibri" w:hAnsi="Calibri"/>
                <w:b w:val="0"/>
                <w:i w:val="0"/>
                <w:sz w:val="18"/>
              </w:rPr>
              <w:t>0.586</w:t>
            </w:r>
          </w:p>
        </w:tc>
        <w:tc>
          <w:tcPr>
            <w:tcW w:type="dxa" w:w="1440"/>
            <w:shd w:val="clear" w:color="auto" w:fill="FFFFFF"/>
          </w:tcPr>
          <w:p>
            <w:pPr>
              <w:keepNext/>
              <w:jc w:val="center"/>
            </w:pPr>
            <w:r>
              <w:rPr>
                <w:rFonts w:ascii="Calibri" w:hAnsi="Calibri"/>
                <w:b w:val="0"/>
                <w:i w:val="0"/>
                <w:sz w:val="18"/>
              </w:rPr>
              <w:t>+0.0121</w:t>
            </w:r>
          </w:p>
        </w:tc>
        <w:tc>
          <w:tcPr>
            <w:tcW w:type="dxa" w:w="1008"/>
            <w:shd w:val="clear" w:color="auto" w:fill="FFFFFF"/>
          </w:tcPr>
          <w:p>
            <w:pPr>
              <w:keepNext/>
              <w:jc w:val="center"/>
            </w:pPr>
            <w:r>
              <w:rPr>
                <w:rFonts w:ascii="Calibri" w:hAnsi="Calibri"/>
                <w:b w:val="0"/>
                <w:i w:val="0"/>
                <w:sz w:val="18"/>
              </w:rPr>
              <w:t>0.9939</w:t>
            </w:r>
          </w:p>
        </w:tc>
        <w:tc>
          <w:tcPr>
            <w:tcW w:type="dxa" w:w="864"/>
            <w:shd w:val="clear" w:color="auto" w:fill="FFFFFF"/>
          </w:tcPr>
          <w:p>
            <w:pPr>
              <w:keepNext/>
              <w:jc w:val="center"/>
            </w:pPr>
            <w:r>
              <w:rPr>
                <w:rFonts w:ascii="Calibri" w:hAnsi="Calibri"/>
                <w:b w:val="0"/>
                <w:i w:val="0"/>
                <w:sz w:val="18"/>
              </w:rPr>
              <w:t>0.334</w:t>
            </w:r>
          </w:p>
        </w:tc>
      </w:tr>
      <w:tr>
        <w:tc>
          <w:tcPr>
            <w:tcW w:type="dxa" w:w="3312"/>
            <w:shd w:val="clear" w:color="auto" w:fill="F2F2F2"/>
          </w:tcPr>
          <w:p>
            <w:pPr>
              <w:keepNext/>
              <w:jc w:val="left"/>
            </w:pPr>
            <w:r>
              <w:rPr>
                <w:rFonts w:ascii="Calibri" w:hAnsi="Calibri"/>
                <w:b w:val="0"/>
                <w:i w:val="0"/>
                <w:sz w:val="18"/>
              </w:rPr>
              <w:t>O₃ (ozono)</w:t>
            </w:r>
          </w:p>
        </w:tc>
        <w:tc>
          <w:tcPr>
            <w:tcW w:type="dxa" w:w="864"/>
            <w:shd w:val="clear" w:color="auto" w:fill="F2F2F2"/>
          </w:tcPr>
          <w:p>
            <w:pPr>
              <w:keepNext/>
              <w:jc w:val="center"/>
            </w:pPr>
            <w:r>
              <w:rPr>
                <w:rFonts w:ascii="Calibri" w:hAnsi="Calibri"/>
                <w:b w:val="0"/>
                <w:i w:val="0"/>
                <w:sz w:val="18"/>
              </w:rPr>
              <w:t>-0.523</w:t>
            </w:r>
          </w:p>
        </w:tc>
        <w:tc>
          <w:tcPr>
            <w:tcW w:type="dxa" w:w="1152"/>
            <w:shd w:val="clear" w:color="auto" w:fill="F2F2F2"/>
          </w:tcPr>
          <w:p>
            <w:pPr>
              <w:keepNext/>
              <w:jc w:val="center"/>
            </w:pPr>
            <w:r>
              <w:rPr>
                <w:rFonts w:ascii="Calibri" w:hAnsi="Calibri"/>
                <w:b w:val="0"/>
                <w:i w:val="0"/>
                <w:sz w:val="18"/>
              </w:rPr>
              <w:t>0.3338</w:t>
            </w:r>
          </w:p>
        </w:tc>
        <w:tc>
          <w:tcPr>
            <w:tcW w:type="dxa" w:w="864"/>
            <w:shd w:val="clear" w:color="auto" w:fill="F2F2F2"/>
          </w:tcPr>
          <w:p>
            <w:pPr>
              <w:keepNext/>
              <w:jc w:val="center"/>
            </w:pPr>
            <w:r>
              <w:rPr>
                <w:rFonts w:ascii="Calibri" w:hAnsi="Calibri"/>
                <w:b w:val="0"/>
                <w:i w:val="0"/>
                <w:sz w:val="18"/>
              </w:rPr>
              <w:t>0.264</w:t>
            </w:r>
          </w:p>
        </w:tc>
        <w:tc>
          <w:tcPr>
            <w:tcW w:type="dxa" w:w="1440"/>
            <w:shd w:val="clear" w:color="auto" w:fill="F2F2F2"/>
          </w:tcPr>
          <w:p>
            <w:pPr>
              <w:keepNext/>
              <w:jc w:val="center"/>
            </w:pPr>
            <w:r>
              <w:rPr>
                <w:rFonts w:ascii="Calibri" w:hAnsi="Calibri"/>
                <w:b w:val="0"/>
                <w:i w:val="0"/>
                <w:sz w:val="18"/>
              </w:rPr>
              <w:t>+0.0253</w:t>
            </w:r>
          </w:p>
        </w:tc>
        <w:tc>
          <w:tcPr>
            <w:tcW w:type="dxa" w:w="1008"/>
            <w:shd w:val="clear" w:color="auto" w:fill="F2F2F2"/>
          </w:tcPr>
          <w:p>
            <w:pPr>
              <w:keepNext/>
              <w:jc w:val="center"/>
            </w:pPr>
            <w:r>
              <w:rPr>
                <w:rFonts w:ascii="Calibri" w:hAnsi="Calibri"/>
                <w:b w:val="0"/>
                <w:i w:val="0"/>
                <w:sz w:val="18"/>
              </w:rPr>
              <w:t>-0.3185</w:t>
            </w:r>
          </w:p>
        </w:tc>
        <w:tc>
          <w:tcPr>
            <w:tcW w:type="dxa" w:w="864"/>
            <w:shd w:val="clear" w:color="auto" w:fill="F2F2F2"/>
          </w:tcPr>
          <w:p>
            <w:pPr>
              <w:keepNext/>
              <w:jc w:val="center"/>
            </w:pPr>
            <w:r>
              <w:rPr>
                <w:rFonts w:ascii="Calibri" w:hAnsi="Calibri"/>
                <w:b w:val="0"/>
                <w:i w:val="0"/>
                <w:sz w:val="18"/>
              </w:rPr>
              <w:t>0.273</w:t>
            </w:r>
          </w:p>
        </w:tc>
      </w:tr>
      <w:tr>
        <w:tc>
          <w:tcPr>
            <w:tcW w:type="dxa" w:w="3312"/>
            <w:shd w:val="clear" w:color="auto" w:fill="FFFFFF"/>
          </w:tcPr>
          <w:p>
            <w:pPr>
              <w:keepNext/>
              <w:jc w:val="left"/>
            </w:pPr>
            <w:r>
              <w:rPr>
                <w:rFonts w:ascii="Calibri" w:hAnsi="Calibri"/>
                <w:b w:val="0"/>
                <w:i w:val="0"/>
                <w:sz w:val="18"/>
              </w:rPr>
              <w:t>PM10 (partículas &lt; 10 µm)</w:t>
            </w:r>
          </w:p>
        </w:tc>
        <w:tc>
          <w:tcPr>
            <w:tcW w:type="dxa" w:w="864"/>
            <w:shd w:val="clear" w:color="auto" w:fill="FFFFFF"/>
          </w:tcPr>
          <w:p>
            <w:pPr>
              <w:keepNext/>
              <w:jc w:val="center"/>
            </w:pPr>
            <w:r>
              <w:rPr>
                <w:rFonts w:ascii="Calibri" w:hAnsi="Calibri"/>
                <w:b w:val="0"/>
                <w:i w:val="0"/>
                <w:sz w:val="18"/>
              </w:rPr>
              <w:t>+0.500</w:t>
            </w:r>
          </w:p>
        </w:tc>
        <w:tc>
          <w:tcPr>
            <w:tcW w:type="dxa" w:w="1152"/>
            <w:shd w:val="clear" w:color="auto" w:fill="FFFFFF"/>
          </w:tcPr>
          <w:p>
            <w:pPr>
              <w:keepNext/>
              <w:jc w:val="center"/>
            </w:pPr>
            <w:r>
              <w:rPr>
                <w:rFonts w:ascii="Calibri" w:hAnsi="Calibri"/>
                <w:b w:val="0"/>
                <w:i w:val="0"/>
                <w:sz w:val="18"/>
              </w:rPr>
              <w:t>0.0004607</w:t>
            </w:r>
          </w:p>
        </w:tc>
        <w:tc>
          <w:tcPr>
            <w:tcW w:type="dxa" w:w="864"/>
            <w:shd w:val="clear" w:color="auto" w:fill="FFFFFF"/>
          </w:tcPr>
          <w:p>
            <w:pPr>
              <w:keepNext/>
              <w:jc w:val="center"/>
            </w:pPr>
            <w:r>
              <w:rPr>
                <w:rFonts w:ascii="Calibri" w:hAnsi="Calibri"/>
                <w:b w:val="0"/>
                <w:i w:val="0"/>
                <w:sz w:val="18"/>
              </w:rPr>
              <w:t>0.744</w:t>
            </w:r>
          </w:p>
        </w:tc>
        <w:tc>
          <w:tcPr>
            <w:tcW w:type="dxa" w:w="1440"/>
            <w:shd w:val="clear" w:color="auto" w:fill="FFFFFF"/>
          </w:tcPr>
          <w:p>
            <w:pPr>
              <w:keepNext/>
              <w:jc w:val="center"/>
            </w:pPr>
            <w:r>
              <w:rPr>
                <w:rFonts w:ascii="Calibri" w:hAnsi="Calibri"/>
                <w:b w:val="0"/>
                <w:i w:val="0"/>
                <w:sz w:val="18"/>
              </w:rPr>
              <w:t>+0.0074</w:t>
            </w:r>
          </w:p>
        </w:tc>
        <w:tc>
          <w:tcPr>
            <w:tcW w:type="dxa" w:w="1008"/>
            <w:shd w:val="clear" w:color="auto" w:fill="FFFFFF"/>
          </w:tcPr>
          <w:p>
            <w:pPr>
              <w:keepNext/>
              <w:jc w:val="center"/>
            </w:pPr>
            <w:r>
              <w:rPr>
                <w:rFonts w:ascii="Calibri" w:hAnsi="Calibri"/>
                <w:b w:val="0"/>
                <w:i w:val="0"/>
                <w:sz w:val="18"/>
              </w:rPr>
              <w:t>0.0002942</w:t>
            </w:r>
          </w:p>
        </w:tc>
        <w:tc>
          <w:tcPr>
            <w:tcW w:type="dxa" w:w="864"/>
            <w:shd w:val="clear" w:color="auto" w:fill="FFFFFF"/>
          </w:tcPr>
          <w:p>
            <w:pPr>
              <w:keepNext/>
              <w:jc w:val="center"/>
            </w:pPr>
            <w:r>
              <w:rPr>
                <w:rFonts w:ascii="Calibri" w:hAnsi="Calibri"/>
                <w:b w:val="0"/>
                <w:i w:val="0"/>
                <w:sz w:val="18"/>
              </w:rPr>
              <w:t>0.250</w:t>
            </w:r>
          </w:p>
        </w:tc>
      </w:tr>
      <w:tr>
        <w:tc>
          <w:tcPr>
            <w:tcW w:type="dxa" w:w="3312"/>
            <w:shd w:val="clear" w:color="auto" w:fill="F2F2F2"/>
          </w:tcPr>
          <w:p>
            <w:pPr>
              <w:keepNext/>
              <w:jc w:val="left"/>
            </w:pPr>
            <w:r>
              <w:rPr>
                <w:rFonts w:ascii="Calibri" w:hAnsi="Calibri"/>
                <w:b w:val="0"/>
                <w:i w:val="0"/>
                <w:sz w:val="18"/>
              </w:rPr>
              <w:t>PM2.5 (partículas &lt; 2.5 µm)</w:t>
            </w:r>
          </w:p>
        </w:tc>
        <w:tc>
          <w:tcPr>
            <w:tcW w:type="dxa" w:w="864"/>
            <w:shd w:val="clear" w:color="auto" w:fill="F2F2F2"/>
          </w:tcPr>
          <w:p>
            <w:pPr>
              <w:keepNext/>
              <w:jc w:val="center"/>
            </w:pPr>
            <w:r>
              <w:rPr>
                <w:rFonts w:ascii="Calibri" w:hAnsi="Calibri"/>
                <w:b w:val="0"/>
                <w:i w:val="0"/>
                <w:sz w:val="18"/>
              </w:rPr>
              <w:t>+0.438</w:t>
            </w:r>
          </w:p>
        </w:tc>
        <w:tc>
          <w:tcPr>
            <w:tcW w:type="dxa" w:w="1152"/>
            <w:shd w:val="clear" w:color="auto" w:fill="F2F2F2"/>
          </w:tcPr>
          <w:p>
            <w:pPr>
              <w:keepNext/>
              <w:jc w:val="center"/>
            </w:pPr>
            <w:r>
              <w:rPr>
                <w:rFonts w:ascii="Calibri" w:hAnsi="Calibri"/>
                <w:b w:val="0"/>
                <w:i w:val="0"/>
                <w:sz w:val="18"/>
              </w:rPr>
              <w:t>0.001109</w:t>
            </w:r>
          </w:p>
        </w:tc>
        <w:tc>
          <w:tcPr>
            <w:tcW w:type="dxa" w:w="864"/>
            <w:shd w:val="clear" w:color="auto" w:fill="F2F2F2"/>
          </w:tcPr>
          <w:p>
            <w:pPr>
              <w:keepNext/>
              <w:jc w:val="center"/>
            </w:pPr>
            <w:r>
              <w:rPr>
                <w:rFonts w:ascii="Calibri" w:hAnsi="Calibri"/>
                <w:b w:val="0"/>
                <w:i w:val="0"/>
                <w:sz w:val="18"/>
              </w:rPr>
              <w:t>0.694</w:t>
            </w:r>
          </w:p>
        </w:tc>
        <w:tc>
          <w:tcPr>
            <w:tcW w:type="dxa" w:w="1440"/>
            <w:shd w:val="clear" w:color="auto" w:fill="F2F2F2"/>
          </w:tcPr>
          <w:p>
            <w:pPr>
              <w:keepNext/>
              <w:jc w:val="center"/>
            </w:pPr>
            <w:r>
              <w:rPr>
                <w:rFonts w:ascii="Calibri" w:hAnsi="Calibri"/>
                <w:b w:val="0"/>
                <w:i w:val="0"/>
                <w:sz w:val="18"/>
              </w:rPr>
              <w:t>+0.0096</w:t>
            </w:r>
          </w:p>
        </w:tc>
        <w:tc>
          <w:tcPr>
            <w:tcW w:type="dxa" w:w="1008"/>
            <w:shd w:val="clear" w:color="auto" w:fill="F2F2F2"/>
          </w:tcPr>
          <w:p>
            <w:pPr>
              <w:keepNext/>
              <w:jc w:val="center"/>
            </w:pPr>
            <w:r>
              <w:rPr>
                <w:rFonts w:ascii="Calibri" w:hAnsi="Calibri"/>
                <w:b w:val="0"/>
                <w:i w:val="0"/>
                <w:sz w:val="18"/>
              </w:rPr>
              <w:t>0.0005874</w:t>
            </w:r>
          </w:p>
        </w:tc>
        <w:tc>
          <w:tcPr>
            <w:tcW w:type="dxa" w:w="864"/>
            <w:shd w:val="clear" w:color="auto" w:fill="F2F2F2"/>
          </w:tcPr>
          <w:p>
            <w:pPr>
              <w:keepNext/>
              <w:jc w:val="center"/>
            </w:pPr>
            <w:r>
              <w:rPr>
                <w:rFonts w:ascii="Calibri" w:hAnsi="Calibri"/>
                <w:b w:val="0"/>
                <w:i w:val="0"/>
                <w:sz w:val="18"/>
              </w:rPr>
              <w:t>0.192</w:t>
            </w:r>
          </w:p>
        </w:tc>
      </w:tr>
    </w:tbl>
    <w:p>
      <w:pPr>
        <w:keepNext w:val="0"/>
        <w:spacing w:before="40" w:after="160"/>
        <w:jc w:val="center"/>
      </w:pPr>
      <w:r>
        <w:rPr>
          <w:rFonts w:ascii="Calibri" w:hAnsi="Calibri"/>
          <w:b w:val="0"/>
          <w:i/>
          <w:color w:val="404040"/>
          <w:sz w:val="18"/>
        </w:rPr>
        <w:t>Tabla 4. Regresión por el origen y regresión con intercepto del NO₂ sobre cada contaminante, corpus homogéneo sin atípicos.</w:t>
      </w:r>
    </w:p>
    <w:p>
      <w:pPr>
        <w:keepNext w:val="0"/>
        <w:spacing w:before="0" w:after="100"/>
        <w:jc w:val="both"/>
      </w:pPr>
      <w:r>
        <w:rPr>
          <w:rFonts w:ascii="Calibri" w:hAnsi="Calibri"/>
          <w:b w:val="0"/>
          <w:i w:val="0"/>
          <w:sz w:val="20"/>
        </w:rPr>
        <w:t>En el NOx y el CO las dos rectas casi coinciden. Cuando se deja libre el intercepto, sale prácticamente en cero (+0.0023 y -0.0029 ppm), así que obligar a la recta a pasar por el origen no le quita casi nada al ajuste. Las pendientes también se pueden leer de forma sencilla. La del NOx (b = 0.735) quiere decir que el NO₂ es más o menos el 73.5 % del NOx medido. La del CO (b = 0.0279) indica que por cada ppm de CO hay en promedio 27.9 ppb de NO₂.</w:t>
      </w:r>
    </w:p>
    <w:p>
      <w:pPr>
        <w:keepNext w:val="0"/>
        <w:spacing w:before="0" w:after="100"/>
        <w:jc w:val="both"/>
      </w:pPr>
      <w:r>
        <w:rPr>
          <w:rFonts w:ascii="Calibri" w:hAnsi="Calibri"/>
          <w:b w:val="0"/>
          <w:i w:val="0"/>
          <w:sz w:val="20"/>
        </w:rPr>
        <w:t>Con los demás contaminantes las dos rectas se separan bastante. El caso más claro es el O₃. Su correlación con el NO₂ es negativa (r = -0.523), pero la recta forzada al origen sale con pendiente positiva (b = 0.334), porque si tiene que arrancar en (0, 0), la única manera de acercarse a los puntos es subiendo. Para el O₃ esta restricción no sirve, ya que contradice lo que muestran los datos, y tiene lógica, porque el O₃ no sale de la misma fuente que el NO₂ sino que se forma consumiéndolo. Algo parecido pasa con el R²₀ de estas variables, que sale alto aunque el ajuste sea malo. Si se mide contra el promedio, la recta por el origen ajusta peor que una línea horizontal en el NO, el O₃ y el PM2.5. Por eso no usé el R²₀ para comparar.</w:t>
      </w:r>
    </w:p>
    <w:p>
      <w:pPr>
        <w:keepNext/>
        <w:spacing w:before="140" w:after="60"/>
        <w:jc w:val="left"/>
      </w:pPr>
      <w:r>
        <w:rPr>
          <w:rFonts w:ascii="Calibri" w:hAnsi="Calibri"/>
          <w:b/>
          <w:i w:val="0"/>
          <w:color w:val="1F497D"/>
          <w:sz w:val="22"/>
        </w:rPr>
        <w:t>3.3 Dispersión y distribución del NOx y el CO</w:t>
      </w:r>
    </w:p>
    <w:p>
      <w:pPr>
        <w:keepNext/>
        <w:spacing w:before="0" w:after="100"/>
        <w:jc w:val="both"/>
      </w:pPr>
      <w:r>
        <w:rPr>
          <w:rFonts w:ascii="Calibri" w:hAnsi="Calibri"/>
          <w:b w:val="0"/>
          <w:i w:val="0"/>
          <w:sz w:val="20"/>
        </w:rPr>
        <w:t>En la Figura 5 junté la gráfica de dispersión con los diagramas de caja de cada eje, como en el ejemplo de la sesión 7, para los dos contaminantes con mayor correlación. Las horas que quité por atípicas están en rojo.</w:t>
      </w:r>
    </w:p>
    <w:p>
      <w:pPr>
        <w:keepNext/>
        <w:jc w:val="center"/>
      </w:pPr>
      <w:r>
        <w:drawing>
          <wp:inline xmlns:a="http://schemas.openxmlformats.org/drawingml/2006/main" xmlns:pic="http://schemas.openxmlformats.org/drawingml/2006/picture">
            <wp:extent cx="6035040" cy="3119428"/>
            <wp:docPr id="6" name="Picture 6"/>
            <wp:cNvGraphicFramePr>
              <a:graphicFrameLocks noChangeAspect="1"/>
            </wp:cNvGraphicFramePr>
            <a:graphic>
              <a:graphicData uri="http://schemas.openxmlformats.org/drawingml/2006/picture">
                <pic:pic>
                  <pic:nvPicPr>
                    <pic:cNvPr id="0" name="dispersion_distribucion_nox_co.png"/>
                    <pic:cNvPicPr/>
                  </pic:nvPicPr>
                  <pic:blipFill>
                    <a:blip r:embed="rId13"/>
                    <a:stretch>
                      <a:fillRect/>
                    </a:stretch>
                  </pic:blipFill>
                  <pic:spPr>
                    <a:xfrm>
                      <a:off x="0" y="0"/>
                      <a:ext cx="6035040" cy="3119428"/>
                    </a:xfrm>
                    <a:prstGeom prst="rect"/>
                  </pic:spPr>
                </pic:pic>
              </a:graphicData>
            </a:graphic>
          </wp:inline>
        </w:drawing>
      </w:r>
    </w:p>
    <w:p>
      <w:pPr>
        <w:keepNext w:val="0"/>
        <w:spacing w:before="40" w:after="160"/>
        <w:jc w:val="center"/>
      </w:pPr>
      <w:r>
        <w:rPr>
          <w:rFonts w:ascii="Calibri" w:hAnsi="Calibri"/>
          <w:b w:val="0"/>
          <w:i/>
          <w:color w:val="404040"/>
          <w:sz w:val="18"/>
        </w:rPr>
        <w:t>Figura 5. Dispersión del NO₂ frente al NOx y al CO con diagramas de caja marginales, corpus homogéneo. En rojo, las horas excluidas por atípicas; la recta se ajustó solo con las horas conservadas.</w:t>
      </w:r>
    </w:p>
    <w:p>
      <w:pPr>
        <w:keepNext w:val="0"/>
        <w:spacing w:before="0" w:after="100"/>
        <w:jc w:val="both"/>
      </w:pPr>
      <w:r>
        <w:rPr>
          <w:rFonts w:ascii="Calibri" w:hAnsi="Calibri"/>
          <w:b w:val="0"/>
          <w:i w:val="0"/>
          <w:sz w:val="20"/>
        </w:rPr>
        <w:t>Los diagramas de caja muestran que el NO₂, el NOx y el CO tienen una cola larga hacia los valores altos. Las horas en rojo están en esa cola, en la zona donde la nube se abre y se dobla. Las horas que se quedaron (en azul) forman una banda angosta y casi recta que sale del origen, sobre todo en el NOx. Con esta gráfica se entiende por qué la correlación subió al quitar los atípicos y por qué la recta por el origen describe bien la relación en los niveles normales de contaminación.</w:t>
      </w:r>
    </w:p>
    <w:p>
      <w:pPr>
        <w:keepNext/>
        <w:spacing w:before="200" w:after="60"/>
        <w:jc w:val="left"/>
      </w:pPr>
      <w:r>
        <w:rPr>
          <w:rFonts w:ascii="Calibri" w:hAnsi="Calibri"/>
          <w:b/>
          <w:i w:val="0"/>
          <w:color w:val="1F497D"/>
          <w:sz w:val="26"/>
        </w:rPr>
        <w:t>4. Conclusiones</w:t>
      </w:r>
    </w:p>
    <w:p>
      <w:pPr>
        <w:keepNext w:val="0"/>
        <w:spacing w:before="0" w:after="100"/>
        <w:jc w:val="both"/>
      </w:pPr>
      <w:r>
        <w:rPr>
          <w:rFonts w:ascii="Calibri" w:hAnsi="Calibri"/>
          <w:b w:val="0"/>
          <w:i w:val="0"/>
          <w:sz w:val="20"/>
        </w:rPr>
        <w:t>Después de los tres ajustes, el contaminante con mayor correlación lineal con el NO₂ sigue siendo el NOx, que pasó de r = 0.814 en la Tarea 1.4 a r = 0.942. Como ya había mencionado, este resultado hay que tomarlo con reserva, porque el NOx se calcula sumando el NO y el NO₂. Es decir, ya trae dentro la variable con la que se está comparando.</w:t>
      </w:r>
    </w:p>
    <w:p>
      <w:pPr>
        <w:keepNext w:val="0"/>
        <w:spacing w:before="0" w:after="100"/>
        <w:jc w:val="both"/>
      </w:pPr>
      <w:r>
        <w:rPr>
          <w:rFonts w:ascii="Calibri" w:hAnsi="Calibri"/>
          <w:b w:val="0"/>
          <w:i w:val="0"/>
          <w:sz w:val="20"/>
        </w:rPr>
        <w:t>Si solo se consideran los contaminantes que no incluyen al NO₂, el de mayor correlación es el CO (r = 0.909). Su relación con el NO₂ también mejoró con los ajustes y la describe bien una recta por el origen (b = 0.0279; con intercepto libre, este sale en -0.0029 ppm). Los dos vienen sobre todo de los coches, por eso crecen de forma proporcional. El O₃ mantiene su relación inversa (r = -0.523) y, junto con el NO y las partículas, queda bastante por debajo del NOx y el CO.</w:t>
      </w:r>
    </w:p>
    <w:p>
      <w:pPr>
        <w:keepNext w:val="0"/>
        <w:spacing w:before="0" w:after="100"/>
        <w:jc w:val="both"/>
      </w:pPr>
      <w:r>
        <w:rPr>
          <w:rFonts w:ascii="Calibri" w:hAnsi="Calibri"/>
          <w:b w:val="0"/>
          <w:i w:val="0"/>
          <w:sz w:val="20"/>
        </w:rPr>
        <w:t>Lo que más me llamó la atención es que los atípicos estaban afectando los resultados de la Tarea 1.4 en sentidos opuestos. En el NOx y el CO escondían parte de la relación lineal, y en el NO y las partículas la hacían ver más fuerte de lo que es. También quedó claro que la recta por el origen solo funciona cuando el intercepto libre ya sale cerca de cero, como con el NOx y el CO. Con el O₃ da una pendiente con el signo al revés. Una correlación alta tampoco significa que un contaminante cause al otro; aquí lo que tienen en común es la fuente.</w:t>
      </w:r>
    </w:p>
    <w:p>
      <w:pPr>
        <w:keepNext/>
        <w:spacing w:before="200" w:after="60"/>
        <w:jc w:val="left"/>
      </w:pPr>
      <w:r>
        <w:rPr>
          <w:rFonts w:ascii="Calibri" w:hAnsi="Calibri"/>
          <w:b/>
          <w:i w:val="0"/>
          <w:color w:val="1F497D"/>
          <w:sz w:val="26"/>
        </w:rPr>
        <w:t>Referencias</w:t>
      </w:r>
    </w:p>
    <w:p>
      <w:pPr>
        <w:spacing w:after="120"/>
        <w:ind w:left="720" w:hanging="720"/>
        <w:jc w:val="both"/>
      </w:pPr>
      <w:r>
        <w:rPr>
          <w:rFonts w:ascii="Calibri" w:hAnsi="Calibri"/>
          <w:b w:val="0"/>
          <w:i w:val="0"/>
          <w:sz w:val="20"/>
        </w:rPr>
        <w:t>Montgomery, D. C., Peck, E. A., &amp; Vining, G. G. (2021). Introduction to linear regression analysis (6.ª ed.). Wiley.</w:t>
      </w:r>
    </w:p>
    <w:p>
      <w:pPr>
        <w:spacing w:after="120"/>
        <w:ind w:left="720" w:hanging="720"/>
        <w:jc w:val="both"/>
      </w:pPr>
      <w:r>
        <w:rPr>
          <w:rFonts w:ascii="Calibri" w:hAnsi="Calibri"/>
          <w:b w:val="0"/>
          <w:i w:val="0"/>
          <w:sz w:val="20"/>
        </w:rPr>
        <w:t>Ruiz Chávez, C. F. (2026). Visualización de grandes bases de datos: Sesión 7 [Diapositivas de clase]. Maestría en Ciencia de los Datos, Centro Universitario de Ciencias Económico Administrativas, Universidad de Guadalajara.</w:t>
      </w:r>
    </w:p>
    <w:p>
      <w:pPr>
        <w:spacing w:after="120"/>
        <w:ind w:left="720" w:hanging="720"/>
        <w:jc w:val="both"/>
      </w:pPr>
      <w:r>
        <w:rPr>
          <w:rFonts w:ascii="Calibri" w:hAnsi="Calibri"/>
          <w:b w:val="0"/>
          <w:i w:val="0"/>
          <w:sz w:val="20"/>
        </w:rPr>
        <w:t>Secretaría de Medio Ambiente y Desarrollo Territorial. (2024). Sistema de Monitoreo Atmosférico de Jalisco (SIMAJ): base de datos de calidad del aire 2024. Gobierno del Estado de Jalisco. https://siga.jalisco.gob.mx/aire/</w:t>
      </w:r>
    </w:p>
    <w:p>
      <w:pPr>
        <w:spacing w:after="120"/>
        <w:ind w:left="720" w:hanging="720"/>
        <w:jc w:val="both"/>
      </w:pPr>
      <w:r>
        <w:rPr>
          <w:rFonts w:ascii="Calibri" w:hAnsi="Calibri"/>
          <w:b w:val="0"/>
          <w:i w:val="0"/>
          <w:sz w:val="20"/>
        </w:rPr>
        <w:t>Seinfeld, J. H., &amp; Pandis, S. N. (2016). Atmospheric chemistry and physics: From air pollution to climate change (3.ª ed.). Wiley.</w:t>
      </w:r>
    </w:p>
    <w:p>
      <w:pPr>
        <w:spacing w:after="120"/>
        <w:ind w:left="720" w:hanging="720"/>
        <w:jc w:val="both"/>
      </w:pPr>
      <w:r>
        <w:rPr>
          <w:rFonts w:ascii="Calibri" w:hAnsi="Calibri"/>
          <w:b w:val="0"/>
          <w:i w:val="0"/>
          <w:sz w:val="20"/>
        </w:rPr>
        <w:t>Tukey, J. W. (1977). Exploratory data analysis. Addison-Wesley.</w:t>
      </w:r>
    </w:p>
    <w:sectPr w:rsidR="00AF3200" w:rsidRPr="00007695" w:rsidSect="00034616">
      <w:pgSz w:w="12240" w:h="15840"/>
      <w:pgMar w:top="1080" w:right="1080" w:bottom="1080"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477530049">
    <w:abstractNumId w:val="8"/>
  </w:num>
  <w:num w:numId="2" w16cid:durableId="1310212181">
    <w:abstractNumId w:val="6"/>
  </w:num>
  <w:num w:numId="3" w16cid:durableId="558058756">
    <w:abstractNumId w:val="5"/>
  </w:num>
  <w:num w:numId="4" w16cid:durableId="489903587">
    <w:abstractNumId w:val="4"/>
  </w:num>
  <w:num w:numId="5" w16cid:durableId="1102262365">
    <w:abstractNumId w:val="7"/>
  </w:num>
  <w:num w:numId="6" w16cid:durableId="989672095">
    <w:abstractNumId w:val="3"/>
  </w:num>
  <w:num w:numId="7" w16cid:durableId="1585993332">
    <w:abstractNumId w:val="2"/>
  </w:num>
  <w:num w:numId="8" w16cid:durableId="2106534006">
    <w:abstractNumId w:val="1"/>
  </w:num>
  <w:num w:numId="9" w16cid:durableId="142071248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07695"/>
    <w:rsid w:val="00034616"/>
    <w:rsid w:val="0006063C"/>
    <w:rsid w:val="0015074B"/>
    <w:rsid w:val="0029639D"/>
    <w:rsid w:val="00326F90"/>
    <w:rsid w:val="009E558E"/>
    <w:rsid w:val="00AA1D8D"/>
    <w:rsid w:val="00AF3200"/>
    <w:rsid w:val="00B47730"/>
    <w:rsid w:val="00CB0664"/>
    <w:rsid w:val="00FC693F"/>
    <w:rsid w:val="00FE28BD"/>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C68670E"/>
  <w14:defaultImageDpi w14:val="300"/>
  <w15:docId w15:val="{D823B7BF-B6F4-4107-8632-C84224FD7DF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80"/>
    </w:pPr>
    <w:rPr>
      <w:rFonts w:ascii="Calibri" w:hAnsi="Calibri"/>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image" Target="media/image2.png"/><Relationship Id="rId10" Type="http://schemas.openxmlformats.org/officeDocument/2006/relationships/image" Target="media/image3.png"/><Relationship Id="rId11" Type="http://schemas.openxmlformats.org/officeDocument/2006/relationships/image" Target="media/image4.png"/><Relationship Id="rId12" Type="http://schemas.openxmlformats.org/officeDocument/2006/relationships/image" Target="media/image5.png"/><Relationship Id="rId13"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2</Pages>
  <Words>185</Words>
  <Characters>1058</Characters>
  <Application>Microsoft Office Word</Application>
  <DocSecurity>0</DocSecurity>
  <Lines>8</Lines>
  <Paragraphs>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1241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Carlos Pulido Rosas</cp:lastModifiedBy>
  <cp:revision>2</cp:revision>
  <dcterms:created xsi:type="dcterms:W3CDTF">2026-04-13T08:30:00Z</dcterms:created>
  <dcterms:modified xsi:type="dcterms:W3CDTF">2026-04-13T08:30:00Z</dcterms:modified>
  <cp:category/>
</cp:coreProperties>
</file>