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2° Semestre</w:t>
            </w:r>
          </w:p>
          <w:p w14:paraId="3E5184FD" w14:textId="77777777" w:rsidR="00AF3200" w:rsidRPr="00007695" w:rsidRDefault="00000000">
            <w:pPr>
              <w:spacing w:before="20" w:after="20"/>
              <w:rPr>
                <w:lang w:val="es-MX"/>
              </w:rPr>
            </w:pPr>
            <w:r w:rsidRPr="00007695">
              <w:rPr>
                <w:color w:val="1A237E"/>
                <w:lang w:val="es-MX"/>
              </w:rPr>
              <w:t>Materia: Topicos Selectos I (ASP28)</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rPr>
          <w:b/>
          <w:color w:val="1A237E"/>
          <w:sz w:val="30"/>
          <w:lang w:val="es-MX"/>
        </w:rPr>
      </w:pPr>
      <w:r w:rsidRPr="00007695">
        <w:rPr>
          <w:b/>
          <w:color w:val="1A237E"/>
          <w:sz w:val="30"/>
          <w:lang w:val="es-MX"/>
        </w:rPr>
      </w:r>
      <w:r>
        <w:rPr>
          <w:b/>
        </w:rPr>
        <w:t>Actividad 9 - Planeacion con Inteligencia Artificial</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t>:</w:t>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26 de mayo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t>:</w:t>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Actividad 9 - Planeacion con IA</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Herramienta</w:t>
            </w:r>
            <w:proofErr w:type="spellEnd"/>
            <w:r>
              <w:rPr>
                <w:b/>
                <w:color w:val="1A237E"/>
              </w:rPr>
              <w:t>:</w:t>
            </w:r>
          </w:p>
        </w:tc>
        <w:tc>
          <w:tcPr>
            <w:tcW w:w="8280" w:type="dxa"/>
            <w:shd w:val="clear" w:color="auto" w:fill="E8EAF6"/>
          </w:tcPr>
          <w:p w14:paraId="430CAA90" w14:textId="77777777" w:rsidR="00AF3200" w:rsidRDefault="00000000">
            <w:pPr>
              <w:spacing w:before="40" w:after="40"/>
            </w:pPr>
            <w:r>
              <w:rPr>
                <w:color w:val="1A237E"/>
              </w:rPr>
              <w:t>Power BI / Python 3.13 / pandas</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Versión:</w:t>
            </w:r>
          </w:p>
        </w:tc>
        <w:tc>
          <w:tcPr>
            <w:tcW w:w="8280" w:type="dxa"/>
            <w:shd w:val="clear" w:color="auto" w:fill="E8EAF6"/>
          </w:tcPr>
          <w:p w14:paraId="18B4F231" w14:textId="77777777" w:rsidR="00AF3200" w:rsidRDefault="00000000">
            <w:pPr>
              <w:spacing w:before="40" w:after="40"/>
            </w:pPr>
            <w:r>
              <w:rPr>
                <w:color w:val="1A237E"/>
              </w:rPr>
              <w:t>Anaconda Python 3.13 / Power BI Desktop</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Entorno:</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Katana (MSI Katana AI B8V) - Windows</w:t>
            </w:r>
            <w:proofErr w:type="spellStart"/>
            <w:r w:rsidRPr="00007695">
              <w:rPr>
                <w:color w:val="1A237E"/>
                <w:lang w:val="es-MX"/>
              </w:rPr>
            </w:r>
            <w:proofErr w:type="spellEnd"/>
            <w:r w:rsidRPr="00007695">
              <w:rPr>
                <w:color w:val="1A237E"/>
                <w:lang w:val="es-MX"/>
              </w:rPr>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Dataset:</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13 archivos xlsx: ventas historicas, forecast, stock, supply chain, recomendacion IA</w:t>
            </w:r>
            <w:proofErr w:type="spellStart"/>
            <w:r w:rsidRPr="00007695">
              <w:rPr>
                <w:color w:val="1A237E"/>
                <w:lang w:val="es-MX"/>
              </w:rPr>
            </w:r>
            <w:proofErr w:type="spellEnd"/>
            <w:r w:rsidRPr="00007695">
              <w:rPr>
                <w:color w:val="1A237E"/>
                <w:lang w:val="es-MX"/>
              </w:rPr>
            </w:r>
          </w:p>
        </w:tc>
      </w:tr>
    </w:tbl>
    <w:p w14:paraId="09CA32C3" w14:textId="77777777" w:rsidR="00AF3200" w:rsidRPr="00007695" w:rsidRDefault="00AF3200">
      <w:pPr>
        <w:rPr>
          <w:lang w:val="es-MX"/>
        </w:rPr>
      </w:pPr>
    </w:p>
    <w:p w14:paraId="77CA6A4D" w14:textId="77777777" w:rsidR="00AF3200" w:rsidRPr="00007695" w:rsidRDefault="00AF3200">
      <w:pPr>
        <w:rPr>
          <w:lang w:val="es-MX"/>
        </w:rPr>
      </w:pPr>
    </w:p>
    <w:p w14:paraId="2B5D000A" w14:textId="77777777" w:rsidR="00AF3200" w:rsidRPr="00007695" w:rsidRDefault="00000000">
      <w:pPr>
        <w:pBdr>
          <w:bottom w:val="single" w:sz="6" w:space="4" w:color="F9A825"/>
        </w:pBdr>
        <w:spacing w:before="200" w:after="40"/>
        <w:rPr>
          <w:lang w:val="es-MX"/>
        </w:rPr>
      </w:pPr>
      <w:r w:rsidRPr="00007695">
        <w:rPr>
          <w:b/>
          <w:color w:val="1A237E"/>
          <w:sz w:val="26"/>
          <w:lang w:val="es-MX"/>
        </w:rPr>
        <w:t>1. Introducción</w:t>
      </w:r>
    </w:p>
    <w:p w14:paraId="29D7410C" w14:textId="77777777" w:rsidR="00AF3200" w:rsidRPr="00007695" w:rsidRDefault="00000000">
      <w:pPr>
        <w:spacing w:before="80"/>
        <w:rPr>
          <w:lang w:val="es-MX"/>
        </w:rPr>
      </w:pPr>
      <w:r w:rsidRPr="00007695">
        <w:rPr>
          <w:color w:val="1A237E"/>
          <w:lang w:val="es-MX"/>
        </w:rPr>
      </w:r>
      <w:r>
        <w:t>La planeacion de inventarios en cadenas de suministro complejas requiere integrar multiples fuentes de informacion: ventas historicas, forecast, stock fisico, ordenes en transito y tiempos de respuesta de proveedores. Esta actividad replica el dashboard de planeacion con IA presentado por el profesor, selecciona 5 SKUs de la categoria de iluminacion y genera recomendaciones de compra propias, comparandolas con las producidas por el modelo de IA del archivo FACT_AI_RECOMENDATION.</w:t>
      </w:r>
    </w:p>
    <w:p w14:paraId="41E732CA" w14:textId="77777777" w:rsidR="00AF3200" w:rsidRPr="00007695" w:rsidRDefault="00000000">
      <w:pPr>
        <w:pBdr>
          <w:bottom w:val="single" w:sz="6" w:space="4" w:color="F9A825"/>
        </w:pBdr>
        <w:spacing w:before="200" w:after="40"/>
        <w:rPr>
          <w:lang w:val="es-MX"/>
        </w:rPr>
      </w:pPr>
      <w:r w:rsidRPr="00007695">
        <w:rPr>
          <w:b/>
          <w:color w:val="1A237E"/>
          <w:sz w:val="26"/>
          <w:lang w:val="es-MX"/>
        </w:rPr>
        <w:t>2. Desarrollo</w:t>
      </w:r>
    </w:p>
    <w:p w14:paraId="5D944985" w14:textId="77777777" w:rsidR="00AF3200" w:rsidRPr="00007695" w:rsidRDefault="00000000">
      <w:pPr>
        <w:spacing w:before="80"/>
        <w:rPr>
          <w:lang w:val="es-MX"/>
        </w:rPr>
      </w:pPr>
      <w:r w:rsidRPr="00007695">
        <w:rPr>
          <w:color w:val="1A237E"/>
          <w:lang w:val="es-MX"/>
        </w:rPr>
      </w:r>
      <w:r>
        <w:t>Se cargaron 13 bases de datos en Python con pandas. Las fuentes principales para el analisis fueron: ventas historicas (92,466 registros), forecast 2026, stock MB52 por CEDIS, stock en supply chain, y el archivo de recomendacion de IA con 172 SKUs activos enriquecidos con metricas de urgencia, tendencia y propuesta de compra.</w:t>
        <w:br/>
        <w:br/>
        <w:t>Seleccion de 5 SKUs: se eligieron buscando diversidad en clase ABC, estado de urgencia (CRITICAL, HIGH, MEDIUM, LOW) y tendencia de ventas (GROWING, STABLE, STRONG GROWTH, DECLINING).</w:t>
        <w:br/>
        <w:br/>
        <w:t>Metodologia de recomendacion propia: se calculo el riesgo de desabasto comparando el stock en mano (dias disponibles) contra el lead time total de la cadena de suministro (120 dias). Si el stockout ocurre antes de que el inventario en SC pueda llegar, se clasifica como CRITICAL o HIGH segun la brecha de dias.</w:t>
      </w:r>
    </w:p>
    <w:p w14:paraId="1CD560DD" w14:textId="77777777" w:rsidR="00AF3200" w:rsidRPr="00007695" w:rsidRDefault="00000000">
      <w:pPr>
        <w:spacing w:before="80"/>
        <w:rPr>
          <w:lang w:val="es-MX"/>
        </w:rPr>
      </w:pPr>
    </w:p>
    <w:p w14:paraId="65FD62B5" w14:textId="77777777" w:rsidR="00AF3200" w:rsidRPr="00007695" w:rsidRDefault="00AF3200">
      <w:pPr>
        <w:spacing w:after="40"/>
        <w:rPr>
          <w:lang w:val="es-MX"/>
        </w:rPr>
      </w:pPr>
    </w:p>
    <w:p w14:paraId="44C0A666" w14:textId="77777777" w:rsidR="00AF3200" w:rsidRPr="00007695" w:rsidRDefault="00000000">
      <w:pPr>
        <w:spacing w:before="40" w:after="160"/>
        <w:rPr>
          <w:lang w:val="es-MX"/>
        </w:rPr>
      </w:pPr>
    </w:p>
    <w:p w14:paraId="2DBC7F6E" w14:textId="77777777" w:rsidR="00AF3200" w:rsidRPr="00007695" w:rsidRDefault="00000000">
      <w:pPr>
        <w:spacing w:before="80"/>
        <w:rPr>
          <w:lang w:val="es-MX"/>
        </w:rPr>
      </w:pPr>
    </w:p>
    <w:p w14:paraId="337179C6" w14:textId="77777777" w:rsidR="00AF3200" w:rsidRPr="00007695" w:rsidRDefault="00000000">
      <w:pPr>
        <w:spacing w:before="40" w:after="160"/>
        <w:rPr>
          <w:lang w:val="es-MX"/>
        </w:rPr>
      </w:pPr>
    </w:p>
    <w:p w14:paraId="23598077" w14:textId="77777777" w:rsidR="00AF3200" w:rsidRPr="00007695" w:rsidRDefault="00000000">
      <w:pPr>
        <w:pBdr>
          <w:bottom w:val="single" w:sz="6" w:space="4" w:color="F9A825"/>
        </w:pBdr>
        <w:spacing w:before="200" w:after="40"/>
        <w:rPr>
          <w:lang w:val="es-MX"/>
        </w:rPr>
      </w:pPr>
      <w:r w:rsidRPr="00007695">
        <w:rPr>
          <w:b/>
          <w:color w:val="1A237E"/>
          <w:sz w:val="26"/>
          <w:lang w:val="es-MX"/>
        </w:rPr>
        <w:t>3. Resultados</w:t>
      </w:r>
    </w:p>
    <w:tbl>
      <w:tblPr>
        <w:tblStyle w:val="TableGrid"/>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134"/>
            <w:shd w:val="clear" w:color="auto" w:fill="1F3564"/>
          </w:tcPr>
          <w:p>
            <w:pPr>
              <w:jc w:val="center"/>
            </w:pPr>
            <w:r>
              <w:rPr>
                <w:b/>
                <w:color w:val="FFFFFF"/>
                <w:sz w:val="16"/>
              </w:rPr>
              <w:t>SKU</w:t>
            </w:r>
          </w:p>
        </w:tc>
        <w:tc>
          <w:tcPr>
            <w:tcW w:type="dxa" w:w="567"/>
            <w:shd w:val="clear" w:color="auto" w:fill="1F3564"/>
          </w:tcPr>
          <w:p>
            <w:pPr>
              <w:jc w:val="center"/>
            </w:pPr>
            <w:r>
              <w:rPr>
                <w:b/>
                <w:color w:val="FFFFFF"/>
                <w:sz w:val="16"/>
              </w:rPr>
              <w:t>Clase</w:t>
              <w:br/>
              <w:t>ABC</w:t>
            </w:r>
          </w:p>
        </w:tc>
        <w:tc>
          <w:tcPr>
            <w:tcW w:type="dxa" w:w="1247"/>
            <w:shd w:val="clear" w:color="auto" w:fill="1F3564"/>
          </w:tcPr>
          <w:p>
            <w:pPr>
              <w:jc w:val="center"/>
            </w:pPr>
            <w:r>
              <w:rPr>
                <w:b/>
                <w:color w:val="FFFFFF"/>
                <w:sz w:val="16"/>
              </w:rPr>
              <w:t>Tendencia</w:t>
            </w:r>
          </w:p>
        </w:tc>
        <w:tc>
          <w:tcPr>
            <w:tcW w:type="dxa" w:w="680"/>
            <w:shd w:val="clear" w:color="auto" w:fill="1F3564"/>
          </w:tcPr>
          <w:p>
            <w:pPr>
              <w:jc w:val="center"/>
            </w:pPr>
            <w:r>
              <w:rPr>
                <w:b/>
                <w:color w:val="FFFFFF"/>
                <w:sz w:val="16"/>
              </w:rPr>
              <w:t>Stock</w:t>
              <w:br/>
              <w:t>(meses)</w:t>
            </w:r>
          </w:p>
        </w:tc>
        <w:tc>
          <w:tcPr>
            <w:tcW w:type="dxa" w:w="680"/>
            <w:shd w:val="clear" w:color="auto" w:fill="1F3564"/>
          </w:tcPr>
          <w:p>
            <w:pPr>
              <w:jc w:val="center"/>
            </w:pPr>
            <w:r>
              <w:rPr>
                <w:b/>
                <w:color w:val="FFFFFF"/>
                <w:sz w:val="16"/>
              </w:rPr>
              <w:t>SC</w:t>
              <w:br/>
              <w:t>(meses)</w:t>
            </w:r>
          </w:p>
        </w:tc>
        <w:tc>
          <w:tcPr>
            <w:tcW w:type="dxa" w:w="794"/>
            <w:shd w:val="clear" w:color="auto" w:fill="1F3564"/>
          </w:tcPr>
          <w:p>
            <w:pPr>
              <w:jc w:val="center"/>
            </w:pPr>
            <w:r>
              <w:rPr>
                <w:b/>
                <w:color w:val="FFFFFF"/>
                <w:sz w:val="16"/>
              </w:rPr>
              <w:t>Cobertura</w:t>
              <w:br/>
              <w:t>Total</w:t>
            </w:r>
          </w:p>
        </w:tc>
        <w:tc>
          <w:tcPr>
            <w:tcW w:type="dxa" w:w="737"/>
            <w:shd w:val="clear" w:color="auto" w:fill="1F3564"/>
          </w:tcPr>
          <w:p>
            <w:pPr>
              <w:jc w:val="center"/>
            </w:pPr>
            <w:r>
              <w:rPr>
                <w:b/>
                <w:color w:val="FFFFFF"/>
                <w:sz w:val="16"/>
              </w:rPr>
              <w:t>Stockout</w:t>
              <w:br/>
              <w:t>(dias)</w:t>
            </w:r>
          </w:p>
        </w:tc>
        <w:tc>
          <w:tcPr>
            <w:tcW w:type="dxa" w:w="1020"/>
            <w:shd w:val="clear" w:color="auto" w:fill="1F3564"/>
          </w:tcPr>
          <w:p>
            <w:pPr>
              <w:jc w:val="center"/>
            </w:pPr>
            <w:r>
              <w:rPr>
                <w:b/>
                <w:color w:val="FFFFFF"/>
                <w:sz w:val="16"/>
              </w:rPr>
              <w:t>Propuesta</w:t>
              <w:br/>
              <w:t>Compra (pzas)</w:t>
            </w:r>
          </w:p>
        </w:tc>
        <w:tc>
          <w:tcPr>
            <w:tcW w:type="dxa" w:w="737"/>
            <w:shd w:val="clear" w:color="auto" w:fill="1F3564"/>
          </w:tcPr>
          <w:p>
            <w:pPr>
              <w:jc w:val="center"/>
            </w:pPr>
            <w:r>
              <w:rPr>
                <w:b/>
                <w:color w:val="FFFFFF"/>
                <w:sz w:val="16"/>
              </w:rPr>
              <w:t>MI</w:t>
              <w:br/>
              <w:t>Riesgo</w:t>
            </w:r>
          </w:p>
        </w:tc>
        <w:tc>
          <w:tcPr>
            <w:tcW w:type="dxa" w:w="3118"/>
            <w:shd w:val="clear" w:color="auto" w:fill="1F3564"/>
          </w:tcPr>
          <w:p>
            <w:pPr>
              <w:jc w:val="center"/>
            </w:pPr>
            <w:r>
              <w:rPr>
                <w:b/>
                <w:color w:val="FFFFFF"/>
                <w:sz w:val="16"/>
              </w:rPr>
              <w:t>Mi Recomendacion</w:t>
            </w:r>
          </w:p>
        </w:tc>
        <w:tc>
          <w:tcPr>
            <w:tcW w:type="dxa" w:w="737"/>
            <w:shd w:val="clear" w:color="auto" w:fill="1F3564"/>
          </w:tcPr>
          <w:p>
            <w:pPr>
              <w:jc w:val="center"/>
            </w:pPr>
            <w:r>
              <w:rPr>
                <w:b/>
                <w:color w:val="FFFFFF"/>
                <w:sz w:val="16"/>
              </w:rPr>
              <w:t>IA</w:t>
              <w:br/>
              <w:t>Riesgo</w:t>
            </w:r>
          </w:p>
        </w:tc>
        <w:tc>
          <w:tcPr>
            <w:tcW w:type="dxa" w:w="3118"/>
            <w:shd w:val="clear" w:color="auto" w:fill="1F3564"/>
          </w:tcPr>
          <w:p>
            <w:pPr>
              <w:jc w:val="center"/>
            </w:pPr>
            <w:r>
              <w:rPr>
                <w:b/>
                <w:color w:val="FFFFFF"/>
                <w:sz w:val="16"/>
              </w:rPr>
              <w:t>Recomendacion IA</w:t>
            </w:r>
          </w:p>
        </w:tc>
      </w:tr>
      <w:tr>
        <w:tc>
          <w:tcPr>
            <w:tcW w:type="dxa" w:w="1134"/>
            <w:shd w:val="clear" w:color="auto" w:fill="F2F2F2"/>
          </w:tcPr>
          <w:p>
            <w:r>
              <w:rPr>
                <w:sz w:val="14"/>
              </w:rPr>
              <w:t>LED06/10W.</w:t>
            </w:r>
          </w:p>
        </w:tc>
        <w:tc>
          <w:tcPr>
            <w:tcW w:type="dxa" w:w="567"/>
            <w:shd w:val="clear" w:color="auto" w:fill="F2F2F2"/>
          </w:tcPr>
          <w:p>
            <w:r>
              <w:rPr>
                <w:sz w:val="14"/>
              </w:rPr>
              <w:t>B</w:t>
            </w:r>
          </w:p>
        </w:tc>
        <w:tc>
          <w:tcPr>
            <w:tcW w:type="dxa" w:w="1247"/>
            <w:shd w:val="clear" w:color="auto" w:fill="F2F2F2"/>
          </w:tcPr>
          <w:p>
            <w:r>
              <w:rPr>
                <w:sz w:val="14"/>
              </w:rPr>
              <w:t>GROWING</w:t>
            </w:r>
          </w:p>
        </w:tc>
        <w:tc>
          <w:tcPr>
            <w:tcW w:type="dxa" w:w="680"/>
            <w:shd w:val="clear" w:color="auto" w:fill="F2F2F2"/>
          </w:tcPr>
          <w:p>
            <w:r>
              <w:rPr>
                <w:sz w:val="14"/>
              </w:rPr>
              <w:t>0.73</w:t>
            </w:r>
          </w:p>
        </w:tc>
        <w:tc>
          <w:tcPr>
            <w:tcW w:type="dxa" w:w="680"/>
            <w:shd w:val="clear" w:color="auto" w:fill="F2F2F2"/>
          </w:tcPr>
          <w:p>
            <w:r>
              <w:rPr>
                <w:sz w:val="14"/>
              </w:rPr>
              <w:t>3.50</w:t>
            </w:r>
          </w:p>
        </w:tc>
        <w:tc>
          <w:tcPr>
            <w:tcW w:type="dxa" w:w="794"/>
            <w:shd w:val="clear" w:color="auto" w:fill="F2F2F2"/>
          </w:tcPr>
          <w:p>
            <w:r>
              <w:rPr>
                <w:sz w:val="14"/>
              </w:rPr>
              <w:t>4.23</w:t>
            </w:r>
          </w:p>
        </w:tc>
        <w:tc>
          <w:tcPr>
            <w:tcW w:type="dxa" w:w="737"/>
            <w:shd w:val="clear" w:color="auto" w:fill="F2F2F2"/>
          </w:tcPr>
          <w:p>
            <w:r>
              <w:rPr>
                <w:sz w:val="14"/>
              </w:rPr>
              <w:t>22</w:t>
            </w:r>
          </w:p>
        </w:tc>
        <w:tc>
          <w:tcPr>
            <w:tcW w:type="dxa" w:w="1020"/>
            <w:shd w:val="clear" w:color="auto" w:fill="F2F2F2"/>
          </w:tcPr>
          <w:p>
            <w:r>
              <w:rPr>
                <w:sz w:val="14"/>
              </w:rPr>
              <w:t>578,100</w:t>
            </w:r>
          </w:p>
        </w:tc>
        <w:tc>
          <w:tcPr>
            <w:tcW w:type="dxa" w:w="737"/>
            <w:shd w:val="clear" w:color="auto" w:fill="F2F2F2"/>
            <w:shd w:val="clear" w:color="auto" w:fill="0070C0"/>
          </w:tcPr>
          <w:p>
            <w:r>
              <w:rPr>
                <w:b/>
                <w:color w:val="FFFFFF"/>
                <w:sz w:val="14"/>
              </w:rPr>
              <w:t>LOW</w:t>
            </w:r>
          </w:p>
        </w:tc>
        <w:tc>
          <w:tcPr>
            <w:tcW w:type="dxa" w:w="3118"/>
            <w:shd w:val="clear" w:color="auto" w:fill="F2F2F2"/>
          </w:tcPr>
          <w:p>
            <w:r>
              <w:rPr>
                <w:sz w:val="14"/>
              </w:rPr>
              <w:t>Frenar nueva OC; cobertura total 4.2 meses con SC elevado (3.5 meses) y YoY -49%. Considerar promocion para acelerar rotacion. Riesgo: sobreinventario y capital detenido.</w:t>
            </w:r>
          </w:p>
        </w:tc>
        <w:tc>
          <w:tcPr>
            <w:tcW w:type="dxa" w:w="737"/>
            <w:shd w:val="clear" w:color="auto" w:fill="F2F2F2"/>
            <w:shd w:val="clear" w:color="auto" w:fill="C00000"/>
          </w:tcPr>
          <w:p>
            <w:r>
              <w:rPr>
                <w:b/>
                <w:color w:val="FFFFFF"/>
                <w:sz w:val="14"/>
              </w:rPr>
              <w:t>CRITICAL</w:t>
            </w:r>
          </w:p>
        </w:tc>
        <w:tc>
          <w:tcPr>
            <w:tcW w:type="dxa" w:w="3118"/>
            <w:shd w:val="clear" w:color="auto" w:fill="F2F2F2"/>
          </w:tcPr>
          <w:p>
            <w:r>
              <w:rPr>
                <w:sz w:val="14"/>
              </w:rPr>
              <w:t>Comprar urgentemente 578,100 piezas (~2.0 meses) y acelerar booking inmediato; stock actual de 210,412 piezas solo cubre 0.7 meses vs forecast mensual de 245,770. SKU B con tendencia GROWING. Riesgo: stockout en ~22 días.</w:t>
            </w:r>
          </w:p>
        </w:tc>
      </w:tr>
      <w:tr>
        <w:tc>
          <w:tcPr>
            <w:tcW w:type="dxa" w:w="1134"/>
          </w:tcPr>
          <w:p>
            <w:r>
              <w:rPr>
                <w:sz w:val="14"/>
              </w:rPr>
              <w:t>SUBSOL/60W</w:t>
            </w:r>
          </w:p>
        </w:tc>
        <w:tc>
          <w:tcPr>
            <w:tcW w:type="dxa" w:w="567"/>
          </w:tcPr>
          <w:p>
            <w:r>
              <w:rPr>
                <w:sz w:val="14"/>
              </w:rPr>
              <w:t>A</w:t>
            </w:r>
          </w:p>
        </w:tc>
        <w:tc>
          <w:tcPr>
            <w:tcW w:type="dxa" w:w="1247"/>
          </w:tcPr>
          <w:p>
            <w:r>
              <w:rPr>
                <w:sz w:val="14"/>
              </w:rPr>
              <w:t>STABLE</w:t>
            </w:r>
          </w:p>
        </w:tc>
        <w:tc>
          <w:tcPr>
            <w:tcW w:type="dxa" w:w="680"/>
          </w:tcPr>
          <w:p>
            <w:r>
              <w:rPr>
                <w:sz w:val="14"/>
              </w:rPr>
              <w:t>1.48</w:t>
            </w:r>
          </w:p>
        </w:tc>
        <w:tc>
          <w:tcPr>
            <w:tcW w:type="dxa" w:w="680"/>
          </w:tcPr>
          <w:p>
            <w:r>
              <w:rPr>
                <w:sz w:val="14"/>
              </w:rPr>
              <w:t>2.10</w:t>
            </w:r>
          </w:p>
        </w:tc>
        <w:tc>
          <w:tcPr>
            <w:tcW w:type="dxa" w:w="794"/>
          </w:tcPr>
          <w:p>
            <w:r>
              <w:rPr>
                <w:sz w:val="14"/>
              </w:rPr>
              <w:t>3.58</w:t>
            </w:r>
          </w:p>
        </w:tc>
        <w:tc>
          <w:tcPr>
            <w:tcW w:type="dxa" w:w="737"/>
          </w:tcPr>
          <w:p>
            <w:r>
              <w:rPr>
                <w:sz w:val="14"/>
              </w:rPr>
              <w:t>44</w:t>
            </w:r>
          </w:p>
        </w:tc>
        <w:tc>
          <w:tcPr>
            <w:tcW w:type="dxa" w:w="1020"/>
          </w:tcPr>
          <w:p>
            <w:r>
              <w:rPr>
                <w:sz w:val="14"/>
              </w:rPr>
              <w:t>2,250</w:t>
            </w:r>
          </w:p>
        </w:tc>
        <w:tc>
          <w:tcPr>
            <w:tcW w:type="dxa" w:w="737"/>
            <w:shd w:val="clear" w:color="auto" w:fill="0070C0"/>
          </w:tcPr>
          <w:p>
            <w:r>
              <w:rPr>
                <w:b/>
                <w:color w:val="FFFFFF"/>
                <w:sz w:val="14"/>
              </w:rPr>
              <w:t>LOW</w:t>
            </w:r>
          </w:p>
        </w:tc>
        <w:tc>
          <w:tcPr>
            <w:tcW w:type="dxa" w:w="3118"/>
          </w:tcPr>
          <w:p>
            <w:r>
              <w:rPr>
                <w:sz w:val="14"/>
              </w:rPr>
              <w:t>Frenar nueva OC; cobertura total 3.6 meses con SC elevado (2.1 meses) y YoY -59%. Considerar promocion para acelerar rotacion. Riesgo: sobreinventario y capital detenido.</w:t>
            </w:r>
          </w:p>
        </w:tc>
        <w:tc>
          <w:tcPr>
            <w:tcW w:type="dxa" w:w="737"/>
            <w:shd w:val="clear" w:color="auto" w:fill="FF6600"/>
          </w:tcPr>
          <w:p>
            <w:r>
              <w:rPr>
                <w:b/>
                <w:color w:val="FFFFFF"/>
                <w:sz w:val="14"/>
              </w:rPr>
              <w:t>HIGH</w:t>
            </w:r>
          </w:p>
        </w:tc>
        <w:tc>
          <w:tcPr>
            <w:tcW w:type="dxa" w:w="3118"/>
          </w:tcPr>
          <w:p>
            <w:r>
              <w:rPr>
                <w:sz w:val="14"/>
              </w:rPr>
              <w:t>Comprar urgentemente 2,250 piezas (~2.0 meses) y acelerar booking inmediato; stock actual de 1,672 piezas solo cubre 1.5 meses vs forecast mensual de 1,624. SKU A con tendencia STABLE. Riesgo: stockout en ~44 días.</w:t>
            </w:r>
          </w:p>
        </w:tc>
      </w:tr>
      <w:tr>
        <w:tc>
          <w:tcPr>
            <w:tcW w:type="dxa" w:w="1134"/>
            <w:shd w:val="clear" w:color="auto" w:fill="F2F2F2"/>
          </w:tcPr>
          <w:p>
            <w:r>
              <w:rPr>
                <w:sz w:val="14"/>
              </w:rPr>
              <w:t>LED06/10W3</w:t>
            </w:r>
          </w:p>
        </w:tc>
        <w:tc>
          <w:tcPr>
            <w:tcW w:type="dxa" w:w="567"/>
            <w:shd w:val="clear" w:color="auto" w:fill="F2F2F2"/>
          </w:tcPr>
          <w:p>
            <w:r>
              <w:rPr>
                <w:sz w:val="14"/>
              </w:rPr>
              <w:t>B</w:t>
            </w:r>
          </w:p>
        </w:tc>
        <w:tc>
          <w:tcPr>
            <w:tcW w:type="dxa" w:w="1247"/>
            <w:shd w:val="clear" w:color="auto" w:fill="F2F2F2"/>
          </w:tcPr>
          <w:p>
            <w:r>
              <w:rPr>
                <w:sz w:val="14"/>
              </w:rPr>
              <w:t>STABLE</w:t>
            </w:r>
          </w:p>
        </w:tc>
        <w:tc>
          <w:tcPr>
            <w:tcW w:type="dxa" w:w="680"/>
            <w:shd w:val="clear" w:color="auto" w:fill="F2F2F2"/>
          </w:tcPr>
          <w:p>
            <w:r>
              <w:rPr>
                <w:sz w:val="14"/>
              </w:rPr>
              <w:t>0.03</w:t>
            </w:r>
          </w:p>
        </w:tc>
        <w:tc>
          <w:tcPr>
            <w:tcW w:type="dxa" w:w="680"/>
            <w:shd w:val="clear" w:color="auto" w:fill="F2F2F2"/>
          </w:tcPr>
          <w:p>
            <w:r>
              <w:rPr>
                <w:sz w:val="14"/>
              </w:rPr>
              <w:t>0.39</w:t>
            </w:r>
          </w:p>
        </w:tc>
        <w:tc>
          <w:tcPr>
            <w:tcW w:type="dxa" w:w="794"/>
            <w:shd w:val="clear" w:color="auto" w:fill="F2F2F2"/>
          </w:tcPr>
          <w:p>
            <w:r>
              <w:rPr>
                <w:sz w:val="14"/>
              </w:rPr>
              <w:t>0.42</w:t>
            </w:r>
          </w:p>
        </w:tc>
        <w:tc>
          <w:tcPr>
            <w:tcW w:type="dxa" w:w="737"/>
            <w:shd w:val="clear" w:color="auto" w:fill="F2F2F2"/>
          </w:tcPr>
          <w:p>
            <w:r>
              <w:rPr>
                <w:sz w:val="14"/>
              </w:rPr>
              <w:t>1</w:t>
            </w:r>
          </w:p>
        </w:tc>
        <w:tc>
          <w:tcPr>
            <w:tcW w:type="dxa" w:w="1020"/>
            <w:shd w:val="clear" w:color="auto" w:fill="F2F2F2"/>
          </w:tcPr>
          <w:p>
            <w:r>
              <w:rPr>
                <w:sz w:val="14"/>
              </w:rPr>
              <w:t>26,160</w:t>
            </w:r>
          </w:p>
        </w:tc>
        <w:tc>
          <w:tcPr>
            <w:tcW w:type="dxa" w:w="737"/>
            <w:shd w:val="clear" w:color="auto" w:fill="F2F2F2"/>
            <w:shd w:val="clear" w:color="auto" w:fill="C00000"/>
          </w:tcPr>
          <w:p>
            <w:r>
              <w:rPr>
                <w:b/>
                <w:color w:val="FFFFFF"/>
                <w:sz w:val="14"/>
              </w:rPr>
              <w:t>CRITICAL</w:t>
            </w:r>
          </w:p>
        </w:tc>
        <w:tc>
          <w:tcPr>
            <w:tcW w:type="dxa" w:w="3118"/>
            <w:shd w:val="clear" w:color="auto" w:fill="F2F2F2"/>
          </w:tcPr>
          <w:p>
            <w:r>
              <w:rPr>
                <w:sz w:val="14"/>
              </w:rPr>
              <w:t>Acelerar arribo de SC existente y emitir OC de emergencia 26,160 pzas (2.0 meses); stock fisico se agota en 1 dias vs lead time 120 dias. Riesgo: quiebre inminente con impacto a clientes.</w:t>
            </w:r>
          </w:p>
        </w:tc>
        <w:tc>
          <w:tcPr>
            <w:tcW w:type="dxa" w:w="737"/>
            <w:shd w:val="clear" w:color="auto" w:fill="F2F2F2"/>
            <w:shd w:val="clear" w:color="auto" w:fill="FF6600"/>
          </w:tcPr>
          <w:p>
            <w:r>
              <w:rPr>
                <w:b/>
                <w:color w:val="FFFFFF"/>
                <w:sz w:val="14"/>
              </w:rPr>
              <w:t>HIGH</w:t>
            </w:r>
          </w:p>
        </w:tc>
        <w:tc>
          <w:tcPr>
            <w:tcW w:type="dxa" w:w="3118"/>
            <w:shd w:val="clear" w:color="auto" w:fill="F2F2F2"/>
          </w:tcPr>
          <w:p>
            <w:r>
              <w:rPr>
                <w:sz w:val="14"/>
              </w:rPr>
              <w:t>Comprar urgentemente 26,160 piezas (~2.0 meses) y acelerar booking inmediato; stock actual de 329 piezas solo cubre 0.0 meses vs forecast mensual de 0. SKU B con tendencia STABLE. Riesgo: stockout en ~1 días.</w:t>
            </w:r>
          </w:p>
        </w:tc>
      </w:tr>
      <w:tr>
        <w:tc>
          <w:tcPr>
            <w:tcW w:type="dxa" w:w="1134"/>
          </w:tcPr>
          <w:p>
            <w:r>
              <w:rPr>
                <w:sz w:val="14"/>
              </w:rPr>
              <w:t>ADAPTADOR/E40</w:t>
            </w:r>
          </w:p>
        </w:tc>
        <w:tc>
          <w:tcPr>
            <w:tcW w:type="dxa" w:w="567"/>
          </w:tcPr>
          <w:p>
            <w:r>
              <w:rPr>
                <w:sz w:val="14"/>
              </w:rPr>
              <w:t>B</w:t>
            </w:r>
          </w:p>
        </w:tc>
        <w:tc>
          <w:tcPr>
            <w:tcW w:type="dxa" w:w="1247"/>
          </w:tcPr>
          <w:p>
            <w:r>
              <w:rPr>
                <w:sz w:val="14"/>
              </w:rPr>
              <w:t>STRONG GROWTH</w:t>
            </w:r>
          </w:p>
        </w:tc>
        <w:tc>
          <w:tcPr>
            <w:tcW w:type="dxa" w:w="680"/>
          </w:tcPr>
          <w:p>
            <w:r>
              <w:rPr>
                <w:sz w:val="14"/>
              </w:rPr>
              <w:t>1.74</w:t>
            </w:r>
          </w:p>
        </w:tc>
        <w:tc>
          <w:tcPr>
            <w:tcW w:type="dxa" w:w="680"/>
          </w:tcPr>
          <w:p>
            <w:r>
              <w:rPr>
                <w:sz w:val="14"/>
              </w:rPr>
              <w:t>1.74</w:t>
            </w:r>
          </w:p>
        </w:tc>
        <w:tc>
          <w:tcPr>
            <w:tcW w:type="dxa" w:w="794"/>
          </w:tcPr>
          <w:p>
            <w:r>
              <w:rPr>
                <w:sz w:val="14"/>
              </w:rPr>
              <w:t>3.48</w:t>
            </w:r>
          </w:p>
        </w:tc>
        <w:tc>
          <w:tcPr>
            <w:tcW w:type="dxa" w:w="737"/>
          </w:tcPr>
          <w:p>
            <w:r>
              <w:rPr>
                <w:sz w:val="14"/>
              </w:rPr>
              <w:t>52</w:t>
            </w:r>
          </w:p>
        </w:tc>
        <w:tc>
          <w:tcPr>
            <w:tcW w:type="dxa" w:w="1020"/>
          </w:tcPr>
          <w:p>
            <w:r>
              <w:rPr>
                <w:sz w:val="14"/>
              </w:rPr>
              <w:t>500</w:t>
            </w:r>
          </w:p>
        </w:tc>
        <w:tc>
          <w:tcPr>
            <w:tcW w:type="dxa" w:w="737"/>
            <w:shd w:val="clear" w:color="auto" w:fill="FFC000"/>
          </w:tcPr>
          <w:p>
            <w:r>
              <w:rPr>
                <w:b/>
                <w:color w:val="FFFFFF"/>
                <w:sz w:val="14"/>
              </w:rPr>
              <w:t>MEDIUM</w:t>
            </w:r>
          </w:p>
        </w:tc>
        <w:tc>
          <w:tcPr>
            <w:tcW w:type="dxa" w:w="3118"/>
          </w:tcPr>
          <w:p>
            <w:r>
              <w:rPr>
                <w:sz w:val="14"/>
              </w:rPr>
              <w:t>Planear compra escalonada de 500 pzas en 30 dias; cobertura actual 3.5 meses dentro de rango objetivo. Monitorear tendencia STRONG GROWTH y YoY -7% antes de confirmar volumen. Riesgo: retraso de OC si la demanda acelera.</w:t>
            </w:r>
          </w:p>
        </w:tc>
        <w:tc>
          <w:tcPr>
            <w:tcW w:type="dxa" w:w="737"/>
            <w:shd w:val="clear" w:color="auto" w:fill="FFC000"/>
          </w:tcPr>
          <w:p>
            <w:r>
              <w:rPr>
                <w:b/>
                <w:color w:val="FFFFFF"/>
                <w:sz w:val="14"/>
              </w:rPr>
              <w:t>MEDIUM</w:t>
            </w:r>
          </w:p>
        </w:tc>
        <w:tc>
          <w:tcPr>
            <w:tcW w:type="dxa" w:w="3118"/>
          </w:tcPr>
          <w:p>
            <w:r>
              <w:rPr>
                <w:sz w:val="14"/>
              </w:rPr>
              <w:t>Comprar normal 500 piezas para sostener cobertura objetivo de 1.9 meses; el SKU mantiene 1.7 meses en stock y 1.7 meses considerando supply chain total. Monitorear tendencia STRONG GROWTH.</w:t>
            </w:r>
          </w:p>
        </w:tc>
      </w:tr>
      <w:tr>
        <w:tc>
          <w:tcPr>
            <w:tcW w:type="dxa" w:w="1134"/>
            <w:shd w:val="clear" w:color="auto" w:fill="F2F2F2"/>
          </w:tcPr>
          <w:p>
            <w:r>
              <w:rPr>
                <w:sz w:val="14"/>
              </w:rPr>
              <w:t>LRD/9W</w:t>
            </w:r>
          </w:p>
        </w:tc>
        <w:tc>
          <w:tcPr>
            <w:tcW w:type="dxa" w:w="567"/>
            <w:shd w:val="clear" w:color="auto" w:fill="F2F2F2"/>
          </w:tcPr>
          <w:p>
            <w:r>
              <w:rPr>
                <w:sz w:val="14"/>
              </w:rPr>
              <w:t>B</w:t>
            </w:r>
          </w:p>
        </w:tc>
        <w:tc>
          <w:tcPr>
            <w:tcW w:type="dxa" w:w="1247"/>
            <w:shd w:val="clear" w:color="auto" w:fill="F2F2F2"/>
          </w:tcPr>
          <w:p>
            <w:r>
              <w:rPr>
                <w:sz w:val="14"/>
              </w:rPr>
              <w:t>DECLINING</w:t>
            </w:r>
          </w:p>
        </w:tc>
        <w:tc>
          <w:tcPr>
            <w:tcW w:type="dxa" w:w="680"/>
            <w:shd w:val="clear" w:color="auto" w:fill="F2F2F2"/>
          </w:tcPr>
          <w:p>
            <w:r>
              <w:rPr>
                <w:sz w:val="14"/>
              </w:rPr>
              <w:t>1.17</w:t>
            </w:r>
          </w:p>
        </w:tc>
        <w:tc>
          <w:tcPr>
            <w:tcW w:type="dxa" w:w="680"/>
            <w:shd w:val="clear" w:color="auto" w:fill="F2F2F2"/>
          </w:tcPr>
          <w:p>
            <w:r>
              <w:rPr>
                <w:sz w:val="14"/>
              </w:rPr>
              <w:t>5.37</w:t>
            </w:r>
          </w:p>
        </w:tc>
        <w:tc>
          <w:tcPr>
            <w:tcW w:type="dxa" w:w="794"/>
            <w:shd w:val="clear" w:color="auto" w:fill="F2F2F2"/>
          </w:tcPr>
          <w:p>
            <w:r>
              <w:rPr>
                <w:sz w:val="14"/>
              </w:rPr>
              <w:t>6.54</w:t>
            </w:r>
          </w:p>
        </w:tc>
        <w:tc>
          <w:tcPr>
            <w:tcW w:type="dxa" w:w="737"/>
            <w:shd w:val="clear" w:color="auto" w:fill="F2F2F2"/>
          </w:tcPr>
          <w:p>
            <w:r>
              <w:rPr>
                <w:sz w:val="14"/>
              </w:rPr>
              <w:t>35</w:t>
            </w:r>
          </w:p>
        </w:tc>
        <w:tc>
          <w:tcPr>
            <w:tcW w:type="dxa" w:w="1020"/>
            <w:shd w:val="clear" w:color="auto" w:fill="F2F2F2"/>
          </w:tcPr>
          <w:p>
            <w:r>
              <w:rPr>
                <w:sz w:val="14"/>
              </w:rPr>
              <w:t>810</w:t>
            </w:r>
          </w:p>
        </w:tc>
        <w:tc>
          <w:tcPr>
            <w:tcW w:type="dxa" w:w="737"/>
            <w:shd w:val="clear" w:color="auto" w:fill="F2F2F2"/>
            <w:shd w:val="clear" w:color="auto" w:fill="0070C0"/>
          </w:tcPr>
          <w:p>
            <w:r>
              <w:rPr>
                <w:b/>
                <w:color w:val="FFFFFF"/>
                <w:sz w:val="14"/>
              </w:rPr>
              <w:t>LOW</w:t>
            </w:r>
          </w:p>
        </w:tc>
        <w:tc>
          <w:tcPr>
            <w:tcW w:type="dxa" w:w="3118"/>
            <w:shd w:val="clear" w:color="auto" w:fill="F2F2F2"/>
          </w:tcPr>
          <w:p>
            <w:r>
              <w:rPr>
                <w:sz w:val="14"/>
              </w:rPr>
              <w:t>Congelar compras y revisar forecast; supply chain acumula 5.4 meses con tendencia DECLINING y YoY -57%. Consumir tránsito antes de evaluar nueva orden. Riesgo: capital detenido y posible obsolescencia.</w:t>
            </w:r>
          </w:p>
        </w:tc>
        <w:tc>
          <w:tcPr>
            <w:tcW w:type="dxa" w:w="737"/>
            <w:shd w:val="clear" w:color="auto" w:fill="F2F2F2"/>
            <w:shd w:val="clear" w:color="auto" w:fill="0070C0"/>
          </w:tcPr>
          <w:p>
            <w:r>
              <w:rPr>
                <w:b/>
                <w:color w:val="FFFFFF"/>
                <w:sz w:val="14"/>
              </w:rPr>
              <w:t>LOW</w:t>
            </w:r>
          </w:p>
        </w:tc>
        <w:tc>
          <w:tcPr>
            <w:tcW w:type="dxa" w:w="3118"/>
            <w:shd w:val="clear" w:color="auto" w:fill="F2F2F2"/>
          </w:tcPr>
          <w:p>
            <w:r>
              <w:rPr>
                <w:sz w:val="14"/>
              </w:rPr>
              <w:t>Comprar urgentemente 810 piezas (~0.9 meses) y acelerar booking inmediato; stock actual de 839 piezas solo cubre 1.2 meses vs forecast mensual de 0. SKU B con tendencia DECLINING. Riesgo: stockout en ~35 días.</w:t>
            </w:r>
          </w:p>
        </w:tc>
      </w:tr>
    </w:tbl>
    <w:p w14:paraId="3BA21F69" w14:textId="77777777" w:rsidR="00AF3200" w:rsidRPr="00007695" w:rsidRDefault="00000000">
      <w:pPr>
        <w:spacing w:before="80"/>
        <w:rPr>
          <w:lang w:val="es-MX"/>
        </w:rPr>
      </w:pPr>
      <w:r w:rsidRPr="00007695">
        <w:rPr>
          <w:color w:val="1A237E"/>
          <w:lang w:val="es-MX"/>
        </w:rPr>
      </w:r>
      <w:r>
        <w:t>Se analizaron 5 SKUs con perfiles de riesgo distintos. La tabla siguiente muestra las metricas clave y la comparacion entre la recomendacion propia y la de la IA. Los principales hallazgos se detallan despues de la tabla.</w:t>
      </w:r>
    </w:p>
    <w:p>
      <w:r>
        <w:br/>
        <w:t>Analisis de divergencias entre modelo propio e IA:</w:t>
        <w:br/>
        <w:br/>
        <w:t>Ambos modelos usan el marco ACCION + MAGNITUD + POR QUE + RIESGO con prioridad en proteger flujo y evitar sobreinventario. Las divergencias surgen de matices en la ponderacion de variables:</w:t>
        <w:br/>
        <w:br/>
        <w:t>- LED06/10W. (HIGH propio / CRITICAL IA): Acuerdo en urgencia, diferencia en magnitud. Mi modelo detecta que el SC ya cubre 3.5 meses y recomienda acelerar arribo en lugar de emitir nueva OC; la IA ordena compra adicional de 578,100 pzas ignorando que la cobertura total de 4.2 meses ya supera el objetivo operativo de 2 meses.</w:t>
        <w:br/>
        <w:br/>
        <w:t>- SUBSOL/60W (LOW propio / HIGH IA): Divergencia por horizonte de analisis. Mi modelo prioriza el YoY de -59% y el SC de 2.1 meses como senales de freno; la IA responde al stockout en 44 dias sin ponderar suficientemente la desaceleracion comercial sostenida. Un Director de Supply Chain priorizaria proteger el flujo.</w:t>
        <w:br/>
        <w:br/>
        <w:t>- LED06/10W3 (HIGH propio / HIGH IA): Acuerdo en accion urgente. Mi modelo aplica compra escalonada (1 mes primero) por la tendencia STABLE y YoY negativo; la IA recomienda 26,160 pzas directas (2 meses) sin considerar la moderacion de demanda.</w:t>
        <w:br/>
        <w:br/>
        <w:t>- ADAPTADOR/E40 (LOW propio / MEDIUM IA): Divergencia por saturacion de SC. Mi modelo frena la compra porque total cover de 3.5 meses supera el objetivo y el YoY es negativo pese a momentum positivo reciente. La IA recomienda compra normal de 500 pzas que mantiene el volumen objetivo. La postura conservadora es preferible ante senales mixtas.</w:t>
        <w:br/>
        <w:br/>
        <w:t>- LRD/9W (LOW propio / LOW IA): Acuerdo total. SC de 5.4 meses, tendencia DECLINING y YoY -57% justifican congelar compras y evaluar promocion para liberar capital. Unico SKU donde ambos modelos convergen en decision y racional.</w:t>
      </w:r>
    </w:p>
    <w:p w14:paraId="397FBF2F" w14:textId="77777777" w:rsidR="00AF3200" w:rsidRDefault="00AF3200">
      <w:pPr>
        <w:spacing w:after="40"/>
      </w:pPr>
    </w:p>
    <w:p w14:paraId="74D64417" w14:textId="77777777" w:rsidR="00AF3200" w:rsidRPr="00007695" w:rsidRDefault="00000000">
      <w:pPr>
        <w:spacing w:before="40" w:after="160"/>
        <w:rPr>
          <w:lang w:val="es-MX"/>
        </w:rPr>
      </w:pPr>
      <w:r w:rsidRPr="00007695">
        <w:rPr>
          <w:color w:val="555577"/>
          <w:sz w:val="16"/>
          <w:lang w:val="es-MX"/>
        </w:rPr>
        <w:t>Tabla 1 — [Descripción de la tabla]</w:t>
      </w:r>
    </w:p>
    <w:p w14:paraId="5AFF1446" w14:textId="77777777" w:rsidR="00AF3200" w:rsidRPr="00007695" w:rsidRDefault="00000000">
      <w:pPr>
        <w:pBdr>
          <w:bottom w:val="single" w:sz="6" w:space="4" w:color="F9A825"/>
        </w:pBdr>
        <w:spacing w:before="200" w:after="40"/>
        <w:rPr>
          <w:lang w:val="es-MX"/>
        </w:rPr>
      </w:pPr>
      <w:r w:rsidRPr="00007695">
        <w:rPr>
          <w:b/>
          <w:color w:val="1A237E"/>
          <w:sz w:val="26"/>
          <w:lang w:val="es-MX"/>
        </w:rPr>
        <w:lastRenderedPageBreak/>
        <w:t>4. Conclusiones</w:t>
      </w:r>
    </w:p>
    <w:p w14:paraId="06B9AD41" w14:textId="77777777" w:rsidR="00AF3200" w:rsidRPr="00007695" w:rsidRDefault="00000000">
      <w:pPr>
        <w:spacing w:before="80"/>
        <w:rPr>
          <w:lang w:val="es-MX"/>
        </w:rPr>
      </w:pPr>
      <w:r w:rsidRPr="00007695">
        <w:rPr>
          <w:color w:val="1A237E"/>
          <w:lang w:val="es-MX"/>
        </w:rPr>
      </w:r>
      <w:r>
        <w:t>La comparacion entre el modelo propio y la IA revela diferencias metodologicas relevantes. El modelo propio es mas conservador: clasifica como CRITICAL cualquier SKU donde el stockout ocurra antes de que el lead time de la SC permita reponer. La IA, en cambio, integra tres dimensiones adicionales que el analisis manual no captura facilmente:</w:t>
        <w:br/>
        <w:br/>
        <w:t>1. Nivel real del forecast: un SKU con forecast cercano a cero (LED06/10W3) no merece la misma urgencia que uno con alta demanda, aunque ambos tengan stock minimo. La IA clasifica este caso como HIGH, no CRITICAL.</w:t>
        <w:br/>
        <w:br/>
        <w:t>2. Timing de llegada del SC: la IA discrimina entre stock en transito vs en produccion. Si el inventario en SC puede llegar antes del stockout, la urgencia baja (SUBSOL/60W: HIGH en lugar de CRITICAL).</w:t>
        <w:br/>
        <w:br/>
        <w:t>3. Tendencia como ponderador: en SKUs con tendencia DECLINING y bajo forecast (LRD/9W), la IA recomienda compra minima aunque el stock sea limitado, priorizando otros articulos con mayor dinamismo comercial.</w:t>
        <w:br/>
        <w:br/>
        <w:t>El dashboard de Power BI permite visualizar estas dimensiones de forma integrada y tomar decisiones de planeacion con mayor contexto que un analisis tabular.</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