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2° Semestre</w:t>
            </w:r>
          </w:p>
          <w:p w14:paraId="3E5184FD" w14:textId="77777777" w:rsidR="00AF3200" w:rsidRPr="00007695" w:rsidRDefault="00000000">
            <w:pPr>
              <w:spacing w:before="20" w:after="20"/>
              <w:rPr>
                <w:lang w:val="es-MX"/>
              </w:rPr>
            </w:pPr>
            <w:r w:rsidRPr="00007695">
              <w:rPr>
                <w:color w:val="1A237E"/>
                <w:lang w:val="es-MX"/>
              </w:rPr>
              <w:t>Materia: Almacenamiento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8"/>
        </w:rPr>
        <w:t>Optimización en Hive: Particionado por Mes de Archivos IMSS 2025</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20 de abril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5 — Optimización en Hive: Particionado</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Apache Hive 2.3.2 / Hadoop 3.3.6 (YARN)</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bde2020/hive:2.3.2-postgresql-metastore + postgres:9.6</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Homelab (ThinkPad T14 Gen 4) — Docker Compose</w:t>
            </w:r>
            <w:proofErr w:type="spellStart"/>
            <w:r w:rsidRPr="00007695">
              <w:rPr>
                <w:color w:val="1A237E"/>
                <w:lang w:val="es-MX"/>
              </w:rPr>
              <w:t>homelab</w:t>
            </w:r>
            <w:proofErr w:type="spellEnd"/>
            <w:r w:rsidRPr="00007695">
              <w:rPr>
                <w:color w:val="1A237E"/>
                <w:lang w:val="es-MX"/>
              </w:rPr>
              <w:t>, Docker, etc.]</w:t>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IMSS ASG 2025 — Primer semestre (~27.7M registros, 6 archivos mensuales)</w:t>
            </w:r>
            <w:proofErr w:type="spellStart"/>
            <w:r w:rsidRPr="00007695">
              <w:rPr>
                <w:color w:val="1A237E"/>
                <w:lang w:val="es-MX"/>
              </w:rPr>
              <w:t>dataset</w:t>
            </w:r>
            <w:proofErr w:type="spellEnd"/>
            <w:r w:rsidRPr="00007695">
              <w:rPr>
                <w:color w:val="1A237E"/>
                <w:lang w:val="es-MX"/>
              </w:rPr>
              <w:t>]</w:t>
            </w:r>
          </w:p>
        </w:tc>
      </w:tr>
    </w:tbl>
    <w:p>
      <w:pPr>
        <w:spacing w:before="240" w:after="0"/>
        <w:jc w:val="left"/>
      </w:pPr>
    </w:p>
    <w:p>
      <w:pPr>
        <w:spacing w:before="240" w:after="80"/>
        <w:jc w:val="left"/>
      </w:pPr>
      <w:r>
        <w:rPr>
          <w:rFonts w:ascii="Calibri" w:hAnsi="Calibri"/>
          <w:b/>
          <w:i w:val="0"/>
          <w:color w:val="1F497D"/>
          <w:sz w:val="26"/>
        </w:rPr>
        <w:t>1. Introducción</w:t>
      </w:r>
    </w:p>
    <w:p>
      <w:pPr>
        <w:spacing w:before="0" w:after="80"/>
        <w:jc w:val="left"/>
      </w:pPr>
      <w:r>
        <w:rPr>
          <w:rFonts w:ascii="Calibri" w:hAnsi="Calibri"/>
          <w:b w:val="0"/>
          <w:i w:val="0"/>
          <w:sz w:val="20"/>
        </w:rPr>
        <w:t>El particionado es una de las principales técnicas de optimización en Apache Hive. Consiste en organizar los datos en subdirectorios dentro de HDFS según el valor de una o más columnas, de forma que una consulta que filtre por esa columna solo lea los bloques del subdirectorio correspondiente, sin escanear el dataset completo. Esto reduce drásticamente la cantidad de datos procesados (partition pruning) y mejora los tiempos de respuesta en tablas de gran tamaño.</w:t>
      </w:r>
    </w:p>
    <w:p>
      <w:pPr>
        <w:spacing w:before="0" w:after="80"/>
        <w:jc w:val="left"/>
      </w:pPr>
      <w:r>
        <w:rPr>
          <w:rFonts w:ascii="Calibri" w:hAnsi="Calibri"/>
          <w:b w:val="0"/>
          <w:i w:val="0"/>
          <w:sz w:val="20"/>
        </w:rPr>
        <w:t>En esta actividad se reorganiza la estructura de los archivos de asegurados IMSS del primer semestre de 2025 en HDFS, pasando de seis archivos planos en un mismo directorio a una estructura particionada por mes. Posteriormente, se reconstruye la tabla externa empleo en Hive como tabla particionada y se ejecuta una consulta de prueba sobre la partición de marzo para verificar el funcionamiento correcto del esquema de particionado.</w:t>
      </w:r>
    </w:p>
    <w:p>
      <w:pPr>
        <w:spacing w:before="240" w:after="80"/>
        <w:jc w:val="left"/>
      </w:pPr>
      <w:r>
        <w:rPr>
          <w:rFonts w:ascii="Calibri" w:hAnsi="Calibri"/>
          <w:b/>
          <w:i w:val="0"/>
          <w:color w:val="1F497D"/>
          <w:sz w:val="26"/>
        </w:rPr>
        <w:t>2. Desarrollo</w:t>
      </w:r>
    </w:p>
    <w:p>
      <w:pPr>
        <w:spacing w:before="160" w:after="80"/>
        <w:jc w:val="left"/>
      </w:pPr>
      <w:r>
        <w:rPr>
          <w:rFonts w:ascii="Calibri" w:hAnsi="Calibri"/>
          <w:b/>
          <w:i w:val="0"/>
          <w:color w:val="1F497D"/>
          <w:sz w:val="22"/>
        </w:rPr>
        <w:t>2.1  Estructura inicial en HDFS</w:t>
      </w:r>
    </w:p>
    <w:p>
      <w:pPr>
        <w:spacing w:before="0" w:after="80"/>
        <w:jc w:val="left"/>
      </w:pPr>
      <w:r>
        <w:rPr>
          <w:rFonts w:ascii="Calibri" w:hAnsi="Calibri"/>
          <w:b w:val="0"/>
          <w:i w:val="0"/>
          <w:sz w:val="20"/>
        </w:rPr>
        <w:t>Antes de la reorganización, los seis archivos mensuales se encontraban en el directorio /user/oem/empleo/ sin subdivisión alguna. La estructura inicial era:</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 docker exec hadoop-namenode hdfs dfs -ls /user/oem/empleo/</w:t>
              <w:br/>
              <w:t>Found 6 items</w:t>
              <w:br/>
              <w:t>-rw-r--r--  3 root supergroup  385793272  /user/oem/empleo/asg-2025-01-31.csv</w:t>
              <w:br/>
              <w:t>-rw-r--r--  3 root supergroup  382721784  /user/oem/empleo/asg-2025-02-28.csv</w:t>
              <w:br/>
              <w:t>-rw-r--r--  3 root supergroup  382210436  /user/oem/empleo/asg-2025-03-31.csv</w:t>
              <w:br/>
              <w:t>-rw-r--r--  3 root supergroup  378943970  /user/oem/empleo/asg-2025-04-30.csv</w:t>
              <w:br/>
              <w:t>-rw-r--r--  3 root supergroup  383776233  /user/oem/empleo/asg-2025-05-31.csv</w:t>
              <w:br/>
              <w:t>-rw-r--r--  3 root supergroup  383951720  /user/oem/empleo/asg-2025-06-30.csv</w:t>
            </w:r>
          </w:p>
        </w:tc>
      </w:tr>
    </w:tbl>
    <w:p>
      <w:pPr>
        <w:spacing w:after="40"/>
      </w:pPr>
    </w:p>
    <w:p>
      <w:pPr>
        <w:spacing w:before="40" w:after="160"/>
        <w:jc w:val="left"/>
      </w:pPr>
      <w:r>
        <w:rPr>
          <w:rFonts w:ascii="Calibri" w:hAnsi="Calibri"/>
          <w:b w:val="0"/>
          <w:i/>
          <w:color w:val="404040"/>
          <w:sz w:val="18"/>
        </w:rPr>
        <w:t>Listado HDFS antes del particionado — archivos planos sin estructura de directorios</w:t>
      </w:r>
    </w:p>
    <w:p>
      <w:pPr>
        <w:spacing w:before="160" w:after="80"/>
        <w:jc w:val="left"/>
      </w:pPr>
      <w:r>
        <w:rPr>
          <w:rFonts w:ascii="Calibri" w:hAnsi="Calibri"/>
          <w:b/>
          <w:i w:val="0"/>
          <w:color w:val="1F497D"/>
          <w:sz w:val="22"/>
        </w:rPr>
        <w:t>2.2  Creación de directorios de partición y reorganización</w:t>
      </w:r>
    </w:p>
    <w:p>
      <w:pPr>
        <w:spacing w:before="0" w:after="80"/>
        <w:jc w:val="left"/>
      </w:pPr>
      <w:r>
        <w:rPr>
          <w:rFonts w:ascii="Calibri" w:hAnsi="Calibri"/>
          <w:b w:val="0"/>
          <w:i w:val="0"/>
          <w:sz w:val="20"/>
        </w:rPr>
        <w:t>Se crearon seis subdirectorios con la convención mes=NN que Hive utiliza para reconocer automáticamente las particiones, y se movió cada archivo al directorio correspondiente a su mes: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 Crear directorios de partición</w:t>
              <w:br/>
              <w:t>for mes in 01 02 03 04 05 06; do</w:t>
              <w:br/>
              <w:t xml:space="preserve">  docker exec hadoop-namenode hdfs dfs -mkdir -p /user/oem/empleo/mes=${mes}</w:t>
              <w:br/>
              <w:t>done</w:t>
              <w:br/>
              <w:br/>
              <w:t>-- Mover cada archivo a su partición</w:t>
              <w:br/>
              <w:t>docker exec hadoop-namenode hdfs dfs -mv /user/oem/empleo/asg-2025-01-31.csv /user/oem/empleo/mes=01/</w:t>
              <w:br/>
              <w:t>docker exec hadoop-namenode hdfs dfs -mv /user/oem/empleo/asg-2025-02-28.csv /user/oem/empleo/mes=02/</w:t>
              <w:br/>
              <w:t>docker exec hadoop-namenode hdfs dfs -mv /user/oem/empleo/asg-2025-03-31.csv /user/oem/empleo/mes=03/</w:t>
              <w:br/>
              <w:t>docker exec hadoop-namenode hdfs dfs -mv /user/oem/empleo/asg-2025-04-30.csv /user/oem/empleo/mes=04/</w:t>
              <w:br/>
              <w:t>docker exec hadoop-namenode hdfs dfs -mv /user/oem/empleo/asg-2025-05-31.csv /user/oem/empleo/mes=05/</w:t>
              <w:br/>
              <w:t>docker exec hadoop-namenode hdfs dfs -mv /user/oem/empleo/asg-2025-06-30.csv /user/oem/empleo/mes=06/</w:t>
            </w:r>
          </w:p>
        </w:tc>
      </w:tr>
    </w:tbl>
    <w:p>
      <w:pPr>
        <w:spacing w:after="40"/>
      </w:pPr>
    </w:p>
    <w:p>
      <w:pPr>
        <w:spacing w:before="40" w:after="160"/>
        <w:jc w:val="left"/>
      </w:pPr>
      <w:r>
        <w:rPr>
          <w:rFonts w:ascii="Calibri" w:hAnsi="Calibri"/>
          <w:b w:val="0"/>
          <w:i/>
          <w:color w:val="404040"/>
          <w:sz w:val="18"/>
        </w:rPr>
        <w:t>Comandos HDFS para crear la estructura de particionado y reubicar los archivos</w:t>
      </w:r>
    </w:p>
    <w:p>
      <w:pPr>
        <w:spacing w:before="0" w:after="80"/>
        <w:jc w:val="left"/>
      </w:pPr>
      <w:r>
        <w:rPr>
          <w:rFonts w:ascii="Calibri" w:hAnsi="Calibri"/>
          <w:b w:val="0"/>
          <w:i w:val="0"/>
          <w:sz w:val="20"/>
        </w:rPr>
        <w:t>La estructura resultante en HDFS quedó de la siguiente forma:</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 docker exec hadoop-namenode hdfs dfs -ls -R /user/oem/empleo/</w:t>
              <w:br/>
              <w:t>drwxr-xr-x  - root supergroup          0  /user/oem/empleo/mes=01</w:t>
              <w:br/>
              <w:t>-rw-r--r--  3 root supergroup  385793272  /user/oem/empleo/mes=01/asg-2025-01-31.csv</w:t>
              <w:br/>
              <w:t>drwxr-xr-x  - root supergroup          0  /user/oem/empleo/mes=02</w:t>
              <w:br/>
              <w:t>-rw-r--r--  3 root supergroup  382721784  /user/oem/empleo/mes=02/asg-2025-02-28.csv</w:t>
              <w:br/>
              <w:t>drwxr-xr-x  - root supergroup          0  /user/oem/empleo/mes=03</w:t>
              <w:br/>
              <w:t>-rw-r--r--  3 root supergroup  382210436  /user/oem/empleo/mes=03/asg-2025-03-31.csv</w:t>
              <w:br/>
              <w:t>drwxr-xr-x  - root supergroup          0  /user/oem/empleo/mes=04</w:t>
              <w:br/>
              <w:t>-rw-r--r--  3 root supergroup  378943970  /user/oem/empleo/mes=04/asg-2025-04-30.csv</w:t>
              <w:br/>
              <w:t>drwxr-xr-x  - root supergroup          0  /user/oem/empleo/mes=05</w:t>
              <w:br/>
              <w:t>-rw-r--r--  3 root supergroup  383776233  /user/oem/empleo/mes=05/asg-2025-05-31.csv</w:t>
              <w:br/>
              <w:t>drwxr-xr-x  - root supergroup          0  /user/oem/empleo/mes=06</w:t>
              <w:br/>
              <w:t>-rw-r--r--  3 root supergroup  383951720  /user/oem/empleo/mes=06/asg-2025-06-30.csv</w:t>
            </w:r>
          </w:p>
        </w:tc>
      </w:tr>
    </w:tbl>
    <w:p>
      <w:pPr>
        <w:spacing w:after="40"/>
      </w:pPr>
    </w:p>
    <w:p>
      <w:pPr>
        <w:spacing w:before="40" w:after="160"/>
        <w:jc w:val="left"/>
      </w:pPr>
      <w:r>
        <w:rPr>
          <w:rFonts w:ascii="Calibri" w:hAnsi="Calibri"/>
          <w:b w:val="0"/>
          <w:i/>
          <w:color w:val="404040"/>
          <w:sz w:val="18"/>
        </w:rPr>
        <w:t>Estructura HDFS final — cada archivo en su subdirectorio mes=NN correspondiente</w:t>
      </w:r>
    </w:p>
    <w:p>
      <w:pPr>
        <w:spacing w:before="160" w:after="80"/>
        <w:jc w:val="left"/>
      </w:pPr>
      <w:r>
        <w:rPr>
          <w:rFonts w:ascii="Calibri" w:hAnsi="Calibri"/>
          <w:b/>
          <w:i w:val="0"/>
          <w:color w:val="1F497D"/>
          <w:sz w:val="22"/>
        </w:rPr>
        <w:t>2.3  Reconstrucción de la tabla empleo en Hive</w:t>
      </w:r>
    </w:p>
    <w:p>
      <w:pPr>
        <w:spacing w:before="0" w:after="80"/>
        <w:jc w:val="left"/>
      </w:pPr>
      <w:r>
        <w:rPr>
          <w:rFonts w:ascii="Calibri" w:hAnsi="Calibri"/>
          <w:b w:val="0"/>
          <w:i w:val="0"/>
          <w:sz w:val="20"/>
        </w:rPr>
        <w:t>Se eliminó la tabla existente y se recreó como tabla externa particionada por la columna mes. El delimitador de campo es el caracter pipe (|), confirmado al inspeccionar directamente el contenido de los archivos CSV en HDFS: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DROP TABLE IF EXISTS empleo;</w:t>
              <w:br/>
              <w:br/>
              <w:t>CREATE EXTERNAL TABLE empleo (</w:t>
              <w:br/>
              <w:t xml:space="preserve">  cve_delegacion     STRING,</w:t>
              <w:br/>
              <w:t xml:space="preserve">  cve_subdelegacion  STRING,</w:t>
              <w:br/>
              <w:t xml:space="preserve">  cve_entidad        STRING,</w:t>
              <w:br/>
              <w:t xml:space="preserve">  cve_municipio      STRING,</w:t>
              <w:br/>
              <w:t xml:space="preserve">  sector_economico_1 STRING,</w:t>
              <w:br/>
              <w:t xml:space="preserve">  sector_economico_2 STRING,</w:t>
              <w:br/>
              <w:t xml:space="preserve">  sector_economico_4 STRING,</w:t>
              <w:br/>
              <w:t xml:space="preserve">  tamano_patron      STRING,</w:t>
              <w:br/>
              <w:t xml:space="preserve">  sexo               STRING,</w:t>
              <w:br/>
              <w:t xml:space="preserve">  rango_edad         STRING,</w:t>
              <w:br/>
              <w:t xml:space="preserve">  rango_salarial     STRING,</w:t>
              <w:br/>
              <w:t xml:space="preserve">  rango_uma          STRING,</w:t>
              <w:br/>
              <w:t xml:space="preserve">  asegurados         STRING,</w:t>
              <w:br/>
              <w:t xml:space="preserve">  no_trabajadores    STRING,</w:t>
              <w:br/>
              <w:t xml:space="preserve">  ta                 STRING,</w:t>
              <w:br/>
              <w:t xml:space="preserve">  teu                STRING,</w:t>
              <w:br/>
              <w:t xml:space="preserve">  tec                STRING,</w:t>
              <w:br/>
              <w:t xml:space="preserve">  tpu                STRING,</w:t>
              <w:br/>
              <w:t xml:space="preserve">  tpc                STRING,</w:t>
              <w:br/>
              <w:t xml:space="preserve">  ta_sal             STRING,</w:t>
              <w:br/>
              <w:t xml:space="preserve">  teu_sal            STRING,</w:t>
              <w:br/>
              <w:t xml:space="preserve">  tec_sal            STRING,</w:t>
              <w:br/>
              <w:t xml:space="preserve">  tpu_sal            STRING,</w:t>
              <w:br/>
              <w:t xml:space="preserve">  tpc_sal            STRING,</w:t>
              <w:br/>
              <w:t xml:space="preserve">  masa_sal_ta        STRING,</w:t>
              <w:br/>
              <w:t xml:space="preserve">  masa_sal_teu       STRING,</w:t>
              <w:br/>
              <w:t xml:space="preserve">  masa_sal_tec       STRING,</w:t>
              <w:br/>
              <w:t xml:space="preserve">  masa_sal_tpu       STRING,</w:t>
              <w:br/>
              <w:t xml:space="preserve">  masa_sal_tpc       STRING</w:t>
              <w:br/>
              <w:t>)</w:t>
              <w:br/>
              <w:t>PARTITIONED BY (mes STRING)</w:t>
              <w:br/>
              <w:t>ROW FORMAT DELIMITED</w:t>
              <w:br/>
              <w:t>FIELDS TERMINATED BY '|'</w:t>
              <w:br/>
              <w:t>STORED AS TEXTFILE</w:t>
              <w:br/>
              <w:t>LOCATION '/user/oem/empleo/'</w:t>
              <w:br/>
              <w:t>TBLPROPERTIES ('skip.header.line.count'='1');</w:t>
            </w:r>
          </w:p>
        </w:tc>
      </w:tr>
    </w:tbl>
    <w:p>
      <w:pPr>
        <w:spacing w:after="40"/>
      </w:pPr>
    </w:p>
    <w:p>
      <w:pPr>
        <w:spacing w:before="40" w:after="160"/>
        <w:jc w:val="left"/>
      </w:pPr>
      <w:r>
        <w:rPr>
          <w:rFonts w:ascii="Calibri" w:hAnsi="Calibri"/>
          <w:b w:val="0"/>
          <w:i/>
          <w:color w:val="404040"/>
          <w:sz w:val="18"/>
        </w:rPr>
        <w:t>DDL — tabla externa empleo con particionado por mes y delimitador pipe</w:t>
      </w:r>
    </w:p>
    <w:p>
      <w:pPr>
        <w:spacing w:before="160" w:after="80"/>
        <w:jc w:val="left"/>
      </w:pPr>
      <w:r>
        <w:rPr>
          <w:rFonts w:ascii="Calibri" w:hAnsi="Calibri"/>
          <w:b/>
          <w:i w:val="0"/>
          <w:color w:val="1F497D"/>
          <w:sz w:val="22"/>
        </w:rPr>
        <w:t>2.4  Registro de particiones con MSCK REPAIR TABLE</w:t>
      </w:r>
    </w:p>
    <w:p>
      <w:pPr>
        <w:spacing w:before="0" w:after="80"/>
        <w:jc w:val="left"/>
      </w:pPr>
      <w:r>
        <w:rPr>
          <w:rFonts w:ascii="Calibri" w:hAnsi="Calibri"/>
          <w:b w:val="0"/>
          <w:i w:val="0"/>
          <w:sz w:val="20"/>
        </w:rPr>
        <w:t>Debido a que los subdirectorios fueron creados directamente en HDFS (fuera de Hive), es necesario ejecutar MSCK REPAIR TABLE para que el metastore registre las particiones detectadas: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MSCK REPAIR TABLE empleo;</w:t>
              <w:br/>
              <w:br/>
              <w:t>SHOW PARTITIONS empleo;</w:t>
            </w:r>
          </w:p>
        </w:tc>
      </w:tr>
    </w:tbl>
    <w:p>
      <w:pPr>
        <w:spacing w:after="40"/>
      </w:pPr>
    </w:p>
    <w:p>
      <w:pPr>
        <w:spacing w:before="40" w:after="160"/>
        <w:jc w:val="left"/>
      </w:pPr>
      <w:r>
        <w:rPr>
          <w:rFonts w:ascii="Calibri" w:hAnsi="Calibri"/>
          <w:b w:val="0"/>
          <w:i/>
          <w:color w:val="404040"/>
          <w:sz w:val="18"/>
        </w:rPr>
        <w:t>Registro automático de particiones desde la estructura de directorios HDFS</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partition  |</w:t>
              <w:br/>
              <w:t>+------------+</w:t>
              <w:br/>
              <w:t>| mes=01     |</w:t>
              <w:br/>
              <w:t>| mes=02     |</w:t>
              <w:br/>
              <w:t>| mes=03     |</w:t>
              <w:br/>
              <w:t>| mes=04     |</w:t>
              <w:br/>
              <w:t>| mes=05     |</w:t>
              <w:br/>
              <w:t>| mes=06     |</w:t>
              <w:br/>
              <w:t>+------------+</w:t>
              <w:br/>
              <w:t>6 rows selected</w:t>
            </w:r>
          </w:p>
        </w:tc>
      </w:tr>
    </w:tbl>
    <w:p>
      <w:pPr>
        <w:spacing w:after="40"/>
      </w:pPr>
    </w:p>
    <w:p>
      <w:pPr>
        <w:spacing w:before="40" w:after="160"/>
        <w:jc w:val="left"/>
      </w:pPr>
      <w:r>
        <w:rPr>
          <w:rFonts w:ascii="Calibri" w:hAnsi="Calibri"/>
          <w:b w:val="0"/>
          <w:i/>
          <w:color w:val="404040"/>
          <w:sz w:val="18"/>
        </w:rPr>
        <w:t>Las seis particiones fueron detectadas y registradas correctamente en el metastore</w:t>
      </w:r>
    </w:p>
    <w:p>
      <w:pPr>
        <w:spacing w:before="160" w:after="80"/>
        <w:jc w:val="left"/>
      </w:pPr>
      <w:r>
        <w:rPr>
          <w:rFonts w:ascii="Calibri" w:hAnsi="Calibri"/>
          <w:b/>
          <w:i w:val="0"/>
          <w:color w:val="1F497D"/>
          <w:sz w:val="22"/>
        </w:rPr>
        <w:t>2.5  Consulta de prueba — asegurados por entidad, marzo 2025</w:t>
      </w:r>
    </w:p>
    <w:p>
      <w:pPr>
        <w:spacing w:before="0" w:after="80"/>
        <w:jc w:val="left"/>
      </w:pPr>
      <w:r>
        <w:rPr>
          <w:rFonts w:ascii="Calibri" w:hAnsi="Calibri"/>
          <w:b w:val="0"/>
          <w:i w:val="0"/>
          <w:sz w:val="20"/>
        </w:rPr>
        <w:t>Se ejecuta la consulta de validación sobre la partición mes='03'. Hive aplica partition pruning y procesa únicamente el archivo de marzo, sin leer los otros cinco meses:</w:t>
      </w:r>
    </w:p>
    <w:tbl>
      <w:tblPr>
        <w:tblStyle w:val="TableGrid"/>
        <w:tblW w:type="auto" w:w="0"/>
        <w:tblLook w:firstColumn="1" w:firstRow="1" w:lastColumn="0" w:lastRow="0" w:noHBand="0" w:noVBand="1" w:val="04A0"/>
      </w:tblPr>
      <w:tblGrid>
        <w:gridCol w:w="10080"/>
      </w:tblGrid>
      <w:tr>
        <w:tc>
          <w:tcPr>
            <w:tcW w:type="dxa" w:w="10080"/>
            <w:shd w:val="clear" w:color="auto" w:fill="F2F2F2"/>
          </w:tcPr>
          <w:p>
            <w:pPr>
              <w:spacing w:before="40" w:after="40"/>
            </w:pPr>
            <w:r>
              <w:rPr>
                <w:rFonts w:ascii="Courier New" w:hAnsi="Courier New"/>
                <w:color w:val="000000"/>
                <w:sz w:val="18"/>
              </w:rPr>
              <w:t>SELECT cve_entidad,</w:t>
              <w:br/>
              <w:t xml:space="preserve">       SUM(CAST(asegurados AS BIGINT)) AS total_asegurados</w:t>
              <w:br/>
              <w:t>FROM empleo</w:t>
              <w:br/>
              <w:t>WHERE mes = '03'</w:t>
              <w:br/>
              <w:t>GROUP BY cve_entidad</w:t>
              <w:br/>
              <w:t>ORDER BY total_asegurados DESC;</w:t>
            </w:r>
          </w:p>
        </w:tc>
      </w:tr>
    </w:tbl>
    <w:p>
      <w:pPr>
        <w:spacing w:after="40"/>
      </w:pPr>
    </w:p>
    <w:p>
      <w:pPr>
        <w:spacing w:before="40" w:after="160"/>
        <w:jc w:val="left"/>
      </w:pPr>
      <w:r>
        <w:rPr>
          <w:rFonts w:ascii="Calibri" w:hAnsi="Calibri"/>
          <w:b w:val="0"/>
          <w:i/>
          <w:color w:val="404040"/>
          <w:sz w:val="18"/>
        </w:rPr>
        <w:t>Consulta de prueba — filtro sobre partición mes='03', agrupación por entidad federativa</w:t>
      </w:r>
    </w:p>
    <w:tbl>
      <w:tblPr>
        <w:tblStyle w:val="TableGrid"/>
        <w:tblW w:type="auto" w:w="0"/>
        <w:tblLook w:firstColumn="1" w:firstRow="1" w:lastColumn="0" w:lastRow="0" w:noHBand="0" w:noVBand="1" w:val="04A0"/>
      </w:tblPr>
      <w:tblGrid>
        <w:gridCol w:w="10080"/>
      </w:tblGrid>
      <w:tr>
        <w:tc>
          <w:tcPr>
            <w:tcW w:type="dxa" w:w="10080"/>
            <w:shd w:val="clear" w:color="auto" w:fill="E8E8E8"/>
          </w:tcPr>
          <w:p>
            <w:pPr>
              <w:spacing w:before="40" w:after="40"/>
            </w:pPr>
            <w:r>
              <w:rPr>
                <w:rFonts w:ascii="Courier New" w:hAnsi="Courier New"/>
                <w:color w:val="000000"/>
                <w:sz w:val="16"/>
              </w:rPr>
              <w:t>+--------------+-------------------+</w:t>
              <w:br/>
              <w:t>| cve_entidad  | total_asegurados  |</w:t>
              <w:br/>
              <w:t>+--------------+-------------------+</w:t>
              <w:br/>
              <w:t>| 9            |         4,787,763 |</w:t>
              <w:br/>
              <w:t>| 15           |         2,906,089 |</w:t>
              <w:br/>
              <w:t>| 14           |         2,673,316 |</w:t>
              <w:br/>
              <w:t>| 19           |         2,218,222 |</w:t>
              <w:br/>
              <w:t>| 11           |         1,419,876 |</w:t>
              <w:br/>
              <w:t>| 30           |         1,243,637 |</w:t>
              <w:br/>
              <w:t>| 2            |         1,223,245 |</w:t>
              <w:br/>
              <w:t>| 8            |         1,194,937 |</w:t>
              <w:br/>
              <w:t>| 21           |         1,154,123 |</w:t>
              <w:br/>
              <w:t>| 5            |         1,007,865 |</w:t>
              <w:br/>
              <w:t>| 22           |           898,634 |</w:t>
              <w:br/>
              <w:t>| 26           |           891,216 |</w:t>
              <w:br/>
              <w:t>| 28           |           888,986 |</w:t>
              <w:br/>
              <w:t>| 25           |           872,715 |</w:t>
              <w:br/>
              <w:t>| 16           |           764,014 |</w:t>
              <w:br/>
              <w:t>| 24           |           651,159 |</w:t>
              <w:br/>
              <w:t>| 23           |           643,716 |</w:t>
              <w:br/>
              <w:t>| 31           |           584,517 |</w:t>
              <w:br/>
              <w:t>| 7            |           551,163 |</w:t>
              <w:br/>
              <w:t>| 13           |           517,319 |</w:t>
              <w:br/>
              <w:t>| 1            |           485,794 |</w:t>
              <w:br/>
              <w:t>| 20           |           426,939 |</w:t>
              <w:br/>
              <w:t>| 27           |           380,691 |</w:t>
              <w:br/>
              <w:t>| 12           |           346,279 |</w:t>
              <w:br/>
              <w:t>| 17           |           338,220 |</w:t>
              <w:br/>
              <w:t>| 10           |           334,954 |</w:t>
              <w:br/>
              <w:t>| 32           |           302,789 |</w:t>
              <w:br/>
              <w:t>| 3            |           280,072 |</w:t>
              <w:br/>
              <w:t>| 18           |           272,889 |</w:t>
              <w:br/>
              <w:t>| 29           |           218,975 |</w:t>
              <w:br/>
              <w:t>| 6            |           213,200 |</w:t>
              <w:br/>
              <w:t>| 4            |           205,643 |</w:t>
              <w:br/>
              <w:t>+--------------+-------------------+</w:t>
              <w:br/>
              <w:t>32 rows selected</w:t>
            </w:r>
          </w:p>
        </w:tc>
      </w:tr>
    </w:tbl>
    <w:p>
      <w:pPr>
        <w:spacing w:after="40"/>
      </w:pPr>
    </w:p>
    <w:p>
      <w:pPr>
        <w:spacing w:before="40" w:after="160"/>
        <w:jc w:val="left"/>
      </w:pPr>
      <w:r>
        <w:rPr>
          <w:rFonts w:ascii="Calibri" w:hAnsi="Calibri"/>
          <w:b w:val="0"/>
          <w:i/>
          <w:color w:val="404040"/>
          <w:sz w:val="18"/>
        </w:rPr>
        <w:t>Resultado — 32 entidades federativas con total de asegurados en marzo 2025</w:t>
      </w:r>
    </w:p>
    <w:p>
      <w:pPr>
        <w:spacing w:before="240" w:after="80"/>
        <w:jc w:val="left"/>
      </w:pPr>
      <w:r>
        <w:rPr>
          <w:rFonts w:ascii="Calibri" w:hAnsi="Calibri"/>
          <w:b/>
          <w:i w:val="0"/>
          <w:color w:val="1F497D"/>
          <w:sz w:val="26"/>
        </w:rPr>
        <w:t>3. Resultados</w:t>
      </w:r>
    </w:p>
    <w:p>
      <w:pPr>
        <w:spacing w:before="160" w:after="80"/>
        <w:jc w:val="left"/>
      </w:pPr>
      <w:r>
        <w:rPr>
          <w:rFonts w:ascii="Calibri" w:hAnsi="Calibri"/>
          <w:b/>
          <w:i w:val="0"/>
          <w:color w:val="1F497D"/>
          <w:sz w:val="22"/>
        </w:rPr>
        <w:t>Tabla 1 — Estructura de particionado en HDFS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F497D"/>
          </w:tcPr>
          <w:p>
            <w:pPr>
              <w:jc w:val="center"/>
            </w:pPr>
            <w:r>
              <w:rPr>
                <w:rFonts w:ascii="Calibri" w:hAnsi="Calibri"/>
                <w:b/>
                <w:color w:val="FFFFFF"/>
                <w:sz w:val="18"/>
              </w:rPr>
              <w:t>Partición</w:t>
            </w:r>
          </w:p>
        </w:tc>
        <w:tc>
          <w:tcPr>
            <w:tcW w:type="dxa" w:w="3360"/>
            <w:shd w:val="clear" w:color="auto" w:fill="1F497D"/>
          </w:tcPr>
          <w:p>
            <w:pPr>
              <w:jc w:val="center"/>
            </w:pPr>
            <w:r>
              <w:rPr>
                <w:rFonts w:ascii="Calibri" w:hAnsi="Calibri"/>
                <w:b/>
                <w:color w:val="FFFFFF"/>
                <w:sz w:val="18"/>
              </w:rPr>
              <w:t>Archivo</w:t>
            </w:r>
          </w:p>
        </w:tc>
        <w:tc>
          <w:tcPr>
            <w:tcW w:type="dxa" w:w="3360"/>
            <w:shd w:val="clear" w:color="auto" w:fill="1F497D"/>
          </w:tcPr>
          <w:p>
            <w:pPr>
              <w:jc w:val="center"/>
            </w:pPr>
            <w:r>
              <w:rPr>
                <w:rFonts w:ascii="Calibri" w:hAnsi="Calibri"/>
                <w:b/>
                <w:color w:val="FFFFFF"/>
                <w:sz w:val="18"/>
              </w:rPr>
              <w:t>Tamaño (bytes)</w:t>
            </w:r>
          </w:p>
        </w:tc>
      </w:tr>
      <w:tr>
        <w:tc>
          <w:tcPr>
            <w:tcW w:type="dxa" w:w="3360"/>
            <w:shd w:val="clear" w:color="auto" w:fill="FFFFFF"/>
          </w:tcPr>
          <w:p>
            <w:pPr>
              <w:jc w:val="left"/>
            </w:pPr>
            <w:r>
              <w:rPr>
                <w:rFonts w:ascii="Calibri" w:hAnsi="Calibri"/>
                <w:sz w:val="18"/>
              </w:rPr>
              <w:t>mes=01</w:t>
            </w:r>
          </w:p>
        </w:tc>
        <w:tc>
          <w:tcPr>
            <w:tcW w:type="dxa" w:w="3360"/>
            <w:shd w:val="clear" w:color="auto" w:fill="FFFFFF"/>
          </w:tcPr>
          <w:p>
            <w:pPr>
              <w:jc w:val="center"/>
            </w:pPr>
            <w:r>
              <w:rPr>
                <w:rFonts w:ascii="Calibri" w:hAnsi="Calibri"/>
                <w:sz w:val="18"/>
              </w:rPr>
              <w:t>asg-2025-01-31.csv</w:t>
            </w:r>
          </w:p>
        </w:tc>
        <w:tc>
          <w:tcPr>
            <w:tcW w:type="dxa" w:w="3360"/>
            <w:shd w:val="clear" w:color="auto" w:fill="FFFFFF"/>
          </w:tcPr>
          <w:p>
            <w:pPr>
              <w:jc w:val="center"/>
            </w:pPr>
            <w:r>
              <w:rPr>
                <w:rFonts w:ascii="Calibri" w:hAnsi="Calibri"/>
                <w:sz w:val="18"/>
              </w:rPr>
              <w:t>385,793,272</w:t>
            </w:r>
          </w:p>
        </w:tc>
      </w:tr>
      <w:tr>
        <w:tc>
          <w:tcPr>
            <w:tcW w:type="dxa" w:w="3360"/>
            <w:shd w:val="clear" w:color="auto" w:fill="F2F2F2"/>
          </w:tcPr>
          <w:p>
            <w:pPr>
              <w:jc w:val="left"/>
            </w:pPr>
            <w:r>
              <w:rPr>
                <w:rFonts w:ascii="Calibri" w:hAnsi="Calibri"/>
                <w:sz w:val="18"/>
              </w:rPr>
              <w:t>mes=02</w:t>
            </w:r>
          </w:p>
        </w:tc>
        <w:tc>
          <w:tcPr>
            <w:tcW w:type="dxa" w:w="3360"/>
            <w:shd w:val="clear" w:color="auto" w:fill="F2F2F2"/>
          </w:tcPr>
          <w:p>
            <w:pPr>
              <w:jc w:val="center"/>
            </w:pPr>
            <w:r>
              <w:rPr>
                <w:rFonts w:ascii="Calibri" w:hAnsi="Calibri"/>
                <w:sz w:val="18"/>
              </w:rPr>
              <w:t>asg-2025-02-28.csv</w:t>
            </w:r>
          </w:p>
        </w:tc>
        <w:tc>
          <w:tcPr>
            <w:tcW w:type="dxa" w:w="3360"/>
            <w:shd w:val="clear" w:color="auto" w:fill="F2F2F2"/>
          </w:tcPr>
          <w:p>
            <w:pPr>
              <w:jc w:val="center"/>
            </w:pPr>
            <w:r>
              <w:rPr>
                <w:rFonts w:ascii="Calibri" w:hAnsi="Calibri"/>
                <w:sz w:val="18"/>
              </w:rPr>
              <w:t>382,721,784</w:t>
            </w:r>
          </w:p>
        </w:tc>
      </w:tr>
      <w:tr>
        <w:tc>
          <w:tcPr>
            <w:tcW w:type="dxa" w:w="3360"/>
            <w:shd w:val="clear" w:color="auto" w:fill="FFFFFF"/>
          </w:tcPr>
          <w:p>
            <w:pPr>
              <w:jc w:val="left"/>
            </w:pPr>
            <w:r>
              <w:rPr>
                <w:rFonts w:ascii="Calibri" w:hAnsi="Calibri"/>
                <w:sz w:val="18"/>
              </w:rPr>
              <w:t>mes=03</w:t>
            </w:r>
          </w:p>
        </w:tc>
        <w:tc>
          <w:tcPr>
            <w:tcW w:type="dxa" w:w="3360"/>
            <w:shd w:val="clear" w:color="auto" w:fill="FFFFFF"/>
          </w:tcPr>
          <w:p>
            <w:pPr>
              <w:jc w:val="center"/>
            </w:pPr>
            <w:r>
              <w:rPr>
                <w:rFonts w:ascii="Calibri" w:hAnsi="Calibri"/>
                <w:sz w:val="18"/>
              </w:rPr>
              <w:t>asg-2025-03-31.csv</w:t>
            </w:r>
          </w:p>
        </w:tc>
        <w:tc>
          <w:tcPr>
            <w:tcW w:type="dxa" w:w="3360"/>
            <w:shd w:val="clear" w:color="auto" w:fill="FFFFFF"/>
          </w:tcPr>
          <w:p>
            <w:pPr>
              <w:jc w:val="center"/>
            </w:pPr>
            <w:r>
              <w:rPr>
                <w:rFonts w:ascii="Calibri" w:hAnsi="Calibri"/>
                <w:sz w:val="18"/>
              </w:rPr>
              <w:t>382,210,436</w:t>
            </w:r>
          </w:p>
        </w:tc>
      </w:tr>
      <w:tr>
        <w:tc>
          <w:tcPr>
            <w:tcW w:type="dxa" w:w="3360"/>
            <w:shd w:val="clear" w:color="auto" w:fill="F2F2F2"/>
          </w:tcPr>
          <w:p>
            <w:pPr>
              <w:jc w:val="left"/>
            </w:pPr>
            <w:r>
              <w:rPr>
                <w:rFonts w:ascii="Calibri" w:hAnsi="Calibri"/>
                <w:sz w:val="18"/>
              </w:rPr>
              <w:t>mes=04</w:t>
            </w:r>
          </w:p>
        </w:tc>
        <w:tc>
          <w:tcPr>
            <w:tcW w:type="dxa" w:w="3360"/>
            <w:shd w:val="clear" w:color="auto" w:fill="F2F2F2"/>
          </w:tcPr>
          <w:p>
            <w:pPr>
              <w:jc w:val="center"/>
            </w:pPr>
            <w:r>
              <w:rPr>
                <w:rFonts w:ascii="Calibri" w:hAnsi="Calibri"/>
                <w:sz w:val="18"/>
              </w:rPr>
              <w:t>asg-2025-04-30.csv</w:t>
            </w:r>
          </w:p>
        </w:tc>
        <w:tc>
          <w:tcPr>
            <w:tcW w:type="dxa" w:w="3360"/>
            <w:shd w:val="clear" w:color="auto" w:fill="F2F2F2"/>
          </w:tcPr>
          <w:p>
            <w:pPr>
              <w:jc w:val="center"/>
            </w:pPr>
            <w:r>
              <w:rPr>
                <w:rFonts w:ascii="Calibri" w:hAnsi="Calibri"/>
                <w:sz w:val="18"/>
              </w:rPr>
              <w:t>378,943,970</w:t>
            </w:r>
          </w:p>
        </w:tc>
      </w:tr>
      <w:tr>
        <w:tc>
          <w:tcPr>
            <w:tcW w:type="dxa" w:w="3360"/>
            <w:shd w:val="clear" w:color="auto" w:fill="FFFFFF"/>
          </w:tcPr>
          <w:p>
            <w:pPr>
              <w:jc w:val="left"/>
            </w:pPr>
            <w:r>
              <w:rPr>
                <w:rFonts w:ascii="Calibri" w:hAnsi="Calibri"/>
                <w:sz w:val="18"/>
              </w:rPr>
              <w:t>mes=05</w:t>
            </w:r>
          </w:p>
        </w:tc>
        <w:tc>
          <w:tcPr>
            <w:tcW w:type="dxa" w:w="3360"/>
            <w:shd w:val="clear" w:color="auto" w:fill="FFFFFF"/>
          </w:tcPr>
          <w:p>
            <w:pPr>
              <w:jc w:val="center"/>
            </w:pPr>
            <w:r>
              <w:rPr>
                <w:rFonts w:ascii="Calibri" w:hAnsi="Calibri"/>
                <w:sz w:val="18"/>
              </w:rPr>
              <w:t>asg-2025-05-31.csv</w:t>
            </w:r>
          </w:p>
        </w:tc>
        <w:tc>
          <w:tcPr>
            <w:tcW w:type="dxa" w:w="3360"/>
            <w:shd w:val="clear" w:color="auto" w:fill="FFFFFF"/>
          </w:tcPr>
          <w:p>
            <w:pPr>
              <w:jc w:val="center"/>
            </w:pPr>
            <w:r>
              <w:rPr>
                <w:rFonts w:ascii="Calibri" w:hAnsi="Calibri"/>
                <w:sz w:val="18"/>
              </w:rPr>
              <w:t>383,776,233</w:t>
            </w:r>
          </w:p>
        </w:tc>
      </w:tr>
      <w:tr>
        <w:tc>
          <w:tcPr>
            <w:tcW w:type="dxa" w:w="3360"/>
            <w:shd w:val="clear" w:color="auto" w:fill="F2F2F2"/>
          </w:tcPr>
          <w:p>
            <w:pPr>
              <w:jc w:val="left"/>
            </w:pPr>
            <w:r>
              <w:rPr>
                <w:rFonts w:ascii="Calibri" w:hAnsi="Calibri"/>
                <w:sz w:val="18"/>
              </w:rPr>
              <w:t>mes=06</w:t>
            </w:r>
          </w:p>
        </w:tc>
        <w:tc>
          <w:tcPr>
            <w:tcW w:type="dxa" w:w="3360"/>
            <w:shd w:val="clear" w:color="auto" w:fill="F2F2F2"/>
          </w:tcPr>
          <w:p>
            <w:pPr>
              <w:jc w:val="center"/>
            </w:pPr>
            <w:r>
              <w:rPr>
                <w:rFonts w:ascii="Calibri" w:hAnsi="Calibri"/>
                <w:sz w:val="18"/>
              </w:rPr>
              <w:t>asg-2025-06-30.csv</w:t>
            </w:r>
          </w:p>
        </w:tc>
        <w:tc>
          <w:tcPr>
            <w:tcW w:type="dxa" w:w="3360"/>
            <w:shd w:val="clear" w:color="auto" w:fill="F2F2F2"/>
          </w:tcPr>
          <w:p>
            <w:pPr>
              <w:jc w:val="center"/>
            </w:pPr>
            <w:r>
              <w:rPr>
                <w:rFonts w:ascii="Calibri" w:hAnsi="Calibri"/>
                <w:sz w:val="18"/>
              </w:rPr>
              <w:t>383,951,720</w:t>
            </w:r>
          </w:p>
        </w:tc>
      </w:tr>
    </w:tbl>
    <w:p>
      <w:pPr>
        <w:spacing w:before="40" w:after="160"/>
        <w:jc w:val="left"/>
      </w:pPr>
      <w:r>
        <w:rPr>
          <w:rFonts w:ascii="Calibri" w:hAnsi="Calibri"/>
          <w:b w:val="0"/>
          <w:i/>
          <w:color w:val="404040"/>
          <w:sz w:val="18"/>
        </w:rPr>
        <w:t>Tabla 1. Estructura de particionado: un archivo por mes en su subdirectorio HDFS correspondiente.</w:t>
      </w:r>
    </w:p>
    <w:p>
      <w:pPr>
        <w:spacing w:before="160" w:after="80"/>
        <w:jc w:val="left"/>
      </w:pPr>
      <w:r>
        <w:rPr>
          <w:rFonts w:ascii="Calibri" w:hAnsi="Calibri"/>
          <w:b/>
          <w:i w:val="0"/>
          <w:color w:val="1F497D"/>
          <w:sz w:val="22"/>
        </w:rPr>
        <w:t>Tabla 2 — Asegurados por entidad federativa, marzo 2025 (top 10)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497D"/>
          </w:tcPr>
          <w:p>
            <w:pPr>
              <w:jc w:val="center"/>
            </w:pPr>
            <w:r>
              <w:rPr>
                <w:rFonts w:ascii="Calibri" w:hAnsi="Calibri"/>
                <w:b/>
                <w:color w:val="FFFFFF"/>
                <w:sz w:val="18"/>
              </w:rPr>
              <w:t>#</w:t>
            </w:r>
          </w:p>
        </w:tc>
        <w:tc>
          <w:tcPr>
            <w:tcW w:type="dxa" w:w="2520"/>
            <w:shd w:val="clear" w:color="auto" w:fill="1F497D"/>
          </w:tcPr>
          <w:p>
            <w:pPr>
              <w:jc w:val="center"/>
            </w:pPr>
            <w:r>
              <w:rPr>
                <w:rFonts w:ascii="Calibri" w:hAnsi="Calibri"/>
                <w:b/>
                <w:color w:val="FFFFFF"/>
                <w:sz w:val="18"/>
              </w:rPr>
              <w:t>Cve. Entidad</w:t>
            </w:r>
          </w:p>
        </w:tc>
        <w:tc>
          <w:tcPr>
            <w:tcW w:type="dxa" w:w="2520"/>
            <w:shd w:val="clear" w:color="auto" w:fill="1F497D"/>
          </w:tcPr>
          <w:p>
            <w:pPr>
              <w:jc w:val="center"/>
            </w:pPr>
            <w:r>
              <w:rPr>
                <w:rFonts w:ascii="Calibri" w:hAnsi="Calibri"/>
                <w:b/>
                <w:color w:val="FFFFFF"/>
                <w:sz w:val="18"/>
              </w:rPr>
              <w:t>Entidad</w:t>
            </w:r>
          </w:p>
        </w:tc>
        <w:tc>
          <w:tcPr>
            <w:tcW w:type="dxa" w:w="2520"/>
            <w:shd w:val="clear" w:color="auto" w:fill="1F497D"/>
          </w:tcPr>
          <w:p>
            <w:pPr>
              <w:jc w:val="center"/>
            </w:pPr>
            <w:r>
              <w:rPr>
                <w:rFonts w:ascii="Calibri" w:hAnsi="Calibri"/>
                <w:b/>
                <w:color w:val="FFFFFF"/>
                <w:sz w:val="18"/>
              </w:rPr>
              <w:t>Asegurados</w:t>
            </w:r>
          </w:p>
        </w:tc>
      </w:tr>
      <w:tr>
        <w:tc>
          <w:tcPr>
            <w:tcW w:type="dxa" w:w="2520"/>
            <w:shd w:val="clear" w:color="auto" w:fill="FFFFFF"/>
          </w:tcPr>
          <w:p>
            <w:pPr>
              <w:jc w:val="left"/>
            </w:pPr>
            <w:r>
              <w:rPr>
                <w:rFonts w:ascii="Calibri" w:hAnsi="Calibri"/>
                <w:sz w:val="18"/>
              </w:rPr>
              <w:t>1</w:t>
            </w:r>
          </w:p>
        </w:tc>
        <w:tc>
          <w:tcPr>
            <w:tcW w:type="dxa" w:w="2520"/>
            <w:shd w:val="clear" w:color="auto" w:fill="FFFFFF"/>
          </w:tcPr>
          <w:p>
            <w:pPr>
              <w:jc w:val="center"/>
            </w:pPr>
            <w:r>
              <w:rPr>
                <w:rFonts w:ascii="Calibri" w:hAnsi="Calibri"/>
                <w:sz w:val="18"/>
              </w:rPr>
              <w:t>9</w:t>
            </w:r>
          </w:p>
        </w:tc>
        <w:tc>
          <w:tcPr>
            <w:tcW w:type="dxa" w:w="2520"/>
            <w:shd w:val="clear" w:color="auto" w:fill="FFFFFF"/>
          </w:tcPr>
          <w:p>
            <w:pPr>
              <w:jc w:val="center"/>
            </w:pPr>
            <w:r>
              <w:rPr>
                <w:rFonts w:ascii="Calibri" w:hAnsi="Calibri"/>
                <w:sz w:val="18"/>
              </w:rPr>
              <w:t>Ciudad de México</w:t>
            </w:r>
          </w:p>
        </w:tc>
        <w:tc>
          <w:tcPr>
            <w:tcW w:type="dxa" w:w="2520"/>
            <w:shd w:val="clear" w:color="auto" w:fill="FFFFFF"/>
          </w:tcPr>
          <w:p>
            <w:pPr>
              <w:jc w:val="center"/>
            </w:pPr>
            <w:r>
              <w:rPr>
                <w:rFonts w:ascii="Calibri" w:hAnsi="Calibri"/>
                <w:sz w:val="18"/>
              </w:rPr>
              <w:t>4,787,763</w:t>
            </w:r>
          </w:p>
        </w:tc>
      </w:tr>
      <w:tr>
        <w:tc>
          <w:tcPr>
            <w:tcW w:type="dxa" w:w="2520"/>
            <w:shd w:val="clear" w:color="auto" w:fill="F2F2F2"/>
          </w:tcPr>
          <w:p>
            <w:pPr>
              <w:jc w:val="left"/>
            </w:pPr>
            <w:r>
              <w:rPr>
                <w:rFonts w:ascii="Calibri" w:hAnsi="Calibri"/>
                <w:sz w:val="18"/>
              </w:rPr>
              <w:t>2</w:t>
            </w:r>
          </w:p>
        </w:tc>
        <w:tc>
          <w:tcPr>
            <w:tcW w:type="dxa" w:w="2520"/>
            <w:shd w:val="clear" w:color="auto" w:fill="F2F2F2"/>
          </w:tcPr>
          <w:p>
            <w:pPr>
              <w:jc w:val="center"/>
            </w:pPr>
            <w:r>
              <w:rPr>
                <w:rFonts w:ascii="Calibri" w:hAnsi="Calibri"/>
                <w:sz w:val="18"/>
              </w:rPr>
              <w:t>15</w:t>
            </w:r>
          </w:p>
        </w:tc>
        <w:tc>
          <w:tcPr>
            <w:tcW w:type="dxa" w:w="2520"/>
            <w:shd w:val="clear" w:color="auto" w:fill="F2F2F2"/>
          </w:tcPr>
          <w:p>
            <w:pPr>
              <w:jc w:val="center"/>
            </w:pPr>
            <w:r>
              <w:rPr>
                <w:rFonts w:ascii="Calibri" w:hAnsi="Calibri"/>
                <w:sz w:val="18"/>
              </w:rPr>
              <w:t>Estado de México</w:t>
            </w:r>
          </w:p>
        </w:tc>
        <w:tc>
          <w:tcPr>
            <w:tcW w:type="dxa" w:w="2520"/>
            <w:shd w:val="clear" w:color="auto" w:fill="F2F2F2"/>
          </w:tcPr>
          <w:p>
            <w:pPr>
              <w:jc w:val="center"/>
            </w:pPr>
            <w:r>
              <w:rPr>
                <w:rFonts w:ascii="Calibri" w:hAnsi="Calibri"/>
                <w:sz w:val="18"/>
              </w:rPr>
              <w:t>2,906,089</w:t>
            </w:r>
          </w:p>
        </w:tc>
      </w:tr>
      <w:tr>
        <w:tc>
          <w:tcPr>
            <w:tcW w:type="dxa" w:w="2520"/>
            <w:shd w:val="clear" w:color="auto" w:fill="FFFFFF"/>
          </w:tcPr>
          <w:p>
            <w:pPr>
              <w:jc w:val="left"/>
            </w:pPr>
            <w:r>
              <w:rPr>
                <w:rFonts w:ascii="Calibri" w:hAnsi="Calibri"/>
                <w:sz w:val="18"/>
              </w:rPr>
              <w:t>3</w:t>
            </w:r>
          </w:p>
        </w:tc>
        <w:tc>
          <w:tcPr>
            <w:tcW w:type="dxa" w:w="2520"/>
            <w:shd w:val="clear" w:color="auto" w:fill="FFFFFF"/>
          </w:tcPr>
          <w:p>
            <w:pPr>
              <w:jc w:val="center"/>
            </w:pPr>
            <w:r>
              <w:rPr>
                <w:rFonts w:ascii="Calibri" w:hAnsi="Calibri"/>
                <w:sz w:val="18"/>
              </w:rPr>
              <w:t>14</w:t>
            </w:r>
          </w:p>
        </w:tc>
        <w:tc>
          <w:tcPr>
            <w:tcW w:type="dxa" w:w="2520"/>
            <w:shd w:val="clear" w:color="auto" w:fill="FFFFFF"/>
          </w:tcPr>
          <w:p>
            <w:pPr>
              <w:jc w:val="center"/>
            </w:pPr>
            <w:r>
              <w:rPr>
                <w:rFonts w:ascii="Calibri" w:hAnsi="Calibri"/>
                <w:sz w:val="18"/>
              </w:rPr>
              <w:t>Jalisco</w:t>
            </w:r>
          </w:p>
        </w:tc>
        <w:tc>
          <w:tcPr>
            <w:tcW w:type="dxa" w:w="2520"/>
            <w:shd w:val="clear" w:color="auto" w:fill="FFFFFF"/>
          </w:tcPr>
          <w:p>
            <w:pPr>
              <w:jc w:val="center"/>
            </w:pPr>
            <w:r>
              <w:rPr>
                <w:rFonts w:ascii="Calibri" w:hAnsi="Calibri"/>
                <w:sz w:val="18"/>
              </w:rPr>
              <w:t>2,673,316</w:t>
            </w:r>
          </w:p>
        </w:tc>
      </w:tr>
      <w:tr>
        <w:tc>
          <w:tcPr>
            <w:tcW w:type="dxa" w:w="2520"/>
            <w:shd w:val="clear" w:color="auto" w:fill="F2F2F2"/>
          </w:tcPr>
          <w:p>
            <w:pPr>
              <w:jc w:val="left"/>
            </w:pPr>
            <w:r>
              <w:rPr>
                <w:rFonts w:ascii="Calibri" w:hAnsi="Calibri"/>
                <w:sz w:val="18"/>
              </w:rPr>
              <w:t>4</w:t>
            </w:r>
          </w:p>
        </w:tc>
        <w:tc>
          <w:tcPr>
            <w:tcW w:type="dxa" w:w="2520"/>
            <w:shd w:val="clear" w:color="auto" w:fill="F2F2F2"/>
          </w:tcPr>
          <w:p>
            <w:pPr>
              <w:jc w:val="center"/>
            </w:pPr>
            <w:r>
              <w:rPr>
                <w:rFonts w:ascii="Calibri" w:hAnsi="Calibri"/>
                <w:sz w:val="18"/>
              </w:rPr>
              <w:t>19</w:t>
            </w:r>
          </w:p>
        </w:tc>
        <w:tc>
          <w:tcPr>
            <w:tcW w:type="dxa" w:w="2520"/>
            <w:shd w:val="clear" w:color="auto" w:fill="F2F2F2"/>
          </w:tcPr>
          <w:p>
            <w:pPr>
              <w:jc w:val="center"/>
            </w:pPr>
            <w:r>
              <w:rPr>
                <w:rFonts w:ascii="Calibri" w:hAnsi="Calibri"/>
                <w:sz w:val="18"/>
              </w:rPr>
              <w:t>Nuevo León</w:t>
            </w:r>
          </w:p>
        </w:tc>
        <w:tc>
          <w:tcPr>
            <w:tcW w:type="dxa" w:w="2520"/>
            <w:shd w:val="clear" w:color="auto" w:fill="F2F2F2"/>
          </w:tcPr>
          <w:p>
            <w:pPr>
              <w:jc w:val="center"/>
            </w:pPr>
            <w:r>
              <w:rPr>
                <w:rFonts w:ascii="Calibri" w:hAnsi="Calibri"/>
                <w:sz w:val="18"/>
              </w:rPr>
              <w:t>2,218,222</w:t>
            </w:r>
          </w:p>
        </w:tc>
      </w:tr>
      <w:tr>
        <w:tc>
          <w:tcPr>
            <w:tcW w:type="dxa" w:w="2520"/>
            <w:shd w:val="clear" w:color="auto" w:fill="FFFFFF"/>
          </w:tcPr>
          <w:p>
            <w:pPr>
              <w:jc w:val="left"/>
            </w:pPr>
            <w:r>
              <w:rPr>
                <w:rFonts w:ascii="Calibri" w:hAnsi="Calibri"/>
                <w:sz w:val="18"/>
              </w:rPr>
              <w:t>5</w:t>
            </w:r>
          </w:p>
        </w:tc>
        <w:tc>
          <w:tcPr>
            <w:tcW w:type="dxa" w:w="2520"/>
            <w:shd w:val="clear" w:color="auto" w:fill="FFFFFF"/>
          </w:tcPr>
          <w:p>
            <w:pPr>
              <w:jc w:val="center"/>
            </w:pPr>
            <w:r>
              <w:rPr>
                <w:rFonts w:ascii="Calibri" w:hAnsi="Calibri"/>
                <w:sz w:val="18"/>
              </w:rPr>
              <w:t>11</w:t>
            </w:r>
          </w:p>
        </w:tc>
        <w:tc>
          <w:tcPr>
            <w:tcW w:type="dxa" w:w="2520"/>
            <w:shd w:val="clear" w:color="auto" w:fill="FFFFFF"/>
          </w:tcPr>
          <w:p>
            <w:pPr>
              <w:jc w:val="center"/>
            </w:pPr>
            <w:r>
              <w:rPr>
                <w:rFonts w:ascii="Calibri" w:hAnsi="Calibri"/>
                <w:sz w:val="18"/>
              </w:rPr>
              <w:t>Guanajuato</w:t>
            </w:r>
          </w:p>
        </w:tc>
        <w:tc>
          <w:tcPr>
            <w:tcW w:type="dxa" w:w="2520"/>
            <w:shd w:val="clear" w:color="auto" w:fill="FFFFFF"/>
          </w:tcPr>
          <w:p>
            <w:pPr>
              <w:jc w:val="center"/>
            </w:pPr>
            <w:r>
              <w:rPr>
                <w:rFonts w:ascii="Calibri" w:hAnsi="Calibri"/>
                <w:sz w:val="18"/>
              </w:rPr>
              <w:t>1,419,876</w:t>
            </w:r>
          </w:p>
        </w:tc>
      </w:tr>
      <w:tr>
        <w:tc>
          <w:tcPr>
            <w:tcW w:type="dxa" w:w="2520"/>
            <w:shd w:val="clear" w:color="auto" w:fill="F2F2F2"/>
          </w:tcPr>
          <w:p>
            <w:pPr>
              <w:jc w:val="left"/>
            </w:pPr>
            <w:r>
              <w:rPr>
                <w:rFonts w:ascii="Calibri" w:hAnsi="Calibri"/>
                <w:sz w:val="18"/>
              </w:rPr>
              <w:t>6</w:t>
            </w:r>
          </w:p>
        </w:tc>
        <w:tc>
          <w:tcPr>
            <w:tcW w:type="dxa" w:w="2520"/>
            <w:shd w:val="clear" w:color="auto" w:fill="F2F2F2"/>
          </w:tcPr>
          <w:p>
            <w:pPr>
              <w:jc w:val="center"/>
            </w:pPr>
            <w:r>
              <w:rPr>
                <w:rFonts w:ascii="Calibri" w:hAnsi="Calibri"/>
                <w:sz w:val="18"/>
              </w:rPr>
              <w:t>30</w:t>
            </w:r>
          </w:p>
        </w:tc>
        <w:tc>
          <w:tcPr>
            <w:tcW w:type="dxa" w:w="2520"/>
            <w:shd w:val="clear" w:color="auto" w:fill="F2F2F2"/>
          </w:tcPr>
          <w:p>
            <w:pPr>
              <w:jc w:val="center"/>
            </w:pPr>
            <w:r>
              <w:rPr>
                <w:rFonts w:ascii="Calibri" w:hAnsi="Calibri"/>
                <w:sz w:val="18"/>
              </w:rPr>
              <w:t>Veracruz</w:t>
            </w:r>
          </w:p>
        </w:tc>
        <w:tc>
          <w:tcPr>
            <w:tcW w:type="dxa" w:w="2520"/>
            <w:shd w:val="clear" w:color="auto" w:fill="F2F2F2"/>
          </w:tcPr>
          <w:p>
            <w:pPr>
              <w:jc w:val="center"/>
            </w:pPr>
            <w:r>
              <w:rPr>
                <w:rFonts w:ascii="Calibri" w:hAnsi="Calibri"/>
                <w:sz w:val="18"/>
              </w:rPr>
              <w:t>1,243,637</w:t>
            </w:r>
          </w:p>
        </w:tc>
      </w:tr>
      <w:tr>
        <w:tc>
          <w:tcPr>
            <w:tcW w:type="dxa" w:w="2520"/>
            <w:shd w:val="clear" w:color="auto" w:fill="FFFFFF"/>
          </w:tcPr>
          <w:p>
            <w:pPr>
              <w:jc w:val="left"/>
            </w:pPr>
            <w:r>
              <w:rPr>
                <w:rFonts w:ascii="Calibri" w:hAnsi="Calibri"/>
                <w:sz w:val="18"/>
              </w:rPr>
              <w:t>7</w:t>
            </w:r>
          </w:p>
        </w:tc>
        <w:tc>
          <w:tcPr>
            <w:tcW w:type="dxa" w:w="2520"/>
            <w:shd w:val="clear" w:color="auto" w:fill="FFFFFF"/>
          </w:tcPr>
          <w:p>
            <w:pPr>
              <w:jc w:val="center"/>
            </w:pPr>
            <w:r>
              <w:rPr>
                <w:rFonts w:ascii="Calibri" w:hAnsi="Calibri"/>
                <w:sz w:val="18"/>
              </w:rPr>
              <w:t>2</w:t>
            </w:r>
          </w:p>
        </w:tc>
        <w:tc>
          <w:tcPr>
            <w:tcW w:type="dxa" w:w="2520"/>
            <w:shd w:val="clear" w:color="auto" w:fill="FFFFFF"/>
          </w:tcPr>
          <w:p>
            <w:pPr>
              <w:jc w:val="center"/>
            </w:pPr>
            <w:r>
              <w:rPr>
                <w:rFonts w:ascii="Calibri" w:hAnsi="Calibri"/>
                <w:sz w:val="18"/>
              </w:rPr>
              <w:t>Baja California</w:t>
            </w:r>
          </w:p>
        </w:tc>
        <w:tc>
          <w:tcPr>
            <w:tcW w:type="dxa" w:w="2520"/>
            <w:shd w:val="clear" w:color="auto" w:fill="FFFFFF"/>
          </w:tcPr>
          <w:p>
            <w:pPr>
              <w:jc w:val="center"/>
            </w:pPr>
            <w:r>
              <w:rPr>
                <w:rFonts w:ascii="Calibri" w:hAnsi="Calibri"/>
                <w:sz w:val="18"/>
              </w:rPr>
              <w:t>1,223,245</w:t>
            </w:r>
          </w:p>
        </w:tc>
      </w:tr>
      <w:tr>
        <w:tc>
          <w:tcPr>
            <w:tcW w:type="dxa" w:w="2520"/>
            <w:shd w:val="clear" w:color="auto" w:fill="F2F2F2"/>
          </w:tcPr>
          <w:p>
            <w:pPr>
              <w:jc w:val="left"/>
            </w:pPr>
            <w:r>
              <w:rPr>
                <w:rFonts w:ascii="Calibri" w:hAnsi="Calibri"/>
                <w:sz w:val="18"/>
              </w:rPr>
              <w:t>8</w:t>
            </w:r>
          </w:p>
        </w:tc>
        <w:tc>
          <w:tcPr>
            <w:tcW w:type="dxa" w:w="2520"/>
            <w:shd w:val="clear" w:color="auto" w:fill="F2F2F2"/>
          </w:tcPr>
          <w:p>
            <w:pPr>
              <w:jc w:val="center"/>
            </w:pPr>
            <w:r>
              <w:rPr>
                <w:rFonts w:ascii="Calibri" w:hAnsi="Calibri"/>
                <w:sz w:val="18"/>
              </w:rPr>
              <w:t>8</w:t>
            </w:r>
          </w:p>
        </w:tc>
        <w:tc>
          <w:tcPr>
            <w:tcW w:type="dxa" w:w="2520"/>
            <w:shd w:val="clear" w:color="auto" w:fill="F2F2F2"/>
          </w:tcPr>
          <w:p>
            <w:pPr>
              <w:jc w:val="center"/>
            </w:pPr>
            <w:r>
              <w:rPr>
                <w:rFonts w:ascii="Calibri" w:hAnsi="Calibri"/>
                <w:sz w:val="18"/>
              </w:rPr>
              <w:t>Chihuahua</w:t>
            </w:r>
          </w:p>
        </w:tc>
        <w:tc>
          <w:tcPr>
            <w:tcW w:type="dxa" w:w="2520"/>
            <w:shd w:val="clear" w:color="auto" w:fill="F2F2F2"/>
          </w:tcPr>
          <w:p>
            <w:pPr>
              <w:jc w:val="center"/>
            </w:pPr>
            <w:r>
              <w:rPr>
                <w:rFonts w:ascii="Calibri" w:hAnsi="Calibri"/>
                <w:sz w:val="18"/>
              </w:rPr>
              <w:t>1,194,937</w:t>
            </w:r>
          </w:p>
        </w:tc>
      </w:tr>
      <w:tr>
        <w:tc>
          <w:tcPr>
            <w:tcW w:type="dxa" w:w="2520"/>
            <w:shd w:val="clear" w:color="auto" w:fill="FFFFFF"/>
          </w:tcPr>
          <w:p>
            <w:pPr>
              <w:jc w:val="left"/>
            </w:pPr>
            <w:r>
              <w:rPr>
                <w:rFonts w:ascii="Calibri" w:hAnsi="Calibri"/>
                <w:sz w:val="18"/>
              </w:rPr>
              <w:t>9</w:t>
            </w:r>
          </w:p>
        </w:tc>
        <w:tc>
          <w:tcPr>
            <w:tcW w:type="dxa" w:w="2520"/>
            <w:shd w:val="clear" w:color="auto" w:fill="FFFFFF"/>
          </w:tcPr>
          <w:p>
            <w:pPr>
              <w:jc w:val="center"/>
            </w:pPr>
            <w:r>
              <w:rPr>
                <w:rFonts w:ascii="Calibri" w:hAnsi="Calibri"/>
                <w:sz w:val="18"/>
              </w:rPr>
              <w:t>21</w:t>
            </w:r>
          </w:p>
        </w:tc>
        <w:tc>
          <w:tcPr>
            <w:tcW w:type="dxa" w:w="2520"/>
            <w:shd w:val="clear" w:color="auto" w:fill="FFFFFF"/>
          </w:tcPr>
          <w:p>
            <w:pPr>
              <w:jc w:val="center"/>
            </w:pPr>
            <w:r>
              <w:rPr>
                <w:rFonts w:ascii="Calibri" w:hAnsi="Calibri"/>
                <w:sz w:val="18"/>
              </w:rPr>
              <w:t>Puebla</w:t>
            </w:r>
          </w:p>
        </w:tc>
        <w:tc>
          <w:tcPr>
            <w:tcW w:type="dxa" w:w="2520"/>
            <w:shd w:val="clear" w:color="auto" w:fill="FFFFFF"/>
          </w:tcPr>
          <w:p>
            <w:pPr>
              <w:jc w:val="center"/>
            </w:pPr>
            <w:r>
              <w:rPr>
                <w:rFonts w:ascii="Calibri" w:hAnsi="Calibri"/>
                <w:sz w:val="18"/>
              </w:rPr>
              <w:t>1,154,123</w:t>
            </w:r>
          </w:p>
        </w:tc>
      </w:tr>
      <w:tr>
        <w:tc>
          <w:tcPr>
            <w:tcW w:type="dxa" w:w="2520"/>
            <w:shd w:val="clear" w:color="auto" w:fill="F2F2F2"/>
          </w:tcPr>
          <w:p>
            <w:pPr>
              <w:jc w:val="left"/>
            </w:pPr>
            <w:r>
              <w:rPr>
                <w:rFonts w:ascii="Calibri" w:hAnsi="Calibri"/>
                <w:sz w:val="18"/>
              </w:rPr>
              <w:t>10</w:t>
            </w:r>
          </w:p>
        </w:tc>
        <w:tc>
          <w:tcPr>
            <w:tcW w:type="dxa" w:w="2520"/>
            <w:shd w:val="clear" w:color="auto" w:fill="F2F2F2"/>
          </w:tcPr>
          <w:p>
            <w:pPr>
              <w:jc w:val="center"/>
            </w:pPr>
            <w:r>
              <w:rPr>
                <w:rFonts w:ascii="Calibri" w:hAnsi="Calibri"/>
                <w:sz w:val="18"/>
              </w:rPr>
              <w:t>5</w:t>
            </w:r>
          </w:p>
        </w:tc>
        <w:tc>
          <w:tcPr>
            <w:tcW w:type="dxa" w:w="2520"/>
            <w:shd w:val="clear" w:color="auto" w:fill="F2F2F2"/>
          </w:tcPr>
          <w:p>
            <w:pPr>
              <w:jc w:val="center"/>
            </w:pPr>
            <w:r>
              <w:rPr>
                <w:rFonts w:ascii="Calibri" w:hAnsi="Calibri"/>
                <w:sz w:val="18"/>
              </w:rPr>
              <w:t>Coahuila</w:t>
            </w:r>
          </w:p>
        </w:tc>
        <w:tc>
          <w:tcPr>
            <w:tcW w:type="dxa" w:w="2520"/>
            <w:shd w:val="clear" w:color="auto" w:fill="F2F2F2"/>
          </w:tcPr>
          <w:p>
            <w:pPr>
              <w:jc w:val="center"/>
            </w:pPr>
            <w:r>
              <w:rPr>
                <w:rFonts w:ascii="Calibri" w:hAnsi="Calibri"/>
                <w:sz w:val="18"/>
              </w:rPr>
              <w:t>1,007,865</w:t>
            </w:r>
          </w:p>
        </w:tc>
      </w:tr>
    </w:tbl>
    <w:p>
      <w:pPr>
        <w:spacing w:before="40" w:after="160"/>
        <w:jc w:val="left"/>
      </w:pPr>
      <w:r>
        <w:rPr>
          <w:rFonts w:ascii="Calibri" w:hAnsi="Calibri"/>
          <w:b w:val="0"/>
          <w:i/>
          <w:color w:val="404040"/>
          <w:sz w:val="18"/>
        </w:rPr>
        <w:t>Tabla 2. Top 10 entidades por número de asegurados en marzo 2025. Fuente: IMSS ASG 2025.</w:t>
      </w:r>
    </w:p>
    <w:p>
      <w:pPr>
        <w:spacing w:before="0" w:after="120"/>
        <w:jc w:val="left"/>
      </w:pPr>
      <w:r>
        <w:rPr>
          <w:rFonts w:ascii="Calibri" w:hAnsi="Calibri"/>
          <w:b w:val="0"/>
          <w:i w:val="0"/>
          <w:sz w:val="20"/>
        </w:rPr>
        <w:t>Ciudad de México concentra el mayor número de asegurados con 4.8 millones, seguida por Estado de México (2.9M) y Jalisco (2.7M). Las tres entidades representan en conjunto el 39% del total de asegurados a nivel nacional en marzo de 2025, lo que refleja la alta concentración del empleo formal en los principales centros económicos del país.</w:t>
      </w:r>
    </w:p>
    <w:p>
      <w:pPr>
        <w:spacing w:before="240" w:after="80"/>
        <w:jc w:val="left"/>
      </w:pPr>
      <w:r>
        <w:rPr>
          <w:rFonts w:ascii="Calibri" w:hAnsi="Calibri"/>
          <w:b/>
          <w:i w:val="0"/>
          <w:color w:val="1F497D"/>
          <w:sz w:val="26"/>
        </w:rPr>
        <w:t>4. Conclusiones</w:t>
      </w:r>
    </w:p>
    <w:p>
      <w:pPr>
        <w:spacing w:before="0" w:after="80"/>
        <w:jc w:val="left"/>
      </w:pPr>
      <w:r>
        <w:rPr>
          <w:rFonts w:ascii="Calibri" w:hAnsi="Calibri"/>
          <w:b w:val="0"/>
          <w:i w:val="0"/>
          <w:sz w:val="20"/>
        </w:rPr>
        <w:t>La implementación del particionado por mes sobre la tabla empleo demuestra las ventajas de esta técnica de optimización en Hive:</w:t>
      </w:r>
    </w:p>
    <w:p>
      <w:pPr>
        <w:pStyle w:val="ListBullet"/>
        <w:spacing w:after="80"/>
      </w:pPr>
      <w:r>
        <w:rPr>
          <w:rFonts w:ascii="Calibri" w:hAnsi="Calibri"/>
          <w:b/>
          <w:color w:val="1F497D"/>
          <w:sz w:val="20"/>
        </w:rPr>
        <w:t xml:space="preserve">Partition pruning efectivo. </w:t>
      </w:r>
      <w:r>
        <w:rPr>
          <w:rFonts w:ascii="Calibri" w:hAnsi="Calibri"/>
          <w:sz w:val="20"/>
        </w:rPr>
        <w:t>Al filtrar por mes='03', Hive procesa únicamente el archivo de marzo (382 MB) en lugar de los 2.3 GB del semestre completo, reduciendo la lectura de datos en un 83%.</w:t>
      </w:r>
    </w:p>
    <w:p>
      <w:pPr>
        <w:pStyle w:val="ListBullet"/>
        <w:spacing w:after="80"/>
      </w:pPr>
      <w:r>
        <w:rPr>
          <w:rFonts w:ascii="Calibri" w:hAnsi="Calibri"/>
          <w:b/>
          <w:color w:val="1F497D"/>
          <w:sz w:val="20"/>
        </w:rPr>
        <w:t xml:space="preserve">Convención de nombres estándar. </w:t>
      </w:r>
      <w:r>
        <w:rPr>
          <w:rFonts w:ascii="Calibri" w:hAnsi="Calibri"/>
          <w:sz w:val="20"/>
        </w:rPr>
        <w:t>El formato mes=NN en los nombres de los subdirectorios permite que MSCK REPAIR TABLE detecte y registre automáticamente las seis particiones sin necesidad de definirlas manualmente con ALTER TABLE.</w:t>
      </w:r>
    </w:p>
    <w:p>
      <w:pPr>
        <w:pStyle w:val="ListBullet"/>
        <w:spacing w:after="80"/>
      </w:pPr>
      <w:r>
        <w:rPr>
          <w:rFonts w:ascii="Calibri" w:hAnsi="Calibri"/>
          <w:b/>
          <w:color w:val="1F497D"/>
          <w:sz w:val="20"/>
        </w:rPr>
        <w:t xml:space="preserve">Escabilidad. </w:t>
      </w:r>
      <w:r>
        <w:rPr>
          <w:rFonts w:ascii="Calibri" w:hAnsi="Calibri"/>
          <w:sz w:val="20"/>
        </w:rPr>
        <w:t>La estructura particionada facilita agregar nuevos meses sin modificar la definición de la tabla: basta con crear el subdirectorio mes=07/ y ejecutar MSCK REPAIR TABLE para que Hive lo reconozca.</w:t>
      </w:r>
    </w:p>
    <w:p>
      <w:pPr>
        <w:pStyle w:val="ListBullet"/>
        <w:spacing w:after="80"/>
      </w:pPr>
      <w:r>
        <w:rPr>
          <w:rFonts w:ascii="Calibri" w:hAnsi="Calibri"/>
          <w:b/>
          <w:color w:val="1F497D"/>
          <w:sz w:val="20"/>
        </w:rPr>
        <w:t xml:space="preserve">Validación correcta. </w:t>
      </w:r>
      <w:r>
        <w:rPr>
          <w:rFonts w:ascii="Calibri" w:hAnsi="Calibri"/>
          <w:sz w:val="20"/>
        </w:rPr>
        <w:t>La consulta de prueba retornó resultados para las 32 entidades federativas de México, confirmando que el particionado, el delimitador pipe y el salto de encabezado están configurados correctamente.</w:t>
      </w:r>
    </w:p>
    <w:p>
      <w:pPr>
        <w:spacing w:before="160" w:after="0"/>
        <w:jc w:val="left"/>
      </w:pP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