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3er Semestre</w:t>
            </w:r>
          </w:p>
          <w:p w14:paraId="3E5184FD" w14:textId="77777777" w:rsidR="00AF3200" w:rsidRPr="00007695" w:rsidRDefault="00000000">
            <w:pPr>
              <w:spacing w:before="20" w:after="20"/>
              <w:rPr>
                <w:lang w:val="es-MX"/>
              </w:rPr>
            </w:pPr>
            <w:r w:rsidRPr="00007695">
              <w:rPr>
                <w:color w:val="1A237E"/>
                <w:lang w:val="es-MX"/>
              </w:rPr>
              <w:t>Materia: Visualización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Tarea 1.1 — Cálculo manual de cuartiles (método de Tukey)</w:t>
        <w:br/>
        <w:t>Monóxido de carbono (CO), estación Country</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4 de septiembre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1.1 — Cálculo manual de cuartiles (método de Tukey)</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 pandas, numpy, matplotlib</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SIMAJ · Base de calidad del aire 2024 (BD_2024)</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Análisis local (equipo personal, entorno conda MCD)</w:t>
            </w:r>
            <w:proofErr w:type="spellStart"/>
            <w:r w:rsidRPr="00007695">
              <w:rPr>
                <w:color w:val="1A237E"/>
                <w:lang w:val="es-MX"/>
              </w:rPr>
            </w:r>
            <w:proofErr w:type="spellEnd"/>
            <w:r w:rsidRPr="00007695">
              <w:rPr>
                <w:color w:val="1A237E"/>
                <w:lang w:val="es-MX"/>
              </w:rPr>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Calidad del aire ZMG 2024 — estación Country (COU); variable CO (ppm)</w:t>
            </w:r>
            <w:proofErr w:type="spellStart"/>
            <w:r w:rsidRPr="00007695">
              <w:rPr>
                <w:color w:val="1A237E"/>
                <w:lang w:val="es-MX"/>
              </w:rPr>
            </w:r>
            <w:proofErr w:type="spellEnd"/>
            <w:r w:rsidRPr="00007695">
              <w:rPr>
                <w:color w:val="1A237E"/>
                <w:lang w:val="es-MX"/>
              </w:rPr>
            </w:r>
          </w:p>
        </w:tc>
      </w:tr>
    </w:tbl>
    <w:p>
      <w:pPr>
        <w:spacing w:before="160" w:after="0"/>
        <w:jc w:val="both"/>
      </w:pPr>
    </w:p>
    <w:p>
      <w:pPr>
        <w:spacing w:before="200" w:after="60"/>
        <w:jc w:val="left"/>
      </w:pPr>
      <w:r>
        <w:rPr>
          <w:rFonts w:ascii="Calibri" w:hAnsi="Calibri"/>
          <w:b/>
          <w:i w:val="0"/>
          <w:color w:val="1F497D"/>
          <w:sz w:val="26"/>
        </w:rPr>
        <w:t>1. Introducción</w:t>
      </w:r>
    </w:p>
    <w:p>
      <w:pPr>
        <w:spacing w:before="0" w:after="100"/>
        <w:jc w:val="both"/>
      </w:pPr>
      <w:r>
        <w:rPr>
          <w:rFonts w:ascii="Calibri" w:hAnsi="Calibri"/>
          <w:b w:val="0"/>
          <w:i w:val="0"/>
          <w:sz w:val="20"/>
        </w:rPr>
        <w:t>El objetivo de esta actividad es calcular manualmente los cuartiles Q1 y Q3 de la concentración de monóxido de carbono (CO) mediante el método de Tukey (bisagras o hinges) y comparar los resultados con los obtenidos en la Tarea 1.0, que empleó la interpolación lineal de la librería. Se usa la misma estación de la Tarea 1.0 —Country (COU)— con las mismas 578 observaciones horarias válidas de CO en 2024.</w:t>
      </w:r>
    </w:p>
    <w:p>
      <w:pPr>
        <w:spacing w:before="200" w:after="60"/>
        <w:jc w:val="left"/>
      </w:pPr>
      <w:r>
        <w:rPr>
          <w:rFonts w:ascii="Calibri" w:hAnsi="Calibri"/>
          <w:b/>
          <w:i w:val="0"/>
          <w:color w:val="1F497D"/>
          <w:sz w:val="26"/>
        </w:rPr>
        <w:t>2. Desarrollo — método de Tukey</w:t>
      </w:r>
    </w:p>
    <w:p>
      <w:pPr>
        <w:spacing w:before="0" w:after="100"/>
        <w:jc w:val="both"/>
      </w:pPr>
      <w:r>
        <w:rPr>
          <w:rFonts w:ascii="Calibri" w:hAnsi="Calibri"/>
          <w:b w:val="0"/>
          <w:i w:val="0"/>
          <w:sz w:val="20"/>
        </w:rPr>
        <w:t>El método de Tukey define los cuartiles como las medianas de las mitades de los datos ordenados. El procedimiento es:</w:t>
      </w:r>
    </w:p>
    <w:p>
      <w:pPr>
        <w:pStyle w:val="ListBullet"/>
        <w:spacing w:after="80"/>
      </w:pPr>
      <w:r>
        <w:rPr>
          <w:rFonts w:ascii="Calibri" w:hAnsi="Calibri"/>
          <w:b/>
          <w:i w:val="0"/>
          <w:color w:val="1F497D"/>
          <w:sz w:val="20"/>
        </w:rPr>
        <w:t xml:space="preserve">Paso 1. </w:t>
      </w:r>
      <w:r>
        <w:rPr>
          <w:rFonts w:ascii="Calibri" w:hAnsi="Calibri"/>
          <w:b w:val="0"/>
          <w:i w:val="0"/>
          <w:sz w:val="20"/>
        </w:rPr>
        <w:t>Ordenar las n observaciones de menor a mayor.</w:t>
      </w:r>
    </w:p>
    <w:p>
      <w:pPr>
        <w:pStyle w:val="ListBullet"/>
        <w:spacing w:after="80"/>
      </w:pPr>
      <w:r>
        <w:rPr>
          <w:rFonts w:ascii="Calibri" w:hAnsi="Calibri"/>
          <w:b/>
          <w:i w:val="0"/>
          <w:color w:val="1F497D"/>
          <w:sz w:val="20"/>
        </w:rPr>
        <w:t xml:space="preserve">Paso 2. </w:t>
      </w:r>
      <w:r>
        <w:rPr>
          <w:rFonts w:ascii="Calibri" w:hAnsi="Calibri"/>
          <w:b w:val="0"/>
          <w:i w:val="0"/>
          <w:sz w:val="20"/>
        </w:rPr>
        <w:t>Obtener la mediana (Q2), que divide la muestra en dos mitades.</w:t>
      </w:r>
    </w:p>
    <w:p>
      <w:pPr>
        <w:pStyle w:val="ListBullet"/>
        <w:spacing w:after="80"/>
      </w:pPr>
      <w:r>
        <w:rPr>
          <w:rFonts w:ascii="Calibri" w:hAnsi="Calibri"/>
          <w:b/>
          <w:i w:val="0"/>
          <w:color w:val="1F497D"/>
          <w:sz w:val="20"/>
        </w:rPr>
        <w:t xml:space="preserve">Paso 3. </w:t>
      </w:r>
      <w:r>
        <w:rPr>
          <w:rFonts w:ascii="Calibri" w:hAnsi="Calibri"/>
          <w:b w:val="0"/>
          <w:i w:val="0"/>
          <w:sz w:val="20"/>
        </w:rPr>
        <w:t>Q1 = mediana de la mitad inferior; Q3 = mediana de la mitad superior.</w:t>
      </w:r>
    </w:p>
    <w:p>
      <w:pPr>
        <w:spacing w:before="60" w:after="60"/>
        <w:jc w:val="both"/>
      </w:pPr>
      <w:r>
        <w:rPr>
          <w:rFonts w:ascii="Calibri" w:hAnsi="Calibri"/>
          <w:b w:val="0"/>
          <w:i w:val="0"/>
          <w:sz w:val="20"/>
        </w:rPr>
        <w:t>Aplicación a los datos (n = 578, número par):</w:t>
      </w:r>
    </w:p>
    <w:p>
      <w:pPr>
        <w:pStyle w:val="ListBullet"/>
        <w:spacing w:after="80"/>
      </w:pPr>
      <w:r>
        <w:rPr>
          <w:rFonts w:ascii="Calibri" w:hAnsi="Calibri"/>
          <w:b/>
          <w:i w:val="0"/>
          <w:color w:val="1F497D"/>
          <w:sz w:val="20"/>
        </w:rPr>
        <w:t xml:space="preserve">Mediana (Q2): </w:t>
      </w:r>
      <w:r>
        <w:rPr>
          <w:rFonts w:ascii="Calibri" w:hAnsi="Calibri"/>
          <w:b w:val="0"/>
          <w:i w:val="0"/>
          <w:sz w:val="20"/>
        </w:rPr>
        <w:t>con n par, es el promedio de las posiciones 289 y 290: (0.501 + 0.501) / 2 = 0.501 ppm.</w:t>
      </w:r>
    </w:p>
    <w:p>
      <w:pPr>
        <w:pStyle w:val="ListBullet"/>
        <w:spacing w:after="80"/>
      </w:pPr>
      <w:r>
        <w:rPr>
          <w:rFonts w:ascii="Calibri" w:hAnsi="Calibri"/>
          <w:b/>
          <w:i w:val="0"/>
          <w:color w:val="1F497D"/>
          <w:sz w:val="20"/>
        </w:rPr>
        <w:t xml:space="preserve">Mitad inferior: </w:t>
      </w:r>
      <w:r>
        <w:rPr>
          <w:rFonts w:ascii="Calibri" w:hAnsi="Calibri"/>
          <w:b w:val="0"/>
          <w:i w:val="0"/>
          <w:sz w:val="20"/>
        </w:rPr>
        <w:t>posiciones 1 a 289 (289 datos, número impar). Su mediana es la posición 145, por lo que Q1 = x[145] = 0.380 ppm.</w:t>
      </w:r>
    </w:p>
    <w:p>
      <w:pPr>
        <w:pStyle w:val="ListBullet"/>
        <w:spacing w:after="80"/>
      </w:pPr>
      <w:r>
        <w:rPr>
          <w:rFonts w:ascii="Calibri" w:hAnsi="Calibri"/>
          <w:b/>
          <w:i w:val="0"/>
          <w:color w:val="1F497D"/>
          <w:sz w:val="20"/>
        </w:rPr>
        <w:t xml:space="preserve">Mitad superior: </w:t>
      </w:r>
      <w:r>
        <w:rPr>
          <w:rFonts w:ascii="Calibri" w:hAnsi="Calibri"/>
          <w:b w:val="0"/>
          <w:i w:val="0"/>
          <w:sz w:val="20"/>
        </w:rPr>
        <w:t>posiciones 290 a 578 (289 datos). Su mediana es la posición 434 global, por lo que Q3 = x[434] = 0.653 ppm.</w:t>
      </w:r>
    </w:p>
    <w:p>
      <w:pPr>
        <w:spacing w:before="200" w:after="60"/>
        <w:jc w:val="left"/>
      </w:pPr>
      <w:r>
        <w:rPr>
          <w:rFonts w:ascii="Calibri" w:hAnsi="Calibri"/>
          <w:b/>
          <w:i w:val="0"/>
          <w:color w:val="1F497D"/>
          <w:sz w:val="26"/>
        </w:rPr>
        <w:t>3. Resultados y comparación</w:t>
      </w:r>
    </w:p>
    <w:p>
      <w:pPr>
        <w:spacing w:before="0" w:after="60"/>
        <w:jc w:val="both"/>
      </w:pPr>
      <w:r>
        <w:rPr>
          <w:rFonts w:ascii="Calibri" w:hAnsi="Calibri"/>
          <w:b w:val="0"/>
          <w:i w:val="0"/>
          <w:sz w:val="20"/>
        </w:rPr>
        <w:t>La Tabla 1 compara los cuartiles por el método de Tukey contra los de la Tarea 1.0 (interpolación lineal).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shd w:val="clear" w:color="auto" w:fill="1F497D"/>
          </w:tcPr>
          <w:p>
            <w:pPr>
              <w:jc w:val="center"/>
            </w:pPr>
            <w:r>
              <w:rPr>
                <w:rFonts w:ascii="Calibri" w:hAnsi="Calibri"/>
                <w:b/>
                <w:i w:val="0"/>
                <w:color w:val="FFFFFF"/>
                <w:sz w:val="18"/>
              </w:rPr>
              <w:t>Estadístico</w:t>
            </w:r>
          </w:p>
        </w:tc>
        <w:tc>
          <w:tcPr>
            <w:tcW w:type="dxa" w:w="2448"/>
            <w:shd w:val="clear" w:color="auto" w:fill="1F497D"/>
          </w:tcPr>
          <w:p>
            <w:pPr>
              <w:jc w:val="center"/>
            </w:pPr>
            <w:r>
              <w:rPr>
                <w:rFonts w:ascii="Calibri" w:hAnsi="Calibri"/>
                <w:b/>
                <w:i w:val="0"/>
                <w:color w:val="FFFFFF"/>
                <w:sz w:val="18"/>
              </w:rPr>
              <w:t>Método de Tukey (ppm)</w:t>
            </w:r>
          </w:p>
        </w:tc>
        <w:tc>
          <w:tcPr>
            <w:tcW w:type="dxa" w:w="2736"/>
            <w:shd w:val="clear" w:color="auto" w:fill="1F497D"/>
          </w:tcPr>
          <w:p>
            <w:pPr>
              <w:jc w:val="center"/>
            </w:pPr>
            <w:r>
              <w:rPr>
                <w:rFonts w:ascii="Calibri" w:hAnsi="Calibri"/>
                <w:b/>
                <w:i w:val="0"/>
                <w:color w:val="FFFFFF"/>
                <w:sz w:val="18"/>
              </w:rPr>
              <w:t>Tarea 1.0 — lineal (ppm)</w:t>
            </w:r>
          </w:p>
        </w:tc>
        <w:tc>
          <w:tcPr>
            <w:tcW w:type="dxa" w:w="2016"/>
            <w:shd w:val="clear" w:color="auto" w:fill="1F497D"/>
          </w:tcPr>
          <w:p>
            <w:pPr>
              <w:jc w:val="center"/>
            </w:pPr>
            <w:r>
              <w:rPr>
                <w:rFonts w:ascii="Calibri" w:hAnsi="Calibri"/>
                <w:b/>
                <w:i w:val="0"/>
                <w:color w:val="FFFFFF"/>
                <w:sz w:val="18"/>
              </w:rPr>
              <w:t>Diferencia (ppm)</w:t>
            </w:r>
          </w:p>
        </w:tc>
      </w:tr>
      <w:tr>
        <w:tc>
          <w:tcPr>
            <w:tcW w:type="dxa" w:w="3168"/>
            <w:shd w:val="clear" w:color="auto" w:fill="FFFFFF"/>
          </w:tcPr>
          <w:p>
            <w:pPr>
              <w:jc w:val="left"/>
            </w:pPr>
            <w:r>
              <w:rPr>
                <w:rFonts w:ascii="Calibri" w:hAnsi="Calibri"/>
                <w:b w:val="0"/>
                <w:i w:val="0"/>
                <w:sz w:val="18"/>
              </w:rPr>
              <w:t>Primer cuartil (Q1)</w:t>
            </w:r>
          </w:p>
        </w:tc>
        <w:tc>
          <w:tcPr>
            <w:tcW w:type="dxa" w:w="2448"/>
            <w:shd w:val="clear" w:color="auto" w:fill="FFFFFF"/>
          </w:tcPr>
          <w:p>
            <w:pPr>
              <w:jc w:val="center"/>
            </w:pPr>
            <w:r>
              <w:rPr>
                <w:rFonts w:ascii="Calibri" w:hAnsi="Calibri"/>
                <w:b w:val="0"/>
                <w:i w:val="0"/>
                <w:sz w:val="18"/>
              </w:rPr>
              <w:t>0.380</w:t>
            </w:r>
          </w:p>
        </w:tc>
        <w:tc>
          <w:tcPr>
            <w:tcW w:type="dxa" w:w="2736"/>
            <w:shd w:val="clear" w:color="auto" w:fill="FFFFFF"/>
          </w:tcPr>
          <w:p>
            <w:pPr>
              <w:jc w:val="center"/>
            </w:pPr>
            <w:r>
              <w:rPr>
                <w:rFonts w:ascii="Calibri" w:hAnsi="Calibri"/>
                <w:b w:val="0"/>
                <w:i w:val="0"/>
                <w:sz w:val="18"/>
              </w:rPr>
              <w:t>0.380</w:t>
            </w:r>
          </w:p>
        </w:tc>
        <w:tc>
          <w:tcPr>
            <w:tcW w:type="dxa" w:w="2016"/>
            <w:shd w:val="clear" w:color="auto" w:fill="FFFFFF"/>
          </w:tcPr>
          <w:p>
            <w:pPr>
              <w:jc w:val="center"/>
            </w:pPr>
            <w:r>
              <w:rPr>
                <w:rFonts w:ascii="Calibri" w:hAnsi="Calibri"/>
                <w:b w:val="0"/>
                <w:i w:val="0"/>
                <w:sz w:val="18"/>
              </w:rPr>
              <w:t>0.000</w:t>
            </w:r>
          </w:p>
        </w:tc>
      </w:tr>
      <w:tr>
        <w:tc>
          <w:tcPr>
            <w:tcW w:type="dxa" w:w="3168"/>
            <w:shd w:val="clear" w:color="auto" w:fill="F2F2F2"/>
          </w:tcPr>
          <w:p>
            <w:pPr>
              <w:jc w:val="left"/>
            </w:pPr>
            <w:r>
              <w:rPr>
                <w:rFonts w:ascii="Calibri" w:hAnsi="Calibri"/>
                <w:b w:val="0"/>
                <w:i w:val="0"/>
                <w:sz w:val="18"/>
              </w:rPr>
              <w:t>Mediana (Q2)</w:t>
            </w:r>
          </w:p>
        </w:tc>
        <w:tc>
          <w:tcPr>
            <w:tcW w:type="dxa" w:w="2448"/>
            <w:shd w:val="clear" w:color="auto" w:fill="F2F2F2"/>
          </w:tcPr>
          <w:p>
            <w:pPr>
              <w:jc w:val="center"/>
            </w:pPr>
            <w:r>
              <w:rPr>
                <w:rFonts w:ascii="Calibri" w:hAnsi="Calibri"/>
                <w:b w:val="0"/>
                <w:i w:val="0"/>
                <w:sz w:val="18"/>
              </w:rPr>
              <w:t>0.501</w:t>
            </w:r>
          </w:p>
        </w:tc>
        <w:tc>
          <w:tcPr>
            <w:tcW w:type="dxa" w:w="2736"/>
            <w:shd w:val="clear" w:color="auto" w:fill="F2F2F2"/>
          </w:tcPr>
          <w:p>
            <w:pPr>
              <w:jc w:val="center"/>
            </w:pPr>
            <w:r>
              <w:rPr>
                <w:rFonts w:ascii="Calibri" w:hAnsi="Calibri"/>
                <w:b w:val="0"/>
                <w:i w:val="0"/>
                <w:sz w:val="18"/>
              </w:rPr>
              <w:t>0.501</w:t>
            </w:r>
          </w:p>
        </w:tc>
        <w:tc>
          <w:tcPr>
            <w:tcW w:type="dxa" w:w="2016"/>
            <w:shd w:val="clear" w:color="auto" w:fill="F2F2F2"/>
          </w:tcPr>
          <w:p>
            <w:pPr>
              <w:jc w:val="center"/>
            </w:pPr>
            <w:r>
              <w:rPr>
                <w:rFonts w:ascii="Calibri" w:hAnsi="Calibri"/>
                <w:b w:val="0"/>
                <w:i w:val="0"/>
                <w:sz w:val="18"/>
              </w:rPr>
              <w:t>0.000</w:t>
            </w:r>
          </w:p>
        </w:tc>
      </w:tr>
      <w:tr>
        <w:tc>
          <w:tcPr>
            <w:tcW w:type="dxa" w:w="3168"/>
            <w:shd w:val="clear" w:color="auto" w:fill="FFFFFF"/>
          </w:tcPr>
          <w:p>
            <w:pPr>
              <w:jc w:val="left"/>
            </w:pPr>
            <w:r>
              <w:rPr>
                <w:rFonts w:ascii="Calibri" w:hAnsi="Calibri"/>
                <w:b w:val="0"/>
                <w:i w:val="0"/>
                <w:sz w:val="18"/>
              </w:rPr>
              <w:t>Tercer cuartil (Q3)</w:t>
            </w:r>
          </w:p>
        </w:tc>
        <w:tc>
          <w:tcPr>
            <w:tcW w:type="dxa" w:w="2448"/>
            <w:shd w:val="clear" w:color="auto" w:fill="FFFFFF"/>
          </w:tcPr>
          <w:p>
            <w:pPr>
              <w:jc w:val="center"/>
            </w:pPr>
            <w:r>
              <w:rPr>
                <w:rFonts w:ascii="Calibri" w:hAnsi="Calibri"/>
                <w:b w:val="0"/>
                <w:i w:val="0"/>
                <w:sz w:val="18"/>
              </w:rPr>
              <w:t>0.653</w:t>
            </w:r>
          </w:p>
        </w:tc>
        <w:tc>
          <w:tcPr>
            <w:tcW w:type="dxa" w:w="2736"/>
            <w:shd w:val="clear" w:color="auto" w:fill="FFFFFF"/>
          </w:tcPr>
          <w:p>
            <w:pPr>
              <w:jc w:val="center"/>
            </w:pPr>
            <w:r>
              <w:rPr>
                <w:rFonts w:ascii="Calibri" w:hAnsi="Calibri"/>
                <w:b w:val="0"/>
                <w:i w:val="0"/>
                <w:sz w:val="18"/>
              </w:rPr>
              <w:t>0.652</w:t>
            </w:r>
          </w:p>
        </w:tc>
        <w:tc>
          <w:tcPr>
            <w:tcW w:type="dxa" w:w="2016"/>
            <w:shd w:val="clear" w:color="auto" w:fill="FFFFFF"/>
          </w:tcPr>
          <w:p>
            <w:pPr>
              <w:jc w:val="center"/>
            </w:pPr>
            <w:r>
              <w:rPr>
                <w:rFonts w:ascii="Calibri" w:hAnsi="Calibri"/>
                <w:b w:val="0"/>
                <w:i w:val="0"/>
                <w:sz w:val="18"/>
              </w:rPr>
              <w:t>+0.001</w:t>
            </w:r>
          </w:p>
        </w:tc>
      </w:tr>
      <w:tr>
        <w:tc>
          <w:tcPr>
            <w:tcW w:type="dxa" w:w="3168"/>
            <w:shd w:val="clear" w:color="auto" w:fill="F2F2F2"/>
          </w:tcPr>
          <w:p>
            <w:pPr>
              <w:jc w:val="left"/>
            </w:pPr>
            <w:r>
              <w:rPr>
                <w:rFonts w:ascii="Calibri" w:hAnsi="Calibri"/>
                <w:b w:val="0"/>
                <w:i w:val="0"/>
                <w:sz w:val="18"/>
              </w:rPr>
              <w:t>Rango intercuartil (IQR)</w:t>
            </w:r>
          </w:p>
        </w:tc>
        <w:tc>
          <w:tcPr>
            <w:tcW w:type="dxa" w:w="2448"/>
            <w:shd w:val="clear" w:color="auto" w:fill="F2F2F2"/>
          </w:tcPr>
          <w:p>
            <w:pPr>
              <w:jc w:val="center"/>
            </w:pPr>
            <w:r>
              <w:rPr>
                <w:rFonts w:ascii="Calibri" w:hAnsi="Calibri"/>
                <w:b w:val="0"/>
                <w:i w:val="0"/>
                <w:sz w:val="18"/>
              </w:rPr>
              <w:t>0.273</w:t>
            </w:r>
          </w:p>
        </w:tc>
        <w:tc>
          <w:tcPr>
            <w:tcW w:type="dxa" w:w="2736"/>
            <w:shd w:val="clear" w:color="auto" w:fill="F2F2F2"/>
          </w:tcPr>
          <w:p>
            <w:pPr>
              <w:jc w:val="center"/>
            </w:pPr>
            <w:r>
              <w:rPr>
                <w:rFonts w:ascii="Calibri" w:hAnsi="Calibri"/>
                <w:b w:val="0"/>
                <w:i w:val="0"/>
                <w:sz w:val="18"/>
              </w:rPr>
              <w:t>0.272</w:t>
            </w:r>
          </w:p>
        </w:tc>
        <w:tc>
          <w:tcPr>
            <w:tcW w:type="dxa" w:w="2016"/>
            <w:shd w:val="clear" w:color="auto" w:fill="F2F2F2"/>
          </w:tcPr>
          <w:p>
            <w:pPr>
              <w:jc w:val="center"/>
            </w:pPr>
            <w:r>
              <w:rPr>
                <w:rFonts w:ascii="Calibri" w:hAnsi="Calibri"/>
                <w:b w:val="0"/>
                <w:i w:val="0"/>
                <w:sz w:val="18"/>
              </w:rPr>
              <w:t>+0.001</w:t>
            </w:r>
          </w:p>
        </w:tc>
      </w:tr>
    </w:tbl>
    <w:p>
      <w:pPr>
        <w:spacing w:before="40" w:after="120"/>
        <w:jc w:val="center"/>
      </w:pPr>
      <w:r>
        <w:rPr>
          <w:rFonts w:ascii="Calibri" w:hAnsi="Calibri"/>
          <w:b w:val="0"/>
          <w:i/>
          <w:color w:val="404040"/>
          <w:sz w:val="18"/>
        </w:rPr>
        <w:t>Tabla 1 — Cuartiles por el método de Tukey vs. interpolación lineal (Tarea 1.0).</w:t>
      </w:r>
    </w:p>
    <w:p>
      <w:pPr>
        <w:spacing w:before="80" w:after="60"/>
        <w:jc w:val="both"/>
      </w:pPr>
      <w:r>
        <w:rPr>
          <w:rFonts w:ascii="Calibri" w:hAnsi="Calibri"/>
          <w:b w:val="0"/>
          <w:i w:val="0"/>
          <w:sz w:val="20"/>
        </w:rPr>
        <w:t>La Figura 1 muestra la gráfica de cuartiles (diagrama de caja) construida con los valores de Tukey y, debajo, la de la Tarea 1.0, para comparar visualmente ambos métodos.</w:t>
      </w:r>
    </w:p>
    <w:p>
      <w:pPr>
        <w:jc w:val="center"/>
      </w:pPr>
      <w:r>
        <w:drawing>
          <wp:inline xmlns:a="http://schemas.openxmlformats.org/drawingml/2006/main" xmlns:pic="http://schemas.openxmlformats.org/drawingml/2006/picture">
            <wp:extent cx="5120640" cy="2386984"/>
            <wp:docPr id="2" name="Picture 2"/>
            <wp:cNvGraphicFramePr>
              <a:graphicFrameLocks noChangeAspect="1"/>
            </wp:cNvGraphicFramePr>
            <a:graphic>
              <a:graphicData uri="http://schemas.openxmlformats.org/drawingml/2006/picture">
                <pic:pic>
                  <pic:nvPicPr>
                    <pic:cNvPr id="0" name="cuartiles_tukey_vs_lineal.png"/>
                    <pic:cNvPicPr/>
                  </pic:nvPicPr>
                  <pic:blipFill>
                    <a:blip r:embed="rId9"/>
                    <a:stretch>
                      <a:fillRect/>
                    </a:stretch>
                  </pic:blipFill>
                  <pic:spPr>
                    <a:xfrm>
                      <a:off x="0" y="0"/>
                      <a:ext cx="5120640" cy="2386984"/>
                    </a:xfrm>
                    <a:prstGeom prst="rect"/>
                  </pic:spPr>
                </pic:pic>
              </a:graphicData>
            </a:graphic>
          </wp:inline>
        </w:drawing>
      </w:r>
    </w:p>
    <w:p>
      <w:pPr>
        <w:spacing w:before="40" w:after="120"/>
        <w:jc w:val="center"/>
      </w:pPr>
      <w:r>
        <w:rPr>
          <w:rFonts w:ascii="Calibri" w:hAnsi="Calibri"/>
          <w:b w:val="0"/>
          <w:i/>
          <w:color w:val="404040"/>
          <w:sz w:val="18"/>
        </w:rPr>
        <w:t>Figura 1 — Gráfica de cuartiles de CO: caja de Tukey (arriba) vs. Tarea 1.0 interpolación lineal (abajo). Las cajas son casi idénticas; la línea ámbar es la mediana y los puntos son los datos atípicos.</w:t>
      </w:r>
    </w:p>
    <w:p>
      <w:pPr>
        <w:spacing w:before="200" w:after="60"/>
        <w:jc w:val="left"/>
      </w:pPr>
      <w:r>
        <w:rPr>
          <w:rFonts w:ascii="Calibri" w:hAnsi="Calibri"/>
          <w:b/>
          <w:i w:val="0"/>
          <w:color w:val="1F497D"/>
          <w:sz w:val="26"/>
        </w:rPr>
        <w:t>4. Conclusiones</w:t>
      </w:r>
    </w:p>
    <w:p>
      <w:pPr>
        <w:spacing w:before="0" w:after="100"/>
        <w:jc w:val="both"/>
      </w:pPr>
      <w:r>
        <w:rPr>
          <w:rFonts w:ascii="Calibri" w:hAnsi="Calibri"/>
          <w:b w:val="0"/>
          <w:i w:val="0"/>
          <w:sz w:val="20"/>
        </w:rPr>
        <w:t>Los cuartiles calculados manualmente con el método de Tukey coinciden prácticamente con los de la Tarea 1.0: Q1 es idéntico (0.380 ppm) y Q3 difiere apenas 0.001 ppm (0.653 vs. 0.652). La diferencia es despreciable.</w:t>
      </w:r>
    </w:p>
    <w:p>
      <w:pPr>
        <w:spacing w:before="0" w:after="100"/>
        <w:jc w:val="both"/>
      </w:pPr>
      <w:r>
        <w:rPr>
          <w:rFonts w:ascii="Calibri" w:hAnsi="Calibri"/>
          <w:b w:val="0"/>
          <w:i w:val="0"/>
          <w:sz w:val="20"/>
        </w:rPr>
        <w:t>La razón de la coincidencia es que, con n = 578 (par), cada mitad tiene 289 datos (número impar), de modo que la mediana de cada mitad cae exactamente sobre un dato (la posición 145) y no requiere promediar dos valores. A su vez, la posición que usa la interpolación lineal (índice 144.25 para Q1 y 432.75 para Q3) queda muy cerca de esa misma posición, y como los datos vecinos tienen valores iguales o casi iguales, ambos métodos entregan esencialmente el mismo resultado. En muestras pequeñas o con más dispersión entre datos contiguos, las diferencias entre métodos serían mayores.</w:t>
      </w:r>
    </w:p>
    <w:p>
      <w:pPr>
        <w:spacing w:before="200" w:after="60"/>
        <w:jc w:val="left"/>
      </w:pPr>
      <w:r>
        <w:rPr>
          <w:rFonts w:ascii="Calibri" w:hAnsi="Calibri"/>
          <w:b/>
          <w:i w:val="0"/>
          <w:color w:val="1F497D"/>
          <w:sz w:val="26"/>
        </w:rPr>
        <w:t>Referencias</w:t>
      </w:r>
    </w:p>
    <w:p>
      <w:pPr>
        <w:spacing w:after="120"/>
        <w:ind w:left="720" w:hanging="720"/>
        <w:jc w:val="both"/>
      </w:pPr>
      <w:r>
        <w:rPr>
          <w:rFonts w:ascii="Calibri" w:hAnsi="Calibri"/>
          <w:b w:val="0"/>
          <w:i w:val="0"/>
          <w:sz w:val="20"/>
        </w:rPr>
        <w:t>Tukey, J. W. (1977). Exploratory data analysis. Addison-Wesley.</w:t>
      </w:r>
    </w:p>
    <w:p>
      <w:pPr>
        <w:spacing w:after="120"/>
        <w:ind w:left="720" w:hanging="720"/>
        <w:jc w:val="both"/>
      </w:pPr>
      <w:r>
        <w:rPr>
          <w:rFonts w:ascii="Calibri" w:hAnsi="Calibri"/>
          <w:b w:val="0"/>
          <w:i w:val="0"/>
          <w:sz w:val="20"/>
        </w:rPr>
        <w:t>Secretaría de Medio Ambiente y Desarrollo Territorial. (2024). Sistema de Monitoreo Atmosférico de Jalisco (SIMAJ): base de datos de calidad del aire 2024. Gobierno del Estado de Jalisco. https://siga.jalisco.gob.mx/aire/</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