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540"/>
        <w:gridCol w:w="8540"/>
      </w:tblGrid>
      <w:tr w:rsidR="00AF3200" w:rsidRPr="00007695" w14:paraId="5867A577" w14:textId="77777777">
        <w:tc>
          <w:tcPr>
            <w:tcW w:w="1300" w:type="dxa"/>
            <w:vAlign w:val="center"/>
          </w:tcPr>
          <w:p w14:paraId="46E4EC4F" w14:textId="77777777" w:rsidR="00AF3200" w:rsidRDefault="00000000">
            <w:pPr>
              <w:jc w:val="center"/>
            </w:pPr>
            <w:r>
              <w:rPr>
                <w:noProof/>
              </w:rPr>
              <w:drawing>
                <wp:inline distT="0" distB="0" distL="0" distR="0" wp14:anchorId="1C3858B4" wp14:editId="38AFACCF">
                  <wp:extent cx="841248" cy="8412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deg_flat.png"/>
                          <pic:cNvPicPr/>
                        </pic:nvPicPr>
                        <pic:blipFill>
                          <a:blip r:embed="rId6"/>
                          <a:stretch>
                            <a:fillRect/>
                          </a:stretch>
                        </pic:blipFill>
                        <pic:spPr>
                          <a:xfrm>
                            <a:off x="0" y="0"/>
                            <a:ext cx="841248" cy="841248"/>
                          </a:xfrm>
                          <a:prstGeom prst="rect">
                            <a:avLst/>
                          </a:prstGeom>
                        </pic:spPr>
                      </pic:pic>
                    </a:graphicData>
                  </a:graphic>
                </wp:inline>
              </w:drawing>
            </w:r>
          </w:p>
        </w:tc>
        <w:tc>
          <w:tcPr>
            <w:tcW w:w="8780" w:type="dxa"/>
            <w:vAlign w:val="center"/>
          </w:tcPr>
          <w:p w14:paraId="574A5EC0" w14:textId="77777777" w:rsidR="00AF3200" w:rsidRPr="00007695" w:rsidRDefault="00000000">
            <w:pPr>
              <w:spacing w:before="20" w:after="20"/>
              <w:rPr>
                <w:lang w:val="es-MX"/>
              </w:rPr>
            </w:pPr>
            <w:r w:rsidRPr="00007695">
              <w:rPr>
                <w:b/>
                <w:color w:val="1A237E"/>
                <w:sz w:val="24"/>
                <w:lang w:val="es-MX"/>
              </w:rPr>
              <w:t>Universidad de Guadalajara</w:t>
            </w:r>
          </w:p>
          <w:p w14:paraId="5B21D399" w14:textId="77777777" w:rsidR="00AF3200" w:rsidRPr="00007695" w:rsidRDefault="00000000">
            <w:pPr>
              <w:spacing w:before="20" w:after="20"/>
              <w:rPr>
                <w:lang w:val="es-MX"/>
              </w:rPr>
            </w:pPr>
            <w:r w:rsidRPr="00007695">
              <w:rPr>
                <w:color w:val="1A237E"/>
                <w:lang w:val="es-MX"/>
              </w:rPr>
              <w:t>Centro Universitario de Ciencias Económico-Administrativas</w:t>
            </w:r>
          </w:p>
          <w:p w14:paraId="3BBF8B58" w14:textId="4C7E1FC1" w:rsidR="00AF3200" w:rsidRPr="00007695" w:rsidRDefault="00000000">
            <w:pPr>
              <w:spacing w:before="20" w:after="20"/>
              <w:rPr>
                <w:lang w:val="es-MX"/>
              </w:rPr>
            </w:pPr>
            <w:r w:rsidRPr="00007695">
              <w:rPr>
                <w:color w:val="1A237E"/>
                <w:lang w:val="es-MX"/>
              </w:rPr>
              <w:t>Maestría en Ciencias de los Datos | 3er Semestre</w:t>
            </w:r>
          </w:p>
          <w:p w14:paraId="3E5184FD" w14:textId="77777777" w:rsidR="00AF3200" w:rsidRPr="00007695" w:rsidRDefault="00000000">
            <w:pPr>
              <w:spacing w:before="20" w:after="20"/>
              <w:rPr>
                <w:lang w:val="es-MX"/>
              </w:rPr>
            </w:pPr>
            <w:r w:rsidRPr="00007695">
              <w:rPr>
                <w:color w:val="1A237E"/>
                <w:lang w:val="es-MX"/>
              </w:rPr>
              <w:t>Materia: Visualización de Grandes Bases de Datos</w:t>
            </w:r>
          </w:p>
        </w:tc>
      </w:tr>
    </w:tbl>
    <w:p w14:paraId="73B1CDEB" w14:textId="77777777" w:rsidR="00007695" w:rsidRDefault="00007695">
      <w:pPr>
        <w:pBdr>
          <w:bottom w:val="single" w:sz="6" w:space="1" w:color="F9A825"/>
        </w:pBdr>
        <w:spacing w:before="40" w:after="40"/>
        <w:rPr>
          <w:lang w:val="es-MX"/>
        </w:rPr>
      </w:pPr>
    </w:p>
    <w:p w14:paraId="36EECCA9" w14:textId="0811316B" w:rsidR="00007695" w:rsidRPr="00007695" w:rsidRDefault="00007695" w:rsidP="00007695">
      <w:pPr>
        <w:pBdr>
          <w:bottom w:val="single" w:sz="18" w:space="1" w:color="1A237E"/>
        </w:pBdr>
        <w:spacing w:before="80" w:after="40"/>
        <w:jc w:val="center"/>
        <w:rPr>
          <w:b/>
          <w:color w:val="1A237E"/>
          <w:sz w:val="30"/>
          <w:lang w:val="es-MX"/>
        </w:rPr>
      </w:pPr>
      <w:r>
        <w:rPr>
          <w:rFonts w:ascii="Calibri" w:hAnsi="Calibri"/>
          <w:b/>
          <w:color w:val="1F497D"/>
          <w:sz w:val="26"/>
        </w:rPr>
        <w:t>Tarea 1.2 — Uso de histograma</w:t>
        <w:br/>
        <w:t>Monóxido de carbono (CO), estación Country y norma IMECA</w:t>
      </w:r>
    </w:p>
    <w:p w14:paraId="56346EEE" w14:textId="77777777" w:rsidR="00007695" w:rsidRPr="00007695" w:rsidRDefault="00007695">
      <w:pPr>
        <w:pBdr>
          <w:bottom w:val="single" w:sz="6" w:space="1" w:color="F9A825"/>
        </w:pBdr>
        <w:spacing w:before="40" w:after="40"/>
        <w:rPr>
          <w:lang w:val="es-MX"/>
        </w:rPr>
      </w:pPr>
    </w:p>
    <w:tbl>
      <w:tblPr>
        <w:tblStyle w:val="TableGrid"/>
        <w:tblW w:w="0" w:type="auto"/>
        <w:tblLook w:val="04A0" w:firstRow="1" w:lastRow="0" w:firstColumn="1" w:lastColumn="0" w:noHBand="0" w:noVBand="1"/>
      </w:tblPr>
      <w:tblGrid>
        <w:gridCol w:w="1799"/>
        <w:gridCol w:w="8271"/>
      </w:tblGrid>
      <w:tr w:rsidR="00AF3200" w14:paraId="0EA24C6B" w14:textId="77777777">
        <w:tc>
          <w:tcPr>
            <w:tcW w:w="1800" w:type="dxa"/>
            <w:shd w:val="clear" w:color="auto" w:fill="E8EAF6"/>
          </w:tcPr>
          <w:p w14:paraId="0F0FA54E" w14:textId="77777777" w:rsidR="00AF3200" w:rsidRDefault="00000000">
            <w:pPr>
              <w:spacing w:before="40" w:after="40"/>
            </w:pPr>
            <w:proofErr w:type="spellStart"/>
            <w:r>
              <w:rPr>
                <w:b/>
                <w:color w:val="1A237E"/>
              </w:rPr>
              <w:t>Alumno</w:t>
            </w:r>
            <w:proofErr w:type="spellEnd"/>
            <w:r>
              <w:rPr>
                <w:b/>
                <w:color w:val="1A237E"/>
              </w:rPr>
              <w:t>:</w:t>
            </w:r>
          </w:p>
        </w:tc>
        <w:tc>
          <w:tcPr>
            <w:tcW w:w="8280" w:type="dxa"/>
            <w:shd w:val="clear" w:color="auto" w:fill="E8EAF6"/>
          </w:tcPr>
          <w:p w14:paraId="664560E0" w14:textId="77777777" w:rsidR="00AF3200" w:rsidRDefault="00000000">
            <w:pPr>
              <w:spacing w:before="40" w:after="40"/>
            </w:pPr>
            <w:r>
              <w:rPr>
                <w:color w:val="1A237E"/>
              </w:rPr>
              <w:t>Carlos Pulido Rosas</w:t>
            </w:r>
          </w:p>
        </w:tc>
      </w:tr>
      <w:tr w:rsidR="00AF3200" w:rsidRPr="00007695" w14:paraId="3135AEEB" w14:textId="77777777">
        <w:tc>
          <w:tcPr>
            <w:tcW w:w="1800" w:type="dxa"/>
            <w:shd w:val="clear" w:color="auto" w:fill="E8EAF6"/>
          </w:tcPr>
          <w:p w14:paraId="035A4C96" w14:textId="77777777" w:rsidR="00AF3200" w:rsidRDefault="00000000">
            <w:pPr>
              <w:spacing w:before="40" w:after="40"/>
            </w:pPr>
            <w:r>
              <w:rPr>
                <w:b/>
                <w:color w:val="1A237E"/>
              </w:rPr>
              <w:t>Fecha:</w:t>
            </w:r>
          </w:p>
        </w:tc>
        <w:tc>
          <w:tcPr>
            <w:tcW w:w="8280" w:type="dxa"/>
            <w:shd w:val="clear" w:color="auto" w:fill="E8EAF6"/>
          </w:tcPr>
          <w:p w14:paraId="3A38D44F" w14:textId="77777777" w:rsidR="00AF3200" w:rsidRPr="00007695" w:rsidRDefault="00000000">
            <w:pPr>
              <w:spacing w:before="40" w:after="40"/>
              <w:rPr>
                <w:lang w:val="es-MX"/>
              </w:rPr>
            </w:pPr>
            <w:r w:rsidRPr="00007695">
              <w:rPr>
                <w:color w:val="1A237E"/>
                <w:lang w:val="es-MX"/>
              </w:rPr>
              <w:t>4 de septiembre de 2026</w:t>
            </w:r>
          </w:p>
        </w:tc>
      </w:tr>
      <w:tr w:rsidR="00AF3200" w:rsidRPr="00007695" w14:paraId="0FA8133E" w14:textId="77777777">
        <w:tc>
          <w:tcPr>
            <w:tcW w:w="1800" w:type="dxa"/>
            <w:shd w:val="clear" w:color="auto" w:fill="E8EAF6"/>
          </w:tcPr>
          <w:p w14:paraId="73844D80" w14:textId="77777777" w:rsidR="00AF3200" w:rsidRDefault="00000000">
            <w:pPr>
              <w:spacing w:before="40" w:after="40"/>
            </w:pPr>
            <w:proofErr w:type="spellStart"/>
            <w:r>
              <w:rPr>
                <w:b/>
                <w:color w:val="1A237E"/>
              </w:rPr>
              <w:t>Actividad</w:t>
            </w:r>
            <w:proofErr w:type="spellEnd"/>
            <w:r>
              <w:rPr>
                <w:b/>
                <w:color w:val="1A237E"/>
              </w:rPr>
              <w:t>:</w:t>
            </w:r>
          </w:p>
        </w:tc>
        <w:tc>
          <w:tcPr>
            <w:tcW w:w="8280" w:type="dxa"/>
            <w:shd w:val="clear" w:color="auto" w:fill="E8EAF6"/>
          </w:tcPr>
          <w:p w14:paraId="359E296D" w14:textId="77777777" w:rsidR="00AF3200" w:rsidRPr="00007695" w:rsidRDefault="00000000">
            <w:pPr>
              <w:spacing w:before="40" w:after="40"/>
              <w:rPr>
                <w:lang w:val="es-MX"/>
              </w:rPr>
            </w:pPr>
            <w:r w:rsidRPr="00007695">
              <w:rPr>
                <w:color w:val="1A237E"/>
                <w:lang w:val="es-MX"/>
              </w:rPr>
              <w:t>Tarea 1.2 — Uso de histograma</w:t>
            </w:r>
          </w:p>
        </w:tc>
      </w:tr>
      <w:tr w:rsidR="00AF3200" w14:paraId="57F81E8B" w14:textId="77777777">
        <w:tc>
          <w:tcPr>
            <w:tcW w:w="1800" w:type="dxa"/>
            <w:shd w:val="clear" w:color="auto" w:fill="E8EAF6"/>
          </w:tcPr>
          <w:p w14:paraId="3DF6E06E" w14:textId="77777777" w:rsidR="00AF3200" w:rsidRDefault="00000000">
            <w:pPr>
              <w:spacing w:before="40" w:after="40"/>
            </w:pPr>
            <w:proofErr w:type="spellStart"/>
            <w:r>
              <w:rPr>
                <w:b/>
                <w:color w:val="1A237E"/>
              </w:rPr>
              <w:t>Herramienta</w:t>
            </w:r>
            <w:proofErr w:type="spellEnd"/>
            <w:r>
              <w:rPr>
                <w:b/>
                <w:color w:val="1A237E"/>
              </w:rPr>
              <w:t>:</w:t>
            </w:r>
          </w:p>
        </w:tc>
        <w:tc>
          <w:tcPr>
            <w:tcW w:w="8280" w:type="dxa"/>
            <w:shd w:val="clear" w:color="auto" w:fill="E8EAF6"/>
          </w:tcPr>
          <w:p w14:paraId="430CAA90" w14:textId="77777777" w:rsidR="00AF3200" w:rsidRDefault="00000000">
            <w:pPr>
              <w:spacing w:before="40" w:after="40"/>
            </w:pPr>
            <w:r>
              <w:rPr>
                <w:color w:val="1A237E"/>
              </w:rPr>
              <w:t>Python 3.13 — pandas, numpy, matplotlib</w:t>
            </w:r>
          </w:p>
        </w:tc>
      </w:tr>
      <w:tr w:rsidR="00AF3200" w14:paraId="70BC04B6" w14:textId="77777777">
        <w:tc>
          <w:tcPr>
            <w:tcW w:w="1800" w:type="dxa"/>
            <w:shd w:val="clear" w:color="auto" w:fill="E8EAF6"/>
          </w:tcPr>
          <w:p w14:paraId="64B8983B" w14:textId="77777777" w:rsidR="00AF3200" w:rsidRDefault="00000000">
            <w:pPr>
              <w:spacing w:before="40" w:after="40"/>
            </w:pPr>
            <w:r>
              <w:rPr>
                <w:b/>
                <w:color w:val="1A237E"/>
              </w:rPr>
              <w:t>Versión:</w:t>
            </w:r>
          </w:p>
        </w:tc>
        <w:tc>
          <w:tcPr>
            <w:tcW w:w="8280" w:type="dxa"/>
            <w:shd w:val="clear" w:color="auto" w:fill="E8EAF6"/>
          </w:tcPr>
          <w:p w14:paraId="18B4F231" w14:textId="77777777" w:rsidR="00AF3200" w:rsidRDefault="00000000">
            <w:pPr>
              <w:spacing w:before="40" w:after="40"/>
            </w:pPr>
            <w:r>
              <w:rPr>
                <w:color w:val="1A237E"/>
              </w:rPr>
              <w:t>SIMAJ · Base de calidad del aire 2024 (BD_2024)</w:t>
            </w:r>
          </w:p>
        </w:tc>
      </w:tr>
      <w:tr w:rsidR="00AF3200" w:rsidRPr="00007695" w14:paraId="066607D6" w14:textId="77777777">
        <w:tc>
          <w:tcPr>
            <w:tcW w:w="1800" w:type="dxa"/>
            <w:shd w:val="clear" w:color="auto" w:fill="E8EAF6"/>
          </w:tcPr>
          <w:p w14:paraId="780D9BD2" w14:textId="77777777" w:rsidR="00AF3200" w:rsidRDefault="00000000">
            <w:pPr>
              <w:spacing w:before="40" w:after="40"/>
            </w:pPr>
            <w:r>
              <w:rPr>
                <w:b/>
                <w:color w:val="1A237E"/>
              </w:rPr>
              <w:t>Entorno:</w:t>
            </w:r>
          </w:p>
        </w:tc>
        <w:tc>
          <w:tcPr>
            <w:tcW w:w="8280" w:type="dxa"/>
            <w:shd w:val="clear" w:color="auto" w:fill="E8EAF6"/>
          </w:tcPr>
          <w:p w14:paraId="3D1FC219" w14:textId="77777777" w:rsidR="00AF3200" w:rsidRPr="00007695" w:rsidRDefault="00000000">
            <w:pPr>
              <w:spacing w:before="40" w:after="40"/>
              <w:rPr>
                <w:lang w:val="es-MX"/>
              </w:rPr>
            </w:pPr>
            <w:r w:rsidRPr="00007695">
              <w:rPr>
                <w:color w:val="1A237E"/>
                <w:lang w:val="es-MX"/>
              </w:rPr>
              <w:t>Análisis local (equipo personal, entorno conda MCD)</w:t>
            </w:r>
            <w:proofErr w:type="spellStart"/>
            <w:r w:rsidRPr="00007695">
              <w:rPr>
                <w:color w:val="1A237E"/>
                <w:lang w:val="es-MX"/>
              </w:rPr>
            </w:r>
            <w:proofErr w:type="spellEnd"/>
            <w:r w:rsidRPr="00007695">
              <w:rPr>
                <w:color w:val="1A237E"/>
                <w:lang w:val="es-MX"/>
              </w:rPr>
            </w:r>
          </w:p>
        </w:tc>
      </w:tr>
      <w:tr w:rsidR="00AF3200" w:rsidRPr="00007695" w14:paraId="75599C32" w14:textId="77777777">
        <w:tc>
          <w:tcPr>
            <w:tcW w:w="1800" w:type="dxa"/>
            <w:shd w:val="clear" w:color="auto" w:fill="E8EAF6"/>
          </w:tcPr>
          <w:p w14:paraId="13474C8D" w14:textId="77777777" w:rsidR="00AF3200" w:rsidRDefault="00000000">
            <w:pPr>
              <w:spacing w:before="40" w:after="40"/>
            </w:pPr>
            <w:r>
              <w:rPr>
                <w:b/>
                <w:color w:val="1A237E"/>
              </w:rPr>
              <w:t>Dataset:</w:t>
            </w:r>
          </w:p>
        </w:tc>
        <w:tc>
          <w:tcPr>
            <w:tcW w:w="8280" w:type="dxa"/>
            <w:shd w:val="clear" w:color="auto" w:fill="E8EAF6"/>
          </w:tcPr>
          <w:p w14:paraId="31506C5B" w14:textId="77777777" w:rsidR="00AF3200" w:rsidRPr="00007695" w:rsidRDefault="00000000">
            <w:pPr>
              <w:spacing w:before="40" w:after="40"/>
              <w:rPr>
                <w:lang w:val="es-MX"/>
              </w:rPr>
            </w:pPr>
            <w:r w:rsidRPr="00007695">
              <w:rPr>
                <w:color w:val="1A237E"/>
                <w:lang w:val="es-MX"/>
              </w:rPr>
              <w:t>Calidad del aire ZMG 2024 — estación Country (COU); variable CO (ppm)</w:t>
            </w:r>
            <w:proofErr w:type="spellStart"/>
            <w:r w:rsidRPr="00007695">
              <w:rPr>
                <w:color w:val="1A237E"/>
                <w:lang w:val="es-MX"/>
              </w:rPr>
            </w:r>
            <w:proofErr w:type="spellEnd"/>
            <w:r w:rsidRPr="00007695">
              <w:rPr>
                <w:color w:val="1A237E"/>
                <w:lang w:val="es-MX"/>
              </w:rPr>
            </w:r>
          </w:p>
        </w:tc>
      </w:tr>
    </w:tbl>
    <w:p>
      <w:pPr>
        <w:spacing w:before="160" w:after="0"/>
        <w:jc w:val="both"/>
      </w:pPr>
    </w:p>
    <w:p>
      <w:pPr>
        <w:spacing w:before="200" w:after="60"/>
        <w:jc w:val="left"/>
      </w:pPr>
      <w:r>
        <w:rPr>
          <w:rFonts w:ascii="Calibri" w:hAnsi="Calibri"/>
          <w:b/>
          <w:i w:val="0"/>
          <w:color w:val="1F497D"/>
          <w:sz w:val="26"/>
        </w:rPr>
        <w:t>1. Introducción</w:t>
      </w:r>
    </w:p>
    <w:p>
      <w:pPr>
        <w:spacing w:before="0" w:after="100"/>
        <w:jc w:val="both"/>
      </w:pPr>
      <w:r>
        <w:rPr>
          <w:rFonts w:ascii="Calibri" w:hAnsi="Calibri"/>
          <w:b w:val="0"/>
          <w:i w:val="0"/>
          <w:sz w:val="20"/>
        </w:rPr>
        <w:t>El Índice Metropolitano de la Calidad del Aire (IMECA) establece para el monóxido de carbono (CO) un límite de 11 ppm en promedio de 8 horas como valor satisfactorio (dentro de norma). El objetivo de esta actividad es construir el histograma de CO de la estación seleccionada en la Tarea 1.0 —Country (COU)— y, con él, responder: ¿cuál es el número y porcentaje de periodos que en 2024 se encontraron por encima de la norma?</w:t>
      </w:r>
    </w:p>
    <w:p>
      <w:pPr>
        <w:spacing w:before="200" w:after="60"/>
        <w:jc w:val="left"/>
      </w:pPr>
      <w:r>
        <w:rPr>
          <w:rFonts w:ascii="Calibri" w:hAnsi="Calibri"/>
          <w:b/>
          <w:i w:val="0"/>
          <w:color w:val="1F497D"/>
          <w:sz w:val="26"/>
        </w:rPr>
        <w:t>2. Desarrollo (metodología)</w:t>
      </w:r>
    </w:p>
    <w:p>
      <w:pPr>
        <w:spacing w:before="0" w:after="100"/>
        <w:jc w:val="both"/>
      </w:pPr>
      <w:r>
        <w:rPr>
          <w:rFonts w:ascii="Calibri" w:hAnsi="Calibri"/>
          <w:b w:val="0"/>
          <w:i w:val="0"/>
          <w:sz w:val="20"/>
        </w:rPr>
        <w:t>Se trabajó con las 578 lecturas horarias válidas de CO de la estación Country en 2024. Se construyó el histograma de frecuencias y se contó cuántas lecturas superan el límite de 11 ppm. Dado que la norma se define sobre un promedio de 8 horas, además del conteo horario se calculó el promedio móvil de 8 horas y se verificó cuántas ventanas de 8 h superan el límite; ambos criterios se reportan.</w:t>
      </w:r>
    </w:p>
    <w:p>
      <w:pPr>
        <w:spacing w:before="200" w:after="60"/>
        <w:jc w:val="left"/>
      </w:pPr>
      <w:r>
        <w:rPr>
          <w:rFonts w:ascii="Calibri" w:hAnsi="Calibri"/>
          <w:b/>
          <w:i w:val="0"/>
          <w:color w:val="1F497D"/>
          <w:sz w:val="26"/>
        </w:rPr>
        <w:t>3. Resultados</w:t>
      </w:r>
    </w:p>
    <w:p>
      <w:pPr>
        <w:spacing w:before="0" w:after="60"/>
        <w:jc w:val="both"/>
      </w:pPr>
      <w:r>
        <w:rPr>
          <w:rFonts w:ascii="Calibri" w:hAnsi="Calibri"/>
          <w:b w:val="0"/>
          <w:i w:val="0"/>
          <w:sz w:val="20"/>
        </w:rPr>
        <w:t>El histograma (Figura 1) muestra a la izquierda el detalle de la distribución y a la derecha la escala completa hasta la norma de 11 ppm.</w:t>
      </w:r>
    </w:p>
    <w:p>
      <w:pPr>
        <w:jc w:val="center"/>
      </w:pPr>
      <w:r>
        <w:drawing>
          <wp:inline xmlns:a="http://schemas.openxmlformats.org/drawingml/2006/main" xmlns:pic="http://schemas.openxmlformats.org/drawingml/2006/picture">
            <wp:extent cx="5760720" cy="2381136"/>
            <wp:docPr id="2" name="Picture 2"/>
            <wp:cNvGraphicFramePr>
              <a:graphicFrameLocks noChangeAspect="1"/>
            </wp:cNvGraphicFramePr>
            <a:graphic>
              <a:graphicData uri="http://schemas.openxmlformats.org/drawingml/2006/picture">
                <pic:pic>
                  <pic:nvPicPr>
                    <pic:cNvPr id="0" name="histograma_co_country.png"/>
                    <pic:cNvPicPr/>
                  </pic:nvPicPr>
                  <pic:blipFill>
                    <a:blip r:embed="rId9"/>
                    <a:stretch>
                      <a:fillRect/>
                    </a:stretch>
                  </pic:blipFill>
                  <pic:spPr>
                    <a:xfrm>
                      <a:off x="0" y="0"/>
                      <a:ext cx="5760720" cy="2381136"/>
                    </a:xfrm>
                    <a:prstGeom prst="rect"/>
                  </pic:spPr>
                </pic:pic>
              </a:graphicData>
            </a:graphic>
          </wp:inline>
        </w:drawing>
      </w:r>
    </w:p>
    <w:p>
      <w:pPr>
        <w:spacing w:before="40" w:after="120"/>
        <w:jc w:val="center"/>
      </w:pPr>
      <w:r>
        <w:rPr>
          <w:rFonts w:ascii="Calibri" w:hAnsi="Calibri"/>
          <w:b w:val="0"/>
          <w:i/>
          <w:color w:val="404040"/>
          <w:sz w:val="18"/>
        </w:rPr>
        <w:t>Figura 1 — Histograma de CO (estación Country, 2024). Izquierda: frecuencia relativa (%) con los cuartiles marcados. Derecha: escala completa; la línea ámbar marca la norma IMECA (11 ppm/8h), que ninguna observación alcanza.</w:t>
      </w:r>
    </w:p>
    <w:tbl>
      <w:tblPr>
        <w:tblStyle w:val="TableGrid"/>
        <w:tblW w:type="auto" w:w="0"/>
        <w:jc w:val="center"/>
        <w:tblLook w:firstColumn="1" w:firstRow="1" w:lastColumn="0" w:lastRow="0" w:noHBand="0" w:noVBand="1" w:val="04A0"/>
      </w:tblPr>
      <w:tblGrid>
        <w:gridCol w:w="5040"/>
        <w:gridCol w:w="5040"/>
      </w:tblGrid>
      <w:tr>
        <w:tc>
          <w:tcPr>
            <w:tcW w:type="dxa" w:w="5760"/>
            <w:shd w:val="clear" w:color="auto" w:fill="1F497D"/>
          </w:tcPr>
          <w:p>
            <w:pPr>
              <w:jc w:val="center"/>
            </w:pPr>
            <w:r>
              <w:rPr>
                <w:rFonts w:ascii="Calibri" w:hAnsi="Calibri"/>
                <w:b/>
                <w:i w:val="0"/>
                <w:color w:val="FFFFFF"/>
                <w:sz w:val="18"/>
              </w:rPr>
              <w:t>Concepto</w:t>
            </w:r>
          </w:p>
        </w:tc>
        <w:tc>
          <w:tcPr>
            <w:tcW w:type="dxa" w:w="3168"/>
            <w:shd w:val="clear" w:color="auto" w:fill="1F497D"/>
          </w:tcPr>
          <w:p>
            <w:pPr>
              <w:jc w:val="center"/>
            </w:pPr>
            <w:r>
              <w:rPr>
                <w:rFonts w:ascii="Calibri" w:hAnsi="Calibri"/>
                <w:b/>
                <w:i w:val="0"/>
                <w:color w:val="FFFFFF"/>
                <w:sz w:val="18"/>
              </w:rPr>
              <w:t>Valor</w:t>
            </w:r>
          </w:p>
        </w:tc>
      </w:tr>
      <w:tr>
        <w:tc>
          <w:tcPr>
            <w:tcW w:type="dxa" w:w="5760"/>
            <w:shd w:val="clear" w:color="auto" w:fill="FFFFFF"/>
          </w:tcPr>
          <w:p>
            <w:pPr>
              <w:jc w:val="left"/>
            </w:pPr>
            <w:r>
              <w:rPr>
                <w:rFonts w:ascii="Calibri" w:hAnsi="Calibri"/>
                <w:b w:val="0"/>
                <w:i w:val="0"/>
                <w:sz w:val="18"/>
              </w:rPr>
              <w:t>Norma IMECA para CO</w:t>
            </w:r>
          </w:p>
        </w:tc>
        <w:tc>
          <w:tcPr>
            <w:tcW w:type="dxa" w:w="3168"/>
            <w:shd w:val="clear" w:color="auto" w:fill="FFFFFF"/>
          </w:tcPr>
          <w:p>
            <w:pPr>
              <w:jc w:val="center"/>
            </w:pPr>
            <w:r>
              <w:rPr>
                <w:rFonts w:ascii="Calibri" w:hAnsi="Calibri"/>
                <w:b w:val="0"/>
                <w:i w:val="0"/>
                <w:sz w:val="18"/>
              </w:rPr>
              <w:t>11 ppm (promedio de 8 h)</w:t>
            </w:r>
          </w:p>
        </w:tc>
      </w:tr>
      <w:tr>
        <w:tc>
          <w:tcPr>
            <w:tcW w:type="dxa" w:w="5760"/>
            <w:shd w:val="clear" w:color="auto" w:fill="F2F2F2"/>
          </w:tcPr>
          <w:p>
            <w:pPr>
              <w:jc w:val="left"/>
            </w:pPr>
            <w:r>
              <w:rPr>
                <w:rFonts w:ascii="Calibri" w:hAnsi="Calibri"/>
                <w:b w:val="0"/>
                <w:i w:val="0"/>
                <w:sz w:val="18"/>
              </w:rPr>
              <w:t>Periodos (lecturas horarias) en 2024</w:t>
            </w:r>
          </w:p>
        </w:tc>
        <w:tc>
          <w:tcPr>
            <w:tcW w:type="dxa" w:w="3168"/>
            <w:shd w:val="clear" w:color="auto" w:fill="F2F2F2"/>
          </w:tcPr>
          <w:p>
            <w:pPr>
              <w:jc w:val="center"/>
            </w:pPr>
            <w:r>
              <w:rPr>
                <w:rFonts w:ascii="Calibri" w:hAnsi="Calibri"/>
                <w:b w:val="0"/>
                <w:i w:val="0"/>
                <w:sz w:val="18"/>
              </w:rPr>
              <w:t>578</w:t>
            </w:r>
          </w:p>
        </w:tc>
      </w:tr>
      <w:tr>
        <w:tc>
          <w:tcPr>
            <w:tcW w:type="dxa" w:w="5760"/>
            <w:shd w:val="clear" w:color="auto" w:fill="FFFFFF"/>
          </w:tcPr>
          <w:p>
            <w:pPr>
              <w:jc w:val="left"/>
            </w:pPr>
            <w:r>
              <w:rPr>
                <w:rFonts w:ascii="Calibri" w:hAnsi="Calibri"/>
                <w:b w:val="0"/>
                <w:i w:val="0"/>
                <w:sz w:val="18"/>
              </w:rPr>
              <w:t>Periodos por encima de la norma (horario)</w:t>
            </w:r>
          </w:p>
        </w:tc>
        <w:tc>
          <w:tcPr>
            <w:tcW w:type="dxa" w:w="3168"/>
            <w:shd w:val="clear" w:color="auto" w:fill="FFFFFF"/>
          </w:tcPr>
          <w:p>
            <w:pPr>
              <w:jc w:val="center"/>
            </w:pPr>
            <w:r>
              <w:rPr>
                <w:rFonts w:ascii="Calibri" w:hAnsi="Calibri"/>
                <w:b w:val="0"/>
                <w:i w:val="0"/>
                <w:sz w:val="18"/>
              </w:rPr>
              <w:t>0</w:t>
            </w:r>
          </w:p>
        </w:tc>
      </w:tr>
      <w:tr>
        <w:tc>
          <w:tcPr>
            <w:tcW w:type="dxa" w:w="5760"/>
            <w:shd w:val="clear" w:color="auto" w:fill="F2F2F2"/>
          </w:tcPr>
          <w:p>
            <w:pPr>
              <w:jc w:val="left"/>
            </w:pPr>
            <w:r>
              <w:rPr>
                <w:rFonts w:ascii="Calibri" w:hAnsi="Calibri"/>
                <w:b w:val="0"/>
                <w:i w:val="0"/>
                <w:sz w:val="18"/>
              </w:rPr>
              <w:t>Porcentaje por encima de la norma</w:t>
            </w:r>
          </w:p>
        </w:tc>
        <w:tc>
          <w:tcPr>
            <w:tcW w:type="dxa" w:w="3168"/>
            <w:shd w:val="clear" w:color="auto" w:fill="F2F2F2"/>
          </w:tcPr>
          <w:p>
            <w:pPr>
              <w:jc w:val="center"/>
            </w:pPr>
            <w:r>
              <w:rPr>
                <w:rFonts w:ascii="Calibri" w:hAnsi="Calibri"/>
                <w:b w:val="0"/>
                <w:i w:val="0"/>
                <w:sz w:val="18"/>
              </w:rPr>
              <w:t>0.00 %</w:t>
            </w:r>
          </w:p>
        </w:tc>
      </w:tr>
      <w:tr>
        <w:tc>
          <w:tcPr>
            <w:tcW w:type="dxa" w:w="5760"/>
            <w:shd w:val="clear" w:color="auto" w:fill="FFFFFF"/>
          </w:tcPr>
          <w:p>
            <w:pPr>
              <w:jc w:val="left"/>
            </w:pPr>
            <w:r>
              <w:rPr>
                <w:rFonts w:ascii="Calibri" w:hAnsi="Calibri"/>
                <w:b w:val="0"/>
                <w:i w:val="0"/>
                <w:sz w:val="18"/>
              </w:rPr>
              <w:t>Máximo CO horario observado</w:t>
            </w:r>
          </w:p>
        </w:tc>
        <w:tc>
          <w:tcPr>
            <w:tcW w:type="dxa" w:w="3168"/>
            <w:shd w:val="clear" w:color="auto" w:fill="FFFFFF"/>
          </w:tcPr>
          <w:p>
            <w:pPr>
              <w:jc w:val="center"/>
            </w:pPr>
            <w:r>
              <w:rPr>
                <w:rFonts w:ascii="Calibri" w:hAnsi="Calibri"/>
                <w:b w:val="0"/>
                <w:i w:val="0"/>
                <w:sz w:val="18"/>
              </w:rPr>
              <w:t>1.675 ppm</w:t>
            </w:r>
          </w:p>
        </w:tc>
      </w:tr>
      <w:tr>
        <w:tc>
          <w:tcPr>
            <w:tcW w:type="dxa" w:w="5760"/>
            <w:shd w:val="clear" w:color="auto" w:fill="F2F2F2"/>
          </w:tcPr>
          <w:p>
            <w:pPr>
              <w:jc w:val="left"/>
            </w:pPr>
            <w:r>
              <w:rPr>
                <w:rFonts w:ascii="Calibri" w:hAnsi="Calibri"/>
                <w:b w:val="0"/>
                <w:i w:val="0"/>
                <w:sz w:val="18"/>
              </w:rPr>
              <w:t>Verificación — ventanas de 8 h &gt; 11 ppm</w:t>
            </w:r>
          </w:p>
        </w:tc>
        <w:tc>
          <w:tcPr>
            <w:tcW w:type="dxa" w:w="3168"/>
            <w:shd w:val="clear" w:color="auto" w:fill="F2F2F2"/>
          </w:tcPr>
          <w:p>
            <w:pPr>
              <w:jc w:val="center"/>
            </w:pPr>
            <w:r>
              <w:rPr>
                <w:rFonts w:ascii="Calibri" w:hAnsi="Calibri"/>
                <w:b w:val="0"/>
                <w:i w:val="0"/>
                <w:sz w:val="18"/>
              </w:rPr>
              <w:t>0 de 571 (0.00 %)</w:t>
            </w:r>
          </w:p>
        </w:tc>
      </w:tr>
      <w:tr>
        <w:tc>
          <w:tcPr>
            <w:tcW w:type="dxa" w:w="5760"/>
            <w:shd w:val="clear" w:color="auto" w:fill="FFFFFF"/>
          </w:tcPr>
          <w:p>
            <w:pPr>
              <w:jc w:val="left"/>
            </w:pPr>
            <w:r>
              <w:rPr>
                <w:rFonts w:ascii="Calibri" w:hAnsi="Calibri"/>
                <w:b w:val="0"/>
                <w:i w:val="0"/>
                <w:sz w:val="18"/>
              </w:rPr>
              <w:t>Máximo del promedio móvil de 8 h</w:t>
            </w:r>
          </w:p>
        </w:tc>
        <w:tc>
          <w:tcPr>
            <w:tcW w:type="dxa" w:w="3168"/>
            <w:shd w:val="clear" w:color="auto" w:fill="FFFFFF"/>
          </w:tcPr>
          <w:p>
            <w:pPr>
              <w:jc w:val="center"/>
            </w:pPr>
            <w:r>
              <w:rPr>
                <w:rFonts w:ascii="Calibri" w:hAnsi="Calibri"/>
                <w:b w:val="0"/>
                <w:i w:val="0"/>
                <w:sz w:val="18"/>
              </w:rPr>
              <w:t>1.037 ppm</w:t>
            </w:r>
          </w:p>
        </w:tc>
      </w:tr>
    </w:tbl>
    <w:p>
      <w:pPr>
        <w:spacing w:before="40" w:after="120"/>
        <w:jc w:val="center"/>
      </w:pPr>
      <w:r>
        <w:rPr>
          <w:rFonts w:ascii="Calibri" w:hAnsi="Calibri"/>
          <w:b w:val="0"/>
          <w:i/>
          <w:color w:val="404040"/>
          <w:sz w:val="18"/>
        </w:rPr>
        <w:t>Tabla 1 — Cálculo de periodos por encima de la norma IMECA para CO.</w:t>
      </w:r>
    </w:p>
    <w:p>
      <w:pPr>
        <w:spacing w:before="200" w:after="60"/>
        <w:jc w:val="left"/>
      </w:pPr>
      <w:r>
        <w:rPr>
          <w:rFonts w:ascii="Calibri" w:hAnsi="Calibri"/>
          <w:b/>
          <w:i w:val="0"/>
          <w:color w:val="1F497D"/>
          <w:sz w:val="26"/>
        </w:rPr>
        <w:t>4. Respuesta y conclusiones</w:t>
      </w:r>
    </w:p>
    <w:p>
      <w:pPr>
        <w:spacing w:before="0" w:after="100"/>
        <w:jc w:val="both"/>
      </w:pPr>
      <w:r>
        <w:rPr>
          <w:rFonts w:ascii="Calibri" w:hAnsi="Calibri"/>
          <w:b w:val="0"/>
          <w:i w:val="0"/>
          <w:sz w:val="20"/>
        </w:rPr>
        <w:t>Respuesta a la pregunta: en 2024, el número de periodos por encima de la norma fue 0, equivalente al 0.00 % de las 578 lecturas. Ninguna hora superó el límite de 11 ppm; de hecho, el máximo horario registrado fue de 1.675 ppm, unas 6.6 veces por debajo de la norma.</w:t>
      </w:r>
    </w:p>
    <w:p>
      <w:pPr>
        <w:spacing w:before="0" w:after="100"/>
        <w:jc w:val="both"/>
      </w:pPr>
      <w:r>
        <w:rPr>
          <w:rFonts w:ascii="Calibri" w:hAnsi="Calibri"/>
          <w:b w:val="0"/>
          <w:i w:val="0"/>
          <w:sz w:val="20"/>
        </w:rPr>
        <w:t>El resultado se confirma bajo la definición estricta de la norma (promedio de 8 horas): ninguna de las 571 ventanas de 8 h superó los 11 ppm, y el máximo del promedio móvil fue de apenas 1.037 ppm. En consecuencia, respecto al monóxido de carbono, la calidad del aire en la estación Country se mantuvo satisfactoria (dentro de norma) el 100 % del tiempo durante 2024. El histograma evidencia una distribución concentrada muy por debajo del límite, con un amplio margen respecto a la norma.</w:t>
      </w:r>
    </w:p>
    <w:p>
      <w:pPr>
        <w:spacing w:before="200" w:after="60"/>
        <w:jc w:val="left"/>
      </w:pPr>
      <w:r>
        <w:rPr>
          <w:rFonts w:ascii="Calibri" w:hAnsi="Calibri"/>
          <w:b/>
          <w:i w:val="0"/>
          <w:color w:val="1F497D"/>
          <w:sz w:val="26"/>
        </w:rPr>
        <w:t>Referencias</w:t>
      </w:r>
    </w:p>
    <w:p>
      <w:pPr>
        <w:spacing w:after="120"/>
        <w:ind w:left="720" w:hanging="720"/>
        <w:jc w:val="both"/>
      </w:pPr>
      <w:r>
        <w:rPr>
          <w:rFonts w:ascii="Calibri" w:hAnsi="Calibri"/>
          <w:b w:val="0"/>
          <w:i w:val="0"/>
          <w:sz w:val="20"/>
        </w:rPr>
        <w:t>Gobierno de México, Secretaría de Salud. (2021). Norma Oficial Mexicana NOM-021-SSA1-2021, Criterio para evaluar la calidad del aire ambiente con respecto al monóxido de carbono (CO). Diario Oficial de la Federación.</w:t>
      </w:r>
    </w:p>
    <w:p>
      <w:pPr>
        <w:spacing w:after="120"/>
        <w:ind w:left="720" w:hanging="720"/>
        <w:jc w:val="both"/>
      </w:pPr>
      <w:r>
        <w:rPr>
          <w:rFonts w:ascii="Calibri" w:hAnsi="Calibri"/>
          <w:b w:val="0"/>
          <w:i w:val="0"/>
          <w:sz w:val="20"/>
        </w:rPr>
        <w:t>Secretaría de Medio Ambiente y Desarrollo Territorial. (2024). Sistema de Monitoreo Atmosférico de Jalisco (SIMAJ): base de datos de calidad del aire 2024. Gobierno del Estado de Jalisco. https://siga.jalisco.gob.mx/aire/</w:t>
      </w:r>
    </w:p>
    <w:sectPr w:rsidR="00AF3200" w:rsidRPr="00007695"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530049">
    <w:abstractNumId w:val="8"/>
  </w:num>
  <w:num w:numId="2" w16cid:durableId="1310212181">
    <w:abstractNumId w:val="6"/>
  </w:num>
  <w:num w:numId="3" w16cid:durableId="558058756">
    <w:abstractNumId w:val="5"/>
  </w:num>
  <w:num w:numId="4" w16cid:durableId="489903587">
    <w:abstractNumId w:val="4"/>
  </w:num>
  <w:num w:numId="5" w16cid:durableId="1102262365">
    <w:abstractNumId w:val="7"/>
  </w:num>
  <w:num w:numId="6" w16cid:durableId="989672095">
    <w:abstractNumId w:val="3"/>
  </w:num>
  <w:num w:numId="7" w16cid:durableId="1585993332">
    <w:abstractNumId w:val="2"/>
  </w:num>
  <w:num w:numId="8" w16cid:durableId="2106534006">
    <w:abstractNumId w:val="1"/>
  </w:num>
  <w:num w:numId="9" w16cid:durableId="1420712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695"/>
    <w:rsid w:val="00034616"/>
    <w:rsid w:val="0006063C"/>
    <w:rsid w:val="0015074B"/>
    <w:rsid w:val="0029639D"/>
    <w:rsid w:val="00326F90"/>
    <w:rsid w:val="009E558E"/>
    <w:rsid w:val="00AA1D8D"/>
    <w:rsid w:val="00AF3200"/>
    <w:rsid w:val="00B47730"/>
    <w:rsid w:val="00CB0664"/>
    <w:rsid w:val="00FC693F"/>
    <w:rsid w:val="00FE28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8670E"/>
  <w14:defaultImageDpi w14:val="300"/>
  <w15:docId w15:val="{D823B7BF-B6F4-4107-8632-C84224FD7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185</Words>
  <Characters>1058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Pulido Rosas</cp:lastModifiedBy>
  <cp:revision>2</cp:revision>
  <dcterms:created xsi:type="dcterms:W3CDTF">2026-04-13T08:30:00Z</dcterms:created>
  <dcterms:modified xsi:type="dcterms:W3CDTF">2026-04-13T08:30:00Z</dcterms:modified>
  <cp:category/>
</cp:coreProperties>
</file>