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3er Semestre</w:t>
            </w:r>
          </w:p>
          <w:p w14:paraId="3E5184FD" w14:textId="77777777" w:rsidR="00AF3200" w:rsidRPr="00007695" w:rsidRDefault="00000000">
            <w:pPr>
              <w:spacing w:before="20" w:after="20"/>
              <w:rPr>
                <w:lang w:val="es-MX"/>
              </w:rPr>
            </w:pPr>
            <w:r w:rsidRPr="00007695">
              <w:rPr>
                <w:color w:val="1A237E"/>
                <w:lang w:val="es-MX"/>
              </w:rPr>
              <w:t>Materia: Desarrollo de Proyecto I</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jc w:val="center"/>
        <w:rPr>
          <w:b/>
          <w:color w:val="1A237E"/>
          <w:sz w:val="30"/>
          <w:lang w:val="es-MX"/>
        </w:rPr>
      </w:pPr>
      <w:r>
        <w:rPr>
          <w:rFonts w:ascii="Times New Roman" w:hAnsi="Times New Roman"/>
          <w:b/>
          <w:sz w:val="28"/>
        </w:rPr>
        <w:t>Búsqueda y análisis de referencias para el trabajo recepcional</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7 de octubre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Búsqueda, selección y análisis de referencias</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Fuentes:</w:t>
            </w:r>
            <w:proofErr w:type="spellEnd"/>
            <w:r>
              <w:rPr>
                <w:b/>
                <w:color w:val="1A237E"/>
              </w:rPr>
            </w:r>
          </w:p>
        </w:tc>
        <w:tc>
          <w:tcPr>
            <w:tcW w:w="8280" w:type="dxa"/>
            <w:shd w:val="clear" w:color="auto" w:fill="E8EAF6"/>
          </w:tcPr>
          <w:p w14:paraId="430CAA90" w14:textId="77777777" w:rsidR="00AF3200" w:rsidRDefault="00000000">
            <w:pPr>
              <w:spacing w:before="40" w:after="40"/>
            </w:pPr>
            <w:r>
              <w:rPr>
                <w:color w:val="1A237E"/>
              </w:rPr>
              <w:t>Google Académico y repositorios institucionales (NBER, arXiv, BID, Banco Mundial, OIT)</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Título tentativo:</w:t>
            </w:r>
          </w:p>
        </w:tc>
        <w:tc>
          <w:tcPr>
            <w:tcW w:w="8280" w:type="dxa"/>
            <w:shd w:val="clear" w:color="auto" w:fill="E8EAF6"/>
          </w:tcPr>
          <w:p w14:paraId="18B4F231" w14:textId="77777777" w:rsidR="00AF3200" w:rsidRDefault="00000000">
            <w:pPr>
              <w:spacing w:before="40" w:after="40"/>
            </w:pPr>
            <w:r>
              <w:rPr>
                <w:color w:val="1A237E"/>
              </w:rPr>
              <w:t>Modelo de evaluación del riesgo de sustitución laboral mediante herramientas de ciencia de datos: inteligencia artificial cognitiva y robótica en la industria manufacturera de Jalisco</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Profesora:</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Dra. Ana Rosa Jiménez Meza</w:t>
            </w:r>
            <w:proofErr w:type="spellStart"/>
            <w:r w:rsidRPr="00007695">
              <w:rPr>
                <w:color w:val="1A237E"/>
                <w:lang w:val="es-MX"/>
              </w:rPr>
            </w:r>
            <w:proofErr w:type="spellEnd"/>
            <w:r w:rsidRPr="00007695">
              <w:rPr>
                <w:color w:val="1A237E"/>
                <w:lang w:val="es-MX"/>
              </w:rPr>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Material:</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16 documentos en PDF (carpeta referencias)</w:t>
            </w:r>
            <w:proofErr w:type="spellStart"/>
            <w:r w:rsidRPr="00007695">
              <w:rPr>
                <w:color w:val="1A237E"/>
                <w:lang w:val="es-MX"/>
              </w:rPr>
            </w:r>
            <w:proofErr w:type="spellEnd"/>
            <w:r w:rsidRPr="00007695">
              <w:rPr>
                <w:color w:val="1A237E"/>
                <w:lang w:val="es-MX"/>
              </w:rPr>
            </w:r>
          </w:p>
        </w:tc>
      </w:tr>
    </w:tbl>
    <w:p>
      <w:pPr>
        <w:keepNext w:val="0"/>
        <w:spacing w:before="160" w:after="0" w:line="480" w:lineRule="auto"/>
        <w:ind w:firstLine="709"/>
        <w:jc w:val="both"/>
      </w:pPr>
    </w:p>
    <w:p>
      <w:pPr>
        <w:keepNext/>
        <w:spacing w:before="240" w:after="120" w:line="480" w:lineRule="auto"/>
        <w:jc w:val="center"/>
      </w:pPr>
      <w:r>
        <w:rPr>
          <w:rFonts w:ascii="Times New Roman" w:hAnsi="Times New Roman" w:cs="Times New Roman" w:eastAsia="Times New Roman"/>
          <w:b/>
          <w:i w:val="0"/>
          <w:sz w:val="28"/>
        </w:rPr>
        <w:t>I. PROPÓSITO</w:t>
      </w:r>
    </w:p>
    <w:p>
      <w:pPr>
        <w:keepNext w:val="0"/>
        <w:spacing w:before="0" w:after="0" w:line="480" w:lineRule="auto"/>
        <w:ind w:firstLine="709"/>
        <w:jc w:val="both"/>
      </w:pPr>
      <w:r>
        <w:rPr>
          <w:rFonts w:ascii="Times New Roman" w:hAnsi="Times New Roman" w:cs="Times New Roman" w:eastAsia="Times New Roman"/>
          <w:b w:val="0"/>
          <w:i w:val="0"/>
          <w:sz w:val="24"/>
        </w:rPr>
        <w:t>Este documento reúne la revisión bibliográfica inicial del trabajo recepcional, cuyo objeto es evaluar el riesgo de sustitución laboral que enfrenta la industria manufacturera de Jalisco ante dos tecnologías distintas: la inteligencia artificial de tipo cognitivo, en particular los modelos de lenguaje, y la robótica industrial. Se seleccionaron 16 referencias, se descargó el documento completo de cada una y se analizaron en una tabla que registra su título, sitio web, autores, año, principal aportación, descripción del tema y editorial o revista.</w:t>
      </w:r>
    </w:p>
    <w:p>
      <w:pPr>
        <w:keepNext/>
        <w:spacing w:before="240" w:after="120" w:line="480" w:lineRule="auto"/>
        <w:jc w:val="center"/>
      </w:pPr>
      <w:r>
        <w:rPr>
          <w:rFonts w:ascii="Times New Roman" w:hAnsi="Times New Roman" w:cs="Times New Roman" w:eastAsia="Times New Roman"/>
          <w:b/>
          <w:i w:val="0"/>
          <w:sz w:val="28"/>
        </w:rPr>
        <w:t>II. CRITERIOS DE BÚSQUEDA Y SELECCIÓN</w:t>
      </w:r>
    </w:p>
    <w:p>
      <w:pPr>
        <w:keepNext w:val="0"/>
        <w:spacing w:before="0" w:after="0" w:line="480" w:lineRule="auto"/>
        <w:ind w:firstLine="709"/>
        <w:jc w:val="both"/>
      </w:pPr>
      <w:r>
        <w:rPr>
          <w:rFonts w:ascii="Times New Roman" w:hAnsi="Times New Roman" w:cs="Times New Roman" w:eastAsia="Times New Roman"/>
          <w:b w:val="0"/>
          <w:i w:val="0"/>
          <w:sz w:val="24"/>
        </w:rPr>
        <w:t>La búsqueda se realizó en Google Académico y en los repositorios de origen de cada documento. Se privilegiaron artículos publicados en revistas arbitradas y, en el caso de los temas más recientes, documentos de trabajo de organismos internacionales y preprints de amplia citación. Las referencias se organizaron en tres bloques que corresponden a los componentes de la tesis:</w:t>
      </w:r>
    </w:p>
    <w:p>
      <w:pPr>
        <w:pStyle w:val="ListBullet"/>
        <w:spacing w:after="80" w:line="480" w:lineRule="auto"/>
      </w:pPr>
      <w:r>
        <w:rPr>
          <w:rFonts w:ascii="Times New Roman" w:hAnsi="Times New Roman" w:cs="Times New Roman" w:eastAsia="Times New Roman"/>
          <w:b/>
          <w:i w:val="0"/>
          <w:sz w:val="24"/>
        </w:rPr>
        <w:t xml:space="preserve">Marco teórico de la automatización. </w:t>
      </w:r>
      <w:r>
        <w:rPr>
          <w:rFonts w:ascii="Times New Roman" w:hAnsi="Times New Roman" w:cs="Times New Roman" w:eastAsia="Times New Roman"/>
          <w:b w:val="0"/>
          <w:i w:val="0"/>
          <w:sz w:val="24"/>
        </w:rPr>
        <w:t>Enfoque de tareas y condiciones bajo las cuales la tecnología desplaza o complementa al trabajo (Autor et al., 2003; Acemoglu y Restrepo, 2018, 2019).</w:t>
      </w:r>
    </w:p>
    <w:p>
      <w:pPr>
        <w:pStyle w:val="ListBullet"/>
        <w:spacing w:after="80" w:line="480" w:lineRule="auto"/>
      </w:pPr>
      <w:r>
        <w:rPr>
          <w:rFonts w:ascii="Times New Roman" w:hAnsi="Times New Roman" w:cs="Times New Roman" w:eastAsia="Times New Roman"/>
          <w:b/>
          <w:i w:val="0"/>
          <w:sz w:val="24"/>
        </w:rPr>
        <w:t xml:space="preserve">Robótica y manufactura. </w:t>
      </w:r>
      <w:r>
        <w:rPr>
          <w:rFonts w:ascii="Times New Roman" w:hAnsi="Times New Roman" w:cs="Times New Roman" w:eastAsia="Times New Roman"/>
          <w:b w:val="0"/>
          <w:i w:val="0"/>
          <w:sz w:val="24"/>
        </w:rPr>
        <w:t>Evidencia sobre el efecto de los robots industriales en el empleo, con énfasis en México y en el canal del comercio con Estados Unidos (Graetz y Michaels, 2018; Artuc et al., 2019; Acemoglu y Restrepo, 2020; Faber, 2020).</w:t>
      </w:r>
    </w:p>
    <w:p>
      <w:pPr>
        <w:pStyle w:val="ListBullet"/>
        <w:spacing w:after="80" w:line="480" w:lineRule="auto"/>
      </w:pPr>
      <w:r>
        <w:rPr>
          <w:rFonts w:ascii="Times New Roman" w:hAnsi="Times New Roman" w:cs="Times New Roman" w:eastAsia="Times New Roman"/>
          <w:b/>
          <w:i w:val="0"/>
          <w:sz w:val="24"/>
        </w:rPr>
        <w:t xml:space="preserve">Medición de la exposición a la inteligencia artificial. </w:t>
      </w:r>
      <w:r>
        <w:rPr>
          <w:rFonts w:ascii="Times New Roman" w:hAnsi="Times New Roman" w:cs="Times New Roman" w:eastAsia="Times New Roman"/>
          <w:b w:val="0"/>
          <w:i w:val="0"/>
          <w:sz w:val="24"/>
        </w:rPr>
        <w:t>Índices ocupacionales para la IA cognitiva y los modelos de lenguaje, incluidas sus adaptaciones a América Latina y la primera medición de uso real (Frey y Osborne, 2017; Webb, 2020; Eloundou et al., 2023; Azuara et al., 2024; Handa et al., 2025).</w:t>
      </w:r>
    </w:p>
    <w:p>
      <w:pPr>
        <w:keepNext w:val="0"/>
        <w:spacing w:before="60" w:after="0" w:line="480" w:lineRule="auto"/>
        <w:ind w:firstLine="709"/>
        <w:jc w:val="both"/>
      </w:pPr>
      <w:r>
        <w:rPr>
          <w:rFonts w:ascii="Times New Roman" w:hAnsi="Times New Roman" w:cs="Times New Roman" w:eastAsia="Times New Roman"/>
          <w:b w:val="0"/>
          <w:i w:val="0"/>
          <w:sz w:val="24"/>
        </w:rPr>
        <w:t>La tabla presenta las referencias en orden cronológico para mostrar cómo ha evolucionado el estudio del tema, desde la computarización de las tareas rutinarias hasta la medición del uso de los modelos de lenguaje.</w:t>
      </w:r>
    </w:p>
    <w:p>
      <w:pPr>
        <w:sectPr>
          <w:pgSz w:w="12240" w:h="15840"/>
          <w:pgMar w:top="1417" w:right="1417" w:bottom="1417" w:left="1701" w:header="720" w:footer="720" w:gutter="0"/>
          <w:cols w:space="720"/>
          <w:docGrid w:linePitch="360"/>
        </w:sectPr>
      </w:pPr>
    </w:p>
    <w:p>
      <w:pPr>
        <w:keepNext/>
        <w:spacing w:before="240" w:after="120" w:line="480" w:lineRule="auto"/>
        <w:jc w:val="center"/>
      </w:pPr>
      <w:r>
        <w:rPr>
          <w:rFonts w:ascii="Times New Roman" w:hAnsi="Times New Roman" w:cs="Times New Roman" w:eastAsia="Times New Roman"/>
          <w:b/>
          <w:i w:val="0"/>
          <w:sz w:val="28"/>
        </w:rPr>
        <w:t>III. TABLA DE ANÁLISIS DE REFERENCIAS</w:t>
      </w:r>
    </w:p>
    <w:p>
      <w:pPr>
        <w:keepNext/>
        <w:spacing w:before="0" w:after="0" w:line="480" w:lineRule="auto"/>
        <w:jc w:val="left"/>
      </w:pPr>
      <w:r>
        <w:rPr>
          <w:rFonts w:ascii="Times New Roman" w:hAnsi="Times New Roman" w:cs="Times New Roman" w:eastAsia="Times New Roman"/>
          <w:b/>
          <w:i w:val="0"/>
          <w:sz w:val="24"/>
        </w:rPr>
        <w:t>Tabla 1</w:t>
      </w:r>
    </w:p>
    <w:p>
      <w:pPr>
        <w:keepNext/>
        <w:spacing w:before="0" w:after="0" w:line="480" w:lineRule="auto"/>
        <w:jc w:val="left"/>
      </w:pPr>
      <w:r>
        <w:rPr>
          <w:rFonts w:ascii="Times New Roman" w:hAnsi="Times New Roman" w:cs="Times New Roman" w:eastAsia="Times New Roman"/>
          <w:b w:val="0"/>
          <w:i/>
          <w:sz w:val="24"/>
        </w:rPr>
        <w:t>Análisis de las referencias seleccionadas, en orden cronológico</w:t>
      </w:r>
    </w:p>
    <w:tbl>
      <w:tblPr>
        <w:tblStyle w:val="TableGrid"/>
        <w:tblW w:type="auto" w:w="0"/>
        <w:jc w:val="center"/>
        <w:tblLayout w:type="fixed"/>
        <w:tblLook w:firstColumn="1" w:firstRow="1" w:lastColumn="0" w:lastRow="0" w:noHBand="0" w:noVBand="1" w:val="04A0"/>
        <w:tblLayout w:type="fixed"/>
      </w:tblPr>
      <w:tblGrid>
        <w:gridCol w:w="461"/>
        <w:gridCol w:w="2088"/>
        <w:gridCol w:w="1512"/>
        <w:gridCol w:w="605"/>
        <w:gridCol w:w="1800"/>
        <w:gridCol w:w="1728"/>
        <w:gridCol w:w="2808"/>
        <w:gridCol w:w="3240"/>
      </w:tblGrid>
      <w:tr>
        <w:trPr>
          <w:tblHeader w:val="true"/>
        </w:trPr>
        <w:tc>
          <w:tcPr>
            <w:tcW w:type="dxa" w:w="461"/>
            <w:shd w:val="clear" w:color="auto" w:fill="D9D9D9"/>
          </w:tcPr>
          <w:p>
            <w:pPr>
              <w:spacing w:line="240" w:lineRule="auto"/>
              <w:jc w:val="center"/>
            </w:pPr>
            <w:r>
              <w:rPr>
                <w:rFonts w:ascii="Times New Roman" w:hAnsi="Times New Roman" w:cs="Times New Roman" w:eastAsia="Times New Roman"/>
                <w:b/>
                <w:i w:val="0"/>
                <w:sz w:val="16"/>
              </w:rPr>
              <w:t>No.</w:t>
            </w:r>
          </w:p>
        </w:tc>
        <w:tc>
          <w:tcPr>
            <w:tcW w:type="dxa" w:w="2088"/>
            <w:shd w:val="clear" w:color="auto" w:fill="D9D9D9"/>
          </w:tcPr>
          <w:p>
            <w:pPr>
              <w:spacing w:line="240" w:lineRule="auto"/>
              <w:jc w:val="center"/>
            </w:pPr>
            <w:r>
              <w:rPr>
                <w:rFonts w:ascii="Times New Roman" w:hAnsi="Times New Roman" w:cs="Times New Roman" w:eastAsia="Times New Roman"/>
                <w:b/>
                <w:i w:val="0"/>
                <w:sz w:val="16"/>
              </w:rPr>
              <w:t>Nombre del artículo o libro</w:t>
            </w:r>
          </w:p>
        </w:tc>
        <w:tc>
          <w:tcPr>
            <w:tcW w:type="dxa" w:w="1512"/>
            <w:shd w:val="clear" w:color="auto" w:fill="D9D9D9"/>
          </w:tcPr>
          <w:p>
            <w:pPr>
              <w:spacing w:line="240" w:lineRule="auto"/>
              <w:jc w:val="center"/>
            </w:pPr>
            <w:r>
              <w:rPr>
                <w:rFonts w:ascii="Times New Roman" w:hAnsi="Times New Roman" w:cs="Times New Roman" w:eastAsia="Times New Roman"/>
                <w:b/>
                <w:i w:val="0"/>
                <w:sz w:val="16"/>
              </w:rPr>
              <w:t>Autor o autores</w:t>
            </w:r>
          </w:p>
        </w:tc>
        <w:tc>
          <w:tcPr>
            <w:tcW w:type="dxa" w:w="605"/>
            <w:shd w:val="clear" w:color="auto" w:fill="D9D9D9"/>
          </w:tcPr>
          <w:p>
            <w:pPr>
              <w:spacing w:line="240" w:lineRule="auto"/>
              <w:jc w:val="center"/>
            </w:pPr>
            <w:r>
              <w:rPr>
                <w:rFonts w:ascii="Times New Roman" w:hAnsi="Times New Roman" w:cs="Times New Roman" w:eastAsia="Times New Roman"/>
                <w:b/>
                <w:i w:val="0"/>
                <w:sz w:val="16"/>
              </w:rPr>
              <w:t>Año</w:t>
            </w:r>
          </w:p>
        </w:tc>
        <w:tc>
          <w:tcPr>
            <w:tcW w:type="dxa" w:w="1800"/>
            <w:shd w:val="clear" w:color="auto" w:fill="D9D9D9"/>
          </w:tcPr>
          <w:p>
            <w:pPr>
              <w:spacing w:line="240" w:lineRule="auto"/>
              <w:jc w:val="center"/>
            </w:pPr>
            <w:r>
              <w:rPr>
                <w:rFonts w:ascii="Times New Roman" w:hAnsi="Times New Roman" w:cs="Times New Roman" w:eastAsia="Times New Roman"/>
                <w:b/>
                <w:i w:val="0"/>
                <w:sz w:val="16"/>
              </w:rPr>
              <w:t>Editorial o journal</w:t>
            </w:r>
          </w:p>
        </w:tc>
        <w:tc>
          <w:tcPr>
            <w:tcW w:type="dxa" w:w="1728"/>
            <w:shd w:val="clear" w:color="auto" w:fill="D9D9D9"/>
          </w:tcPr>
          <w:p>
            <w:pPr>
              <w:spacing w:line="240" w:lineRule="auto"/>
              <w:jc w:val="center"/>
            </w:pPr>
            <w:r>
              <w:rPr>
                <w:rFonts w:ascii="Times New Roman" w:hAnsi="Times New Roman" w:cs="Times New Roman" w:eastAsia="Times New Roman"/>
                <w:b/>
                <w:i w:val="0"/>
                <w:sz w:val="16"/>
              </w:rPr>
              <w:t>Página web</w:t>
            </w:r>
          </w:p>
        </w:tc>
        <w:tc>
          <w:tcPr>
            <w:tcW w:type="dxa" w:w="2808"/>
            <w:shd w:val="clear" w:color="auto" w:fill="D9D9D9"/>
          </w:tcPr>
          <w:p>
            <w:pPr>
              <w:spacing w:line="240" w:lineRule="auto"/>
              <w:jc w:val="center"/>
            </w:pPr>
            <w:r>
              <w:rPr>
                <w:rFonts w:ascii="Times New Roman" w:hAnsi="Times New Roman" w:cs="Times New Roman" w:eastAsia="Times New Roman"/>
                <w:b/>
                <w:i w:val="0"/>
                <w:sz w:val="16"/>
              </w:rPr>
              <w:t>Principal aportación</w:t>
            </w:r>
          </w:p>
        </w:tc>
        <w:tc>
          <w:tcPr>
            <w:tcW w:type="dxa" w:w="3240"/>
            <w:shd w:val="clear" w:color="auto" w:fill="D9D9D9"/>
          </w:tcPr>
          <w:p>
            <w:pPr>
              <w:spacing w:line="240" w:lineRule="auto"/>
              <w:jc w:val="center"/>
            </w:pPr>
            <w:r>
              <w:rPr>
                <w:rFonts w:ascii="Times New Roman" w:hAnsi="Times New Roman" w:cs="Times New Roman" w:eastAsia="Times New Roman"/>
                <w:b/>
                <w:i w:val="0"/>
                <w:sz w:val="16"/>
              </w:rPr>
              <w:t>Descripción del tema (elaboración propia)</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1</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The skill content of recent technological change: An empirical exploration</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David H. Autor, Frank Levy y Richard J. Murnane</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2003</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The Quarterly Journal of Economics, 118(4), 1279-1333. MIT Press</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https://doi.org/10.1162/003355303322552801 (versión NBER w8337)</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Propone el enfoque de tareas: separa el trabajo en tareas rutinarias y no rutinarias, cognitivas y manuales, y demuestra que la computarización sustituye a las rutinarias y complementa a las analíticas e interactivas.</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Explica por qué la computadora cambió la demanda de habilidades en Estados Unidos entre 1960 y 1998. La idea de fondo es que la tecnología no elimina ocupaciones completas, sino tareas concretas, y que las más fáciles de programar son las que siguen reglas explícitas. De aquí sale el marco de tareas con el que la tesis mide la exposición de las ocupaciones de Jalisco.</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2</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The future of employment: How susceptible are jobs to computerisation?</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Carl Benedikt Frey y Michael A. Osborne</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2017</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Technological Forecasting and Social Change, 114, 254-280. Elsevier</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https://doi.org/10.1016/j.techfore.2016.08.019 (versión Oxford Martin School, 2013)</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Estima la probabilidad de automatización de 702 ocupaciones con un clasificador de procesos gaussianos entrenado con juicio experto y concluye que 47 % del empleo de Estados Unidos está en riesgo alto.</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Es el estudio que instaló en el debate público la pregunta de cuántos empleos pueden automatizarse. Identifica tres cuellos de botella técnicos (percepción y manipulación, creatividad e inteligencia social) y los extrapola con O*NET. En la tesis funciona como punto de partida y como contraste, porque su medida es estática, depende del juicio de expertos y supone que el trabajo cognitivo no rutinario está a salvo.</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3</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The race between man and machine: Implications of technology for growth, factor shares, and employment</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Daron Acemoglu y Pascual Restrepo</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2018</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American Economic Review, 108(6), 1488-1542. American Economic Association</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https://doi.org/10.1257/aer.20160696 (versión NBER w22252)</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Formaliza la automatización como una carrera entre el desplazamiento del trabajo en tareas existentes y la creación de tareas nuevas, e incorpora la condición de que automatizar solo ocurre cuando es más barato que pagar salarios.</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Las máquinas ocupan tareas que antes hacían personas, pero al mismo tiempo aparecen tareas nuevas en las que el trabajo humano tiene ventaja; el saldo entre ambas fuerzas define qué pasa con el empleo. La condición de rentabilidad es la base del Índice de Rentabilidad de la Automatización que la tesis calcula por sector económico con los Censos Económicos.</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4</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Robots at work</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Georg Graetz y Guy Michaels</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2018</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The Review of Economics and Statistics, 100(5), 753-768. MIT Press</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https://doi.org/10.1162/rest_a_00754 (versión CEP DP1335)</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Con datos de 17 países entre 1993 y 2007 muestra que los robots industriales elevaron la productividad laboral, el valor agregado y los salarios, y añadieron cerca de 0.37 puntos porcentuales al crecimiento anual, sin un efecto significativo en las horas totales trabajadas, aunque con indicios de menos horas para la mano de obra de baja y media calificación.</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Es una de las primeras evaluaciones del efecto de los robots industriales entre países, construida con los datos de la Federación Internacional de Robótica. Es antecedente del eje físico de la automatización y del uso del acervo de robots de la IFR, que la tesis emplea para construir la curva de adopción robótica de la proyección 2025-2030.</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5</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Does automation in rich countries hurt developing ones? Evidence from the U.S. and Mexico</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Erhan Artuc, Luc Christiaensen y Hernan Winkler</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2019</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Policy Research Working Paper 8741. Banco Mundial</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https://documents.worldbank.org/curated/en/221101550152344701</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Un robot adicional por cada mil trabajadores en Estados Unidos reduce 6.7 % el crecimiento de las exportaciones por trabajador de México hacia ese país, y la automatización reduce el empleo manufacturero en los municipios con ocupaciones más automatizables.</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Con datos de exportaciones por municipio, sector y destino entre 2004 y 2014, analiza cómo la automatización en Estados Unidos llega a México a través del comercio. El efecto agregado sobre el empleo manufacturero es nulo porque combina pérdidas en unas zonas y ganancias en otras. Es clave para la tesis porque muestra que la presión robótica sobre la manufactura mexicana depende de la composición ocupacional de cada territorio.</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6</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Automation and new tasks: How technology displaces and reinstates labor</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Daron Acemoglu y Pascual Restrepo</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2019</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Journal of Economic Perspectives, 33(2), 3-30. American Economic Association</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https://doi.org/10.1257/jep.33.2.3 (versión NBER w25684)</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Descompone el cambio en la demanda de trabajo en efectos de desplazamiento, productividad y reinstalación, y concluye que el menor crecimiento del empleo en Estados Unidos durante tres décadas se explica por un desplazamiento más rápido, sobre todo en la manufactura, y por una reinstalación más débil.</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Presenta de forma accesible el marco teórico de los mismos autores y lo aplica a datos sectoriales. Explica por qué el empleo puede estancarse aunque la productividad crezca, cuando se automatiza mucho y se crean pocas tareas nuevas. La tesis lo usa para interpretar la prueba de la hipótesis de rentabilidad, en la que los sectores con mayor incentivo a automatizar profundizaron su capital y perdieron participación laboral.</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7</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Robots and jobs: Evidence from US labor markets</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Daron Acemoglu y Pascual Restrepo</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2020</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Journal of Political Economy, 128(6), 2188-2244. University of Chicago Press</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https://doi.org/10.1086/705716 (versión NBER w23285)</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Estima que cada robot adicional por cada mil trabajadores redujo la razón empleo/población entre 0.18 y 0.34 puntos porcentuales y los salarios entre 0.25 y 0.5 % en las zonas laborales de Estados Unidos entre 1990 y 2007 (versión de trabajo).</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A diferencia de Graetz y Michaels, encuentra efectos negativos y significativos de los robots sobre el empleo local. Mide la exposición de cada zona según su composición industrial, una lógica similar a la del mapa municipal de la tesis, que combina la composición sectorial de los 125 municipios de Jalisco con la exposición de cada sector.</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8</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Robots and reshoring: Evidence from Mexican labor markets</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Marius Faber</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2020</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Journal of International Economics, 127, 103384. Elsevier</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https://doi.org/10.1016/j.jinteco.2020.103384</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Muestra que los robots instalados en Estados Unidos reducen de forma considerable el empleo en los mercados laborales mexicanos, con mayor efecto en hombres y en operadores de maquinaria de baja escolaridad de la manufactura.</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Analiza el canal de la relocalización: si producir con robots en Estados Unidos resulta más barato, disminuye la demanda de importaciones mexicanas. Con datos de 1990 a 2015 encuentra caídas en el empleo, en las exportaciones y en el número de plantas exportadoras. Es la referencia más directa para el enfoque manufacturero, porque estudia a los operadores de maquinaria, el grupo ocupacional con mayor exposición a la automatización física en los resultados de la tesis.</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9</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The impact of artificial intelligence on the labor market</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Michael Webb</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2020</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Documento de trabajo. Stanford University</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https://www.michaelwebb.co/webb_ai.pdf</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Mide la exposición de las ocupaciones a robots, software e inteligencia artificial a partir del traslape textual entre patentes y descripciones de tareas, y muestra que, a diferencia del software y los robots, la IA se dirige a tareas de alta calificación.</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Compara el lenguaje de las patentes con el de las tareas para saber qué trabajos puede tocar cada tecnología. Su resultado de que la IA y los robots apuntan a ocupaciones distintas respalda la estructura bipolar, cognitiva frente a física, que obtuvo el análisis factorial de la tesis, y su índice de robots se usa para validar el índice físico (DEOE), con una correlación de 0.76.</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10</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The productivity J-curve: How intangibles complement general purpose technologies</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Erik Brynjolfsson, Daniel Rock y Chad Syverson</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2021</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American Economic Journal: Macroeconomics, 13(1), 333-372. American Economic Association</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https://doi.org/10.1257/mac.20180386 (versión NBER w25148)</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Demuestra que las tecnologías de propósito general exigen inversiones intangibles que no se registran, por lo que la productividad primero se subestima y después se sobreestima, formando una curva en J.</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Explica por qué los efectos de una tecnología como la IA tardan en verse en las estadísticas: las empresas tienen que reorganizar procesos y capacitar a su personal antes de obtener beneficios. En la tesis uso esta idea para interpretar que todavía no se observe un efecto en el empleo como una ventana de tiempo para la política pública.</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11</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GPTs are GPTs: An early look at the labor market impact potential of large language models</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Tyna Eloundou, Sam Manning, Pamela Mishkin y Daniel Rock</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2023</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arXiv (preprint, 2303.10130); versión publicada en Science, 384(6702), 2024</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https://arxiv.org/abs/2303.10130</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Con una rúbrica aplicada por anotadores humanos y por GPT-4 estima que cerca de 80 % de los trabajadores de Estados Unidos tiene al menos 10 % de sus tareas expuestas a los modelos de lenguaje, y que la exposición crece con el ingreso.</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Es la primera medición amplia de la exposición ocupacional a los modelos de lenguaje y plantea que estos son tecnologías de propósito general. Su índice es uno de los rivales con los que la tesis compara su índice cognitivo, y en la validación externa resultó el mejor predictor individual del uso observado de IA.</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12</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How will language modelers like ChatGPT affect occupations and industries?</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Edward Felten, Manav Raj y Robert Seamans</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2023</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arXiv (preprint, 2303.01157)</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https://arxiv.org/abs/2303.01157</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Ajusta su índice de exposición ocupacional a la IA (AIOE) al avance de los modelos de lenguaje Las ocupaciones más expuestas son los operadores de telemarketing y varios grupos de docentes universitarios, y las industrias más expuestas son los servicios legales y los de valores e inversiones.</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Los autores relacionan aplicaciones de IA con 52 habilidades de O*NET para calcular la exposición de cada ocupación y luego recalculan el índice para los modelos de lenguaje. El índice cognitivo de la tesis (DBOE) parte del AIOE de estos autores, pero sustituye la capacidad fija de la IA por curvas anuales de desempeño en pruebas de referencia.</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13</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Generative AI and jobs: A global analysis of potential effects on job quantity and quality</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Paweł Gmyrek, Janine Berg y David Bescond</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2023</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ILO Working Paper 96. Organización Internacional del Trabajo</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https://doi.org/10.54394/FHEM8239</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Concluye que la IA generativa tiene más potencial para complementar que para automatizar el trabajo, ya que solo el trabajo administrativo resulta muy expuesto, con 24 % de sus tareas en exposición alta.</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Desde la OIT, califica con GPT-4 las tareas de la clasificación internacional ISCO y estima la exposición de cada país según su estructura ocupacional. Es útil para la tesis porque enfrenta el mismo problema que la tesis, trasladar medidas construidas con datos de Estados Unidos a países con otra estructura productiva.</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14</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AI and the increase of productivity and labor inequality in Latin America: Potential impact of large language models on Latin American workforce</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Oliver Azuara, Laura Ripani y Eric Torres</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2024</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IDB Discussion Paper 01076. Banco Interamericano de Desarrollo</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https://publications.iadb.org (Discussion Paper IDB-DP-01076)</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Adapta la metodología de Eloundou et al. a Chile, México y Perú mediante un cruce entre O*NET, SINCO-2011 e ISCO-08, y estima que 74 % de los empleos en México tiene más de 10 % de sus tareas expuestas a los modelos de lenguaje.</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Es el antecedente regional más cercano. Construye una correspondencia entre O*NET y el SINCO y ajusta la exposición según la capacidad de adopción de cada país. La tesis construye su propia cadena de cruce con las tablas comparativas oficiales del INEGI, por lo que este trabajo sirve como punto de comparación para los niveles de exposición en México.</w:t>
            </w:r>
          </w:p>
        </w:tc>
      </w:tr>
      <w:tr>
        <w:trPr>
          <w:cantSplit w:val="true"/>
        </w:trPr>
        <w:tc>
          <w:tcPr>
            <w:tcW w:type="dxa" w:w="461"/>
            <w:shd w:val="clear" w:color="auto" w:fill="FFFFFF"/>
          </w:tcPr>
          <w:p>
            <w:pPr>
              <w:spacing w:line="240" w:lineRule="auto"/>
              <w:jc w:val="center"/>
            </w:pPr>
            <w:r>
              <w:rPr>
                <w:rFonts w:ascii="Times New Roman" w:hAnsi="Times New Roman" w:cs="Times New Roman" w:eastAsia="Times New Roman"/>
                <w:b w:val="0"/>
                <w:i w:val="0"/>
                <w:sz w:val="16"/>
              </w:rPr>
              <w:t>15</w:t>
            </w:r>
          </w:p>
        </w:tc>
        <w:tc>
          <w:tcPr>
            <w:tcW w:type="dxa" w:w="2088"/>
            <w:shd w:val="clear" w:color="auto" w:fill="FFFFFF"/>
          </w:tcPr>
          <w:p>
            <w:pPr>
              <w:spacing w:line="240" w:lineRule="auto"/>
              <w:jc w:val="left"/>
            </w:pPr>
            <w:r>
              <w:rPr>
                <w:rFonts w:ascii="Times New Roman" w:hAnsi="Times New Roman" w:cs="Times New Roman" w:eastAsia="Times New Roman"/>
                <w:b w:val="0"/>
                <w:i/>
                <w:sz w:val="16"/>
              </w:rPr>
              <w:t>“Mirror, mirror on the wall: Which jobs will AI replace after all?”: A new index of occupational exposure</w:t>
            </w:r>
          </w:p>
        </w:tc>
        <w:tc>
          <w:tcPr>
            <w:tcW w:type="dxa" w:w="1512"/>
            <w:shd w:val="clear" w:color="auto" w:fill="FFFFFF"/>
          </w:tcPr>
          <w:p>
            <w:pPr>
              <w:spacing w:line="240" w:lineRule="auto"/>
              <w:jc w:val="left"/>
            </w:pPr>
            <w:r>
              <w:rPr>
                <w:rFonts w:ascii="Times New Roman" w:hAnsi="Times New Roman" w:cs="Times New Roman" w:eastAsia="Times New Roman"/>
                <w:b w:val="0"/>
                <w:i w:val="0"/>
                <w:sz w:val="16"/>
              </w:rPr>
              <w:t>Miguel Benítez-Rueda y Eric Parrado</w:t>
            </w:r>
          </w:p>
        </w:tc>
        <w:tc>
          <w:tcPr>
            <w:tcW w:type="dxa" w:w="605"/>
            <w:shd w:val="clear" w:color="auto" w:fill="FFFFFF"/>
          </w:tcPr>
          <w:p>
            <w:pPr>
              <w:spacing w:line="240" w:lineRule="auto"/>
              <w:jc w:val="center"/>
            </w:pPr>
            <w:r>
              <w:rPr>
                <w:rFonts w:ascii="Times New Roman" w:hAnsi="Times New Roman" w:cs="Times New Roman" w:eastAsia="Times New Roman"/>
                <w:b w:val="0"/>
                <w:i w:val="0"/>
                <w:sz w:val="16"/>
              </w:rPr>
              <w:t>2024</w:t>
            </w:r>
          </w:p>
        </w:tc>
        <w:tc>
          <w:tcPr>
            <w:tcW w:type="dxa" w:w="1800"/>
            <w:shd w:val="clear" w:color="auto" w:fill="FFFFFF"/>
          </w:tcPr>
          <w:p>
            <w:pPr>
              <w:spacing w:line="240" w:lineRule="auto"/>
              <w:jc w:val="left"/>
            </w:pPr>
            <w:r>
              <w:rPr>
                <w:rFonts w:ascii="Times New Roman" w:hAnsi="Times New Roman" w:cs="Times New Roman" w:eastAsia="Times New Roman"/>
                <w:b w:val="0"/>
                <w:i w:val="0"/>
                <w:sz w:val="16"/>
              </w:rPr>
              <w:t>IDB Working Paper 1624. Banco Interamericano de Desarrollo</w:t>
            </w:r>
          </w:p>
        </w:tc>
        <w:tc>
          <w:tcPr>
            <w:tcW w:type="dxa" w:w="1728"/>
            <w:shd w:val="clear" w:color="auto" w:fill="FFFFFF"/>
          </w:tcPr>
          <w:p>
            <w:pPr>
              <w:spacing w:line="240" w:lineRule="auto"/>
              <w:jc w:val="left"/>
            </w:pPr>
            <w:r>
              <w:rPr>
                <w:rFonts w:ascii="Times New Roman" w:hAnsi="Times New Roman" w:cs="Times New Roman" w:eastAsia="Times New Roman"/>
                <w:b w:val="0"/>
                <w:i w:val="0"/>
                <w:sz w:val="16"/>
              </w:rPr>
              <w:t>https://publications.iadb.org (Working Paper IDB-WP-1624)</w:t>
            </w:r>
          </w:p>
        </w:tc>
        <w:tc>
          <w:tcPr>
            <w:tcW w:type="dxa" w:w="2808"/>
            <w:shd w:val="clear" w:color="auto" w:fill="FFFFFF"/>
          </w:tcPr>
          <w:p>
            <w:pPr>
              <w:spacing w:line="240" w:lineRule="auto"/>
              <w:jc w:val="left"/>
            </w:pPr>
            <w:r>
              <w:rPr>
                <w:rFonts w:ascii="Times New Roman" w:hAnsi="Times New Roman" w:cs="Times New Roman" w:eastAsia="Times New Roman"/>
                <w:b w:val="0"/>
                <w:i w:val="0"/>
                <w:sz w:val="16"/>
              </w:rPr>
              <w:t>Propone el índice GENOE, construido con encuestas sintéticas a modelos de lenguaje, y estima que alrededor de 16 millones de empleos en México están muy expuestos a la IA en un horizonte de un año.</w:t>
            </w:r>
          </w:p>
        </w:tc>
        <w:tc>
          <w:tcPr>
            <w:tcW w:type="dxa" w:w="3240"/>
            <w:shd w:val="clear" w:color="auto" w:fill="FFFFFF"/>
          </w:tcPr>
          <w:p>
            <w:pPr>
              <w:spacing w:line="240" w:lineRule="auto"/>
              <w:jc w:val="left"/>
            </w:pPr>
            <w:r>
              <w:rPr>
                <w:rFonts w:ascii="Times New Roman" w:hAnsi="Times New Roman" w:cs="Times New Roman" w:eastAsia="Times New Roman"/>
                <w:b w:val="0"/>
                <w:i w:val="0"/>
                <w:sz w:val="16"/>
              </w:rPr>
              <w:t>Usa los propios modelos de lenguaje como evaluadores expertos para estimar la probabilidad de reemplazo de cada ocupación en horizontes de uno, cinco y diez años, considerando también factores sociales y regulatorios. Aporta una cifra para México y un enfoque temporal comparable con la capa dinámica del índice cognitivo de la tesis.</w:t>
            </w:r>
          </w:p>
        </w:tc>
      </w:tr>
      <w:tr>
        <w:trPr>
          <w:cantSplit w:val="true"/>
        </w:trPr>
        <w:tc>
          <w:tcPr>
            <w:tcW w:type="dxa" w:w="461"/>
            <w:shd w:val="clear" w:color="auto" w:fill="F2F2F2"/>
          </w:tcPr>
          <w:p>
            <w:pPr>
              <w:spacing w:line="240" w:lineRule="auto"/>
              <w:jc w:val="center"/>
            </w:pPr>
            <w:r>
              <w:rPr>
                <w:rFonts w:ascii="Times New Roman" w:hAnsi="Times New Roman" w:cs="Times New Roman" w:eastAsia="Times New Roman"/>
                <w:b w:val="0"/>
                <w:i w:val="0"/>
                <w:sz w:val="16"/>
              </w:rPr>
              <w:t>16</w:t>
            </w:r>
          </w:p>
        </w:tc>
        <w:tc>
          <w:tcPr>
            <w:tcW w:type="dxa" w:w="2088"/>
            <w:shd w:val="clear" w:color="auto" w:fill="F2F2F2"/>
          </w:tcPr>
          <w:p>
            <w:pPr>
              <w:spacing w:line="240" w:lineRule="auto"/>
              <w:jc w:val="left"/>
            </w:pPr>
            <w:r>
              <w:rPr>
                <w:rFonts w:ascii="Times New Roman" w:hAnsi="Times New Roman" w:cs="Times New Roman" w:eastAsia="Times New Roman"/>
                <w:b w:val="0"/>
                <w:i/>
                <w:sz w:val="16"/>
              </w:rPr>
              <w:t>Which economic tasks are performed with AI? Evidence from millions of Claude conversations</w:t>
            </w:r>
          </w:p>
        </w:tc>
        <w:tc>
          <w:tcPr>
            <w:tcW w:type="dxa" w:w="1512"/>
            <w:shd w:val="clear" w:color="auto" w:fill="F2F2F2"/>
          </w:tcPr>
          <w:p>
            <w:pPr>
              <w:spacing w:line="240" w:lineRule="auto"/>
              <w:jc w:val="left"/>
            </w:pPr>
            <w:r>
              <w:rPr>
                <w:rFonts w:ascii="Times New Roman" w:hAnsi="Times New Roman" w:cs="Times New Roman" w:eastAsia="Times New Roman"/>
                <w:b w:val="0"/>
                <w:i w:val="0"/>
                <w:sz w:val="16"/>
              </w:rPr>
              <w:t>Kunal Handa, Alex Tamkin, Miles McCain y colaboradores</w:t>
            </w:r>
          </w:p>
        </w:tc>
        <w:tc>
          <w:tcPr>
            <w:tcW w:type="dxa" w:w="605"/>
            <w:shd w:val="clear" w:color="auto" w:fill="F2F2F2"/>
          </w:tcPr>
          <w:p>
            <w:pPr>
              <w:spacing w:line="240" w:lineRule="auto"/>
              <w:jc w:val="center"/>
            </w:pPr>
            <w:r>
              <w:rPr>
                <w:rFonts w:ascii="Times New Roman" w:hAnsi="Times New Roman" w:cs="Times New Roman" w:eastAsia="Times New Roman"/>
                <w:b w:val="0"/>
                <w:i w:val="0"/>
                <w:sz w:val="16"/>
              </w:rPr>
              <w:t>2025</w:t>
            </w:r>
          </w:p>
        </w:tc>
        <w:tc>
          <w:tcPr>
            <w:tcW w:type="dxa" w:w="1800"/>
            <w:shd w:val="clear" w:color="auto" w:fill="F2F2F2"/>
          </w:tcPr>
          <w:p>
            <w:pPr>
              <w:spacing w:line="240" w:lineRule="auto"/>
              <w:jc w:val="left"/>
            </w:pPr>
            <w:r>
              <w:rPr>
                <w:rFonts w:ascii="Times New Roman" w:hAnsi="Times New Roman" w:cs="Times New Roman" w:eastAsia="Times New Roman"/>
                <w:b w:val="0"/>
                <w:i w:val="0"/>
                <w:sz w:val="16"/>
              </w:rPr>
              <w:t>arXiv (preprint, 2503.04761). Anthropic</w:t>
            </w:r>
          </w:p>
        </w:tc>
        <w:tc>
          <w:tcPr>
            <w:tcW w:type="dxa" w:w="1728"/>
            <w:shd w:val="clear" w:color="auto" w:fill="F2F2F2"/>
          </w:tcPr>
          <w:p>
            <w:pPr>
              <w:spacing w:line="240" w:lineRule="auto"/>
              <w:jc w:val="left"/>
            </w:pPr>
            <w:r>
              <w:rPr>
                <w:rFonts w:ascii="Times New Roman" w:hAnsi="Times New Roman" w:cs="Times New Roman" w:eastAsia="Times New Roman"/>
                <w:b w:val="0"/>
                <w:i w:val="0"/>
                <w:sz w:val="16"/>
              </w:rPr>
              <w:t>https://arxiv.org/abs/2503.04761</w:t>
            </w:r>
          </w:p>
        </w:tc>
        <w:tc>
          <w:tcPr>
            <w:tcW w:type="dxa" w:w="2808"/>
            <w:shd w:val="clear" w:color="auto" w:fill="F2F2F2"/>
          </w:tcPr>
          <w:p>
            <w:pPr>
              <w:spacing w:line="240" w:lineRule="auto"/>
              <w:jc w:val="left"/>
            </w:pPr>
            <w:r>
              <w:rPr>
                <w:rFonts w:ascii="Times New Roman" w:hAnsi="Times New Roman" w:cs="Times New Roman" w:eastAsia="Times New Roman"/>
                <w:b w:val="0"/>
                <w:i w:val="0"/>
                <w:sz w:val="16"/>
              </w:rPr>
              <w:t>Asocia millones de conversaciones con un asistente de IA a tareas de O*NET y encuentra que el uso se concentra en programación y escritura, que 36 % de las ocupaciones usa IA en al menos una cuarta parte de sus tareas y que 57 % del uso es de complemento.</w:t>
            </w:r>
          </w:p>
        </w:tc>
        <w:tc>
          <w:tcPr>
            <w:tcW w:type="dxa" w:w="3240"/>
            <w:shd w:val="clear" w:color="auto" w:fill="F2F2F2"/>
          </w:tcPr>
          <w:p>
            <w:pPr>
              <w:spacing w:line="240" w:lineRule="auto"/>
              <w:jc w:val="left"/>
            </w:pPr>
            <w:r>
              <w:rPr>
                <w:rFonts w:ascii="Times New Roman" w:hAnsi="Times New Roman" w:cs="Times New Roman" w:eastAsia="Times New Roman"/>
                <w:b w:val="0"/>
                <w:i w:val="0"/>
                <w:sz w:val="16"/>
              </w:rPr>
              <w:t>Es la primera medición del uso real de la IA por ocupación, no de su exposición potencial. La tesis lo utiliza como variable de validación externa de sus índices, ya que permite contrastar lo que la IA podría hacer con lo que las personas ya hacen con ella.</w:t>
            </w:r>
          </w:p>
        </w:tc>
      </w:tr>
    </w:tbl>
    <w:p>
      <w:pPr>
        <w:keepNext w:val="0"/>
        <w:spacing w:before="80" w:after="0" w:line="240" w:lineRule="auto"/>
        <w:jc w:val="left"/>
      </w:pPr>
      <w:r>
        <w:rPr>
          <w:rFonts w:ascii="Times New Roman" w:hAnsi="Times New Roman" w:cs="Times New Roman" w:eastAsia="Times New Roman"/>
          <w:b w:val="0"/>
          <w:i w:val="0"/>
          <w:sz w:val="16"/>
        </w:rPr>
        <w:t>Nota. Elaboración propia con base en los documentos consultados.</w:t>
      </w:r>
    </w:p>
    <w:p>
      <w:pPr>
        <w:sectPr>
          <w:pgSz w:w="15840" w:h="12240" w:orient="landscape"/>
          <w:pgMar w:top="1417" w:right="1417" w:bottom="1417" w:left="1701" w:header="720" w:footer="720" w:gutter="0"/>
          <w:cols w:space="720"/>
          <w:docGrid w:linePitch="360"/>
        </w:sectPr>
      </w:pPr>
    </w:p>
    <w:p>
      <w:pPr>
        <w:keepNext/>
        <w:spacing w:before="240" w:after="120" w:line="480" w:lineRule="auto"/>
        <w:jc w:val="center"/>
      </w:pPr>
      <w:r>
        <w:rPr>
          <w:rFonts w:ascii="Times New Roman" w:hAnsi="Times New Roman" w:cs="Times New Roman" w:eastAsia="Times New Roman"/>
          <w:b/>
          <w:i w:val="0"/>
          <w:sz w:val="28"/>
        </w:rPr>
        <w:t>IV. ANÁLISIS DE LOS MATERIALES</w:t>
      </w:r>
    </w:p>
    <w:p>
      <w:pPr>
        <w:keepNext w:val="0"/>
        <w:spacing w:before="0" w:after="0" w:line="480" w:lineRule="auto"/>
        <w:ind w:firstLine="709"/>
        <w:jc w:val="both"/>
      </w:pPr>
      <w:r>
        <w:rPr>
          <w:rFonts w:ascii="Times New Roman" w:hAnsi="Times New Roman" w:cs="Times New Roman" w:eastAsia="Times New Roman"/>
          <w:b w:val="0"/>
          <w:i w:val="0"/>
          <w:sz w:val="24"/>
        </w:rPr>
        <w:t>La revisión muestra que la literatura ha avanzado en tres etapas. La primera, iniciada por Autor, Levy y Murnane (2003), estableció que la tecnología sustituye tareas y no ocupaciones completas, y que las tareas rutinarias son las más vulnerables. Sobre esa base, Frey y Osborne (2017) estimaron por primera vez la probabilidad de automatización de cada ocupación, aunque con una medida estática que dependía del juicio de expertos y que consideraba al trabajo cognitivo no rutinario como protegido.</w:t>
      </w:r>
    </w:p>
    <w:p>
      <w:pPr>
        <w:keepNext w:val="0"/>
        <w:spacing w:before="0" w:after="0" w:line="480" w:lineRule="auto"/>
        <w:ind w:firstLine="709"/>
        <w:jc w:val="both"/>
      </w:pPr>
      <w:r>
        <w:rPr>
          <w:rFonts w:ascii="Times New Roman" w:hAnsi="Times New Roman" w:cs="Times New Roman" w:eastAsia="Times New Roman"/>
          <w:b w:val="0"/>
          <w:i w:val="0"/>
          <w:sz w:val="24"/>
        </w:rPr>
        <w:t>La segunda etapa incorporó el razonamiento económico y la evidencia causal. Acemoglu y Restrepo (2018, 2019) mostraron que el efecto neto de la automatización depende del balance entre el desplazamiento y la creación de tareas nuevas, y que la sustitución solo ocurre cuando es rentable. Los estudios empíricos sobre robots no son concluyentes en su signo: Graetz y Michaels (2018) encuentran ganancias de productividad sin pérdida agregada de horas, mientras que Acemoglu y Restrepo (2020) encuentran efectos negativos en el empleo local. Para México, Artuc et al. (2019) y Faber (2020) agregan un canal que es central para la tesis: la automatización en Estados Unidos afecta a la manufactura mexicana a través de la demanda de exportaciones, y el efecto recae sobre todo en operadores de maquinaria de baja escolaridad.</w:t>
      </w:r>
    </w:p>
    <w:p>
      <w:pPr>
        <w:keepNext w:val="0"/>
        <w:spacing w:before="0" w:after="0" w:line="480" w:lineRule="auto"/>
        <w:ind w:firstLine="709"/>
        <w:jc w:val="both"/>
      </w:pPr>
      <w:r>
        <w:rPr>
          <w:rFonts w:ascii="Times New Roman" w:hAnsi="Times New Roman" w:cs="Times New Roman" w:eastAsia="Times New Roman"/>
          <w:b w:val="0"/>
          <w:i w:val="0"/>
          <w:sz w:val="24"/>
        </w:rPr>
        <w:t>La tercera etapa responde a la llegada de los modelos de lenguaje. Webb (2020) documentó que la IA y los robots apuntan a ocupaciones distintas, y los trabajos de Eloundou et al. (2023), Felten et al. (2023) y Gmyrek et al. (2023) midieron una exposición que se concentra en ocupaciones administrativas y profesionales. Azuara et al. (2024) y Benítez-Rueda y Parrado (2024) trasladaron estas medidas a América Latina, y Handa et al. (2025) aportaron por primera vez datos de uso real. Brynjolfsson et al. (2021) ofrecen la clave para interpretar por qué estos efectos todavía no se reflejan con claridad en las estadísticas de empleo.</w:t>
      </w:r>
    </w:p>
    <w:p>
      <w:pPr>
        <w:keepNext w:val="0"/>
        <w:spacing w:before="0" w:after="0" w:line="480" w:lineRule="auto"/>
        <w:ind w:firstLine="709"/>
        <w:jc w:val="both"/>
      </w:pPr>
      <w:r>
        <w:rPr>
          <w:rFonts w:ascii="Times New Roman" w:hAnsi="Times New Roman" w:cs="Times New Roman" w:eastAsia="Times New Roman"/>
          <w:b w:val="0"/>
          <w:i w:val="0"/>
          <w:sz w:val="24"/>
        </w:rPr>
        <w:t>De la revisión se desprenden dos vacíos que la tesis busca atender. En primer lugar, la mayoría de los estudios analiza la robótica o la IA cognitiva por separado, aunque ambas pueden afectar a una misma rama manufacturera a través de ocupaciones distintas. En segundo lugar, en la revisión realizada no se identificó un análisis específico para la manufactura de Jalisco que combine la exposición de las ocupaciones con la rentabilidad de automatizar y con el contexto del nearshoring. La tesis propone un modelo que integra ambas fronteras tecnológicas para este sector.</w:t>
      </w:r>
    </w:p>
    <w:p>
      <w:pPr>
        <w:keepNext/>
        <w:spacing w:before="240" w:after="120" w:line="480" w:lineRule="auto"/>
        <w:jc w:val="center"/>
      </w:pPr>
      <w:r>
        <w:rPr>
          <w:rFonts w:ascii="Times New Roman" w:hAnsi="Times New Roman" w:cs="Times New Roman" w:eastAsia="Times New Roman"/>
          <w:b/>
          <w:i w:val="0"/>
          <w:sz w:val="28"/>
        </w:rPr>
        <w:t>V. REFERENCIAS</w:t>
      </w:r>
    </w:p>
    <w:p>
      <w:pPr>
        <w:spacing w:line="360" w:lineRule="auto" w:after="0"/>
        <w:ind w:left="709" w:hanging="709"/>
        <w:jc w:val="left"/>
      </w:pPr>
      <w:r>
        <w:rPr>
          <w:rFonts w:ascii="Times New Roman" w:hAnsi="Times New Roman" w:cs="Times New Roman" w:eastAsia="Times New Roman"/>
          <w:b w:val="0"/>
          <w:i w:val="0"/>
          <w:sz w:val="24"/>
        </w:rPr>
        <w:t>Acemoglu, D., &amp; Restrepo, P. (2018). The race between man and machine: Implications of technology for growth, factor shares, and employment. American Economic Review, 108(6), 1488-1542. https://doi.org/10.1257/aer.20160696</w:t>
      </w:r>
    </w:p>
    <w:p>
      <w:pPr>
        <w:spacing w:line="360" w:lineRule="auto" w:after="0"/>
        <w:ind w:left="709" w:hanging="709"/>
        <w:jc w:val="left"/>
      </w:pPr>
      <w:r>
        <w:rPr>
          <w:rFonts w:ascii="Times New Roman" w:hAnsi="Times New Roman" w:cs="Times New Roman" w:eastAsia="Times New Roman"/>
          <w:b w:val="0"/>
          <w:i w:val="0"/>
          <w:sz w:val="24"/>
        </w:rPr>
        <w:t>Acemoglu, D., &amp; Restrepo, P. (2019). Automation and new tasks: How technology displaces and reinstates labor. Journal of Economic Perspectives, 33(2), 3-30. https://doi.org/10.1257/jep.33.2.3</w:t>
      </w:r>
    </w:p>
    <w:p>
      <w:pPr>
        <w:spacing w:line="360" w:lineRule="auto" w:after="0"/>
        <w:ind w:left="709" w:hanging="709"/>
        <w:jc w:val="left"/>
      </w:pPr>
      <w:r>
        <w:rPr>
          <w:rFonts w:ascii="Times New Roman" w:hAnsi="Times New Roman" w:cs="Times New Roman" w:eastAsia="Times New Roman"/>
          <w:b w:val="0"/>
          <w:i w:val="0"/>
          <w:sz w:val="24"/>
        </w:rPr>
        <w:t>Acemoglu, D., &amp; Restrepo, P. (2020). Robots and jobs: Evidence from US labor markets. Journal of Political Economy, 128(6), 2188-2244. https://doi.org/10.1086/705716</w:t>
      </w:r>
    </w:p>
    <w:p>
      <w:pPr>
        <w:spacing w:line="360" w:lineRule="auto" w:after="0"/>
        <w:ind w:left="709" w:hanging="709"/>
        <w:jc w:val="left"/>
      </w:pPr>
      <w:r>
        <w:rPr>
          <w:rFonts w:ascii="Times New Roman" w:hAnsi="Times New Roman" w:cs="Times New Roman" w:eastAsia="Times New Roman"/>
          <w:b w:val="0"/>
          <w:i w:val="0"/>
          <w:sz w:val="24"/>
        </w:rPr>
        <w:t>Artuc, E., Christiaensen, L., &amp; Winkler, H. (2019). Does automation in rich countries hurt developing ones? Evidence from the U.S. and Mexico (Policy Research Working Paper 8741). Banco Mundial.</w:t>
      </w:r>
    </w:p>
    <w:p>
      <w:pPr>
        <w:spacing w:line="360" w:lineRule="auto" w:after="0"/>
        <w:ind w:left="709" w:hanging="709"/>
        <w:jc w:val="left"/>
      </w:pPr>
      <w:r>
        <w:rPr>
          <w:rFonts w:ascii="Times New Roman" w:hAnsi="Times New Roman" w:cs="Times New Roman" w:eastAsia="Times New Roman"/>
          <w:b w:val="0"/>
          <w:i w:val="0"/>
          <w:sz w:val="24"/>
        </w:rPr>
        <w:t>Autor, D. H., Levy, F., &amp; Murnane, R. J. (2003). The skill content of recent technological change: An empirical exploration. The Quarterly Journal of Economics, 118(4), 1279-1333. https://doi.org/10.1162/003355303322552801</w:t>
      </w:r>
    </w:p>
    <w:p>
      <w:pPr>
        <w:spacing w:line="360" w:lineRule="auto" w:after="0"/>
        <w:ind w:left="709" w:hanging="709"/>
        <w:jc w:val="left"/>
      </w:pPr>
      <w:r>
        <w:rPr>
          <w:rFonts w:ascii="Times New Roman" w:hAnsi="Times New Roman" w:cs="Times New Roman" w:eastAsia="Times New Roman"/>
          <w:b w:val="0"/>
          <w:i w:val="0"/>
          <w:sz w:val="24"/>
        </w:rPr>
        <w:t>Azuara, O., Ripani, L., &amp; Torres, E. (2024). AI and the increase of productivity and labor inequality in Latin America: Potential impact of large language models on Latin American workforce (IDB Discussion Paper 01076). Banco Interamericano de Desarrollo.</w:t>
      </w:r>
    </w:p>
    <w:p>
      <w:pPr>
        <w:spacing w:line="360" w:lineRule="auto" w:after="0"/>
        <w:ind w:left="709" w:hanging="709"/>
        <w:jc w:val="left"/>
      </w:pPr>
      <w:r>
        <w:rPr>
          <w:rFonts w:ascii="Times New Roman" w:hAnsi="Times New Roman" w:cs="Times New Roman" w:eastAsia="Times New Roman"/>
          <w:b w:val="0"/>
          <w:i w:val="0"/>
          <w:sz w:val="24"/>
        </w:rPr>
        <w:t>Benítez-Rueda, M., &amp; Parrado, E. (2024). “Mirror, mirror on the wall: Which jobs will AI replace after all?”: A new index of occupational exposure (IDB Working Paper 1624). Banco Interamericano de Desarrollo.</w:t>
      </w:r>
    </w:p>
    <w:p>
      <w:pPr>
        <w:spacing w:line="360" w:lineRule="auto" w:after="0"/>
        <w:ind w:left="709" w:hanging="709"/>
        <w:jc w:val="left"/>
      </w:pPr>
      <w:r>
        <w:rPr>
          <w:rFonts w:ascii="Times New Roman" w:hAnsi="Times New Roman" w:cs="Times New Roman" w:eastAsia="Times New Roman"/>
          <w:b w:val="0"/>
          <w:i w:val="0"/>
          <w:sz w:val="24"/>
        </w:rPr>
        <w:t>Brynjolfsson, E., Rock, D., &amp; Syverson, C. (2021). The productivity J-curve: How intangibles complement general purpose technologies. American Economic Journal: Macroeconomics, 13(1), 333-372. https://doi.org/10.1257/mac.20180386</w:t>
      </w:r>
    </w:p>
    <w:p>
      <w:pPr>
        <w:spacing w:line="360" w:lineRule="auto" w:after="0"/>
        <w:ind w:left="709" w:hanging="709"/>
        <w:jc w:val="left"/>
      </w:pPr>
      <w:r>
        <w:rPr>
          <w:rFonts w:ascii="Times New Roman" w:hAnsi="Times New Roman" w:cs="Times New Roman" w:eastAsia="Times New Roman"/>
          <w:b w:val="0"/>
          <w:i w:val="0"/>
          <w:sz w:val="24"/>
        </w:rPr>
        <w:t>Eloundou, T., Manning, S., Mishkin, P., &amp; Rock, D. (2023). GPTs are GPTs: An early look at the labor market impact potential of large language models. arXiv. https://arxiv.org/abs/2303.10130</w:t>
      </w:r>
    </w:p>
    <w:p>
      <w:pPr>
        <w:spacing w:line="360" w:lineRule="auto" w:after="0"/>
        <w:ind w:left="709" w:hanging="709"/>
        <w:jc w:val="left"/>
      </w:pPr>
      <w:r>
        <w:rPr>
          <w:rFonts w:ascii="Times New Roman" w:hAnsi="Times New Roman" w:cs="Times New Roman" w:eastAsia="Times New Roman"/>
          <w:b w:val="0"/>
          <w:i w:val="0"/>
          <w:sz w:val="24"/>
        </w:rPr>
        <w:t>Faber, M. (2020). Robots and reshoring: Evidence from Mexican labor markets. Journal of International Economics, 127, 103384. https://doi.org/10.1016/j.jinteco.2020.103384</w:t>
      </w:r>
    </w:p>
    <w:p>
      <w:pPr>
        <w:spacing w:line="360" w:lineRule="auto" w:after="0"/>
        <w:ind w:left="709" w:hanging="709"/>
        <w:jc w:val="left"/>
      </w:pPr>
      <w:r>
        <w:rPr>
          <w:rFonts w:ascii="Times New Roman" w:hAnsi="Times New Roman" w:cs="Times New Roman" w:eastAsia="Times New Roman"/>
          <w:b w:val="0"/>
          <w:i w:val="0"/>
          <w:sz w:val="24"/>
        </w:rPr>
        <w:t>Felten, E., Raj, M., &amp; Seamans, R. (2023). How will language modelers like ChatGPT affect occupations and industries? arXiv. https://arxiv.org/abs/2303.01157</w:t>
      </w:r>
    </w:p>
    <w:p>
      <w:pPr>
        <w:spacing w:line="360" w:lineRule="auto" w:after="0"/>
        <w:ind w:left="709" w:hanging="709"/>
        <w:jc w:val="left"/>
      </w:pPr>
      <w:r>
        <w:rPr>
          <w:rFonts w:ascii="Times New Roman" w:hAnsi="Times New Roman" w:cs="Times New Roman" w:eastAsia="Times New Roman"/>
          <w:b w:val="0"/>
          <w:i w:val="0"/>
          <w:sz w:val="24"/>
        </w:rPr>
        <w:t>Frey, C. B., &amp; Osborne, M. A. (2017). The future of employment: How susceptible are jobs to computerisation? Technological Forecasting and Social Change, 114, 254-280. https://doi.org/10.1016/j.techfore.2016.08.019</w:t>
      </w:r>
    </w:p>
    <w:p>
      <w:pPr>
        <w:spacing w:line="360" w:lineRule="auto" w:after="0"/>
        <w:ind w:left="709" w:hanging="709"/>
        <w:jc w:val="left"/>
      </w:pPr>
      <w:r>
        <w:rPr>
          <w:rFonts w:ascii="Times New Roman" w:hAnsi="Times New Roman" w:cs="Times New Roman" w:eastAsia="Times New Roman"/>
          <w:b w:val="0"/>
          <w:i w:val="0"/>
          <w:sz w:val="24"/>
        </w:rPr>
        <w:t>Gmyrek, P., Berg, J., &amp; Bescond, D. (2023). Generative AI and jobs: A global analysis of potential effects on job quantity and quality (ILO Working Paper 96). Organización Internacional del Trabajo. https://doi.org/10.54394/FHEM8239</w:t>
      </w:r>
    </w:p>
    <w:p>
      <w:pPr>
        <w:spacing w:line="360" w:lineRule="auto" w:after="0"/>
        <w:ind w:left="709" w:hanging="709"/>
        <w:jc w:val="left"/>
      </w:pPr>
      <w:r>
        <w:rPr>
          <w:rFonts w:ascii="Times New Roman" w:hAnsi="Times New Roman" w:cs="Times New Roman" w:eastAsia="Times New Roman"/>
          <w:b w:val="0"/>
          <w:i w:val="0"/>
          <w:sz w:val="24"/>
        </w:rPr>
        <w:t>Graetz, G., &amp; Michaels, G. (2018). Robots at work. The Review of Economics and Statistics, 100(5), 753-768. https://doi.org/10.1162/rest_a_00754</w:t>
      </w:r>
    </w:p>
    <w:p>
      <w:pPr>
        <w:spacing w:line="360" w:lineRule="auto" w:after="0"/>
        <w:ind w:left="709" w:hanging="709"/>
        <w:jc w:val="left"/>
      </w:pPr>
      <w:r>
        <w:rPr>
          <w:rFonts w:ascii="Times New Roman" w:hAnsi="Times New Roman" w:cs="Times New Roman" w:eastAsia="Times New Roman"/>
          <w:b w:val="0"/>
          <w:i w:val="0"/>
          <w:sz w:val="24"/>
        </w:rPr>
        <w:t>Handa, K., Tamkin, A., McCain, M., Huang, S., Durmus, E., Heck, S., Mueller, J., Hong, J., Ritchie, S., Belonax, T., Troy, K. K., Amodei, D., Kaplan, J., Clark, J., &amp; Ganguli, D. (2025). Which economic tasks are performed with AI? Evidence from millions of Claude conversations. arXiv. https://arxiv.org/abs/2503.04761</w:t>
      </w:r>
    </w:p>
    <w:p>
      <w:pPr>
        <w:spacing w:line="360" w:lineRule="auto" w:after="0"/>
        <w:ind w:left="709" w:hanging="709"/>
        <w:jc w:val="left"/>
      </w:pPr>
      <w:r>
        <w:rPr>
          <w:rFonts w:ascii="Times New Roman" w:hAnsi="Times New Roman" w:cs="Times New Roman" w:eastAsia="Times New Roman"/>
          <w:b w:val="0"/>
          <w:i w:val="0"/>
          <w:sz w:val="24"/>
        </w:rPr>
        <w:t>Webb, M. (2020). The impact of artificial intelligence on the labor market [Documento de trabajo]. Stanford University. https://www.michaelwebb.co/webb_ai.pdf</w:t>
      </w:r>
    </w:p>
    <w:sectPr w:rsidR="00AF3200" w:rsidRPr="00007695"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