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540"/>
        <w:gridCol w:w="8540"/>
      </w:tblGrid>
      <w:tr w:rsidR="00AF3200" w:rsidRPr="00007695" w14:paraId="5867A577" w14:textId="77777777">
        <w:tc>
          <w:tcPr>
            <w:tcW w:w="1300" w:type="dxa"/>
            <w:vAlign w:val="center"/>
          </w:tcPr>
          <w:p w14:paraId="46E4EC4F" w14:textId="77777777" w:rsidR="00AF3200" w:rsidRDefault="00000000">
            <w:pPr>
              <w:jc w:val="center"/>
            </w:pPr>
            <w:r>
              <w:rPr>
                <w:noProof/>
              </w:rPr>
              <w:drawing>
                <wp:inline distT="0" distB="0" distL="0" distR="0" wp14:anchorId="1C3858B4" wp14:editId="38AFACCF">
                  <wp:extent cx="841248" cy="8412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deg_flat.png"/>
                          <pic:cNvPicPr/>
                        </pic:nvPicPr>
                        <pic:blipFill>
                          <a:blip r:embed="rId6"/>
                          <a:stretch>
                            <a:fillRect/>
                          </a:stretch>
                        </pic:blipFill>
                        <pic:spPr>
                          <a:xfrm>
                            <a:off x="0" y="0"/>
                            <a:ext cx="841248" cy="841248"/>
                          </a:xfrm>
                          <a:prstGeom prst="rect">
                            <a:avLst/>
                          </a:prstGeom>
                        </pic:spPr>
                      </pic:pic>
                    </a:graphicData>
                  </a:graphic>
                </wp:inline>
              </w:drawing>
            </w:r>
          </w:p>
        </w:tc>
        <w:tc>
          <w:tcPr>
            <w:tcW w:w="8780" w:type="dxa"/>
            <w:vAlign w:val="center"/>
          </w:tcPr>
          <w:p w14:paraId="574A5EC0" w14:textId="77777777" w:rsidR="00AF3200" w:rsidRPr="00007695" w:rsidRDefault="00000000">
            <w:pPr>
              <w:spacing w:before="20" w:after="20"/>
              <w:rPr>
                <w:lang w:val="es-MX"/>
              </w:rPr>
            </w:pPr>
            <w:r w:rsidRPr="00007695">
              <w:rPr>
                <w:b/>
                <w:color w:val="1A237E"/>
                <w:sz w:val="24"/>
                <w:lang w:val="es-MX"/>
              </w:rPr>
              <w:t>Universidad de Guadalajara</w:t>
            </w:r>
          </w:p>
          <w:p w14:paraId="5B21D399" w14:textId="77777777" w:rsidR="00AF3200" w:rsidRPr="00007695" w:rsidRDefault="00000000">
            <w:pPr>
              <w:spacing w:before="20" w:after="20"/>
              <w:rPr>
                <w:lang w:val="es-MX"/>
              </w:rPr>
            </w:pPr>
            <w:r w:rsidRPr="00007695">
              <w:rPr>
                <w:color w:val="1A237E"/>
                <w:lang w:val="es-MX"/>
              </w:rPr>
              <w:t>Centro Universitario de Ciencias Económico-Administrativas</w:t>
            </w:r>
          </w:p>
          <w:p w14:paraId="3BBF8B58" w14:textId="4C7E1FC1" w:rsidR="00AF3200" w:rsidRPr="00007695" w:rsidRDefault="00000000">
            <w:pPr>
              <w:spacing w:before="20" w:after="20"/>
              <w:rPr>
                <w:lang w:val="es-MX"/>
              </w:rPr>
            </w:pPr>
            <w:r w:rsidRPr="00007695">
              <w:rPr>
                <w:color w:val="1A237E"/>
                <w:lang w:val="es-MX"/>
              </w:rPr>
              <w:t>Maestría en Ciencias de los Datos | 2° Semestre</w:t>
            </w:r>
          </w:p>
          <w:p w14:paraId="3E5184FD" w14:textId="77777777" w:rsidR="00AF3200" w:rsidRPr="00007695" w:rsidRDefault="00000000">
            <w:pPr>
              <w:spacing w:before="20" w:after="20"/>
              <w:rPr>
                <w:lang w:val="es-MX"/>
              </w:rPr>
            </w:pPr>
            <w:r w:rsidRPr="00007695">
              <w:rPr>
                <w:color w:val="1A237E"/>
                <w:lang w:val="es-MX"/>
              </w:rPr>
              <w:t>Materia: Tópicos Selectos de Grandes Bases de Datos</w:t>
            </w:r>
          </w:p>
        </w:tc>
      </w:tr>
    </w:tbl>
    <w:p w14:paraId="73B1CDEB" w14:textId="77777777" w:rsidR="00007695" w:rsidRDefault="00007695">
      <w:pPr>
        <w:pBdr>
          <w:bottom w:val="single" w:sz="6" w:space="1" w:color="F9A825"/>
        </w:pBdr>
        <w:spacing w:before="40" w:after="40"/>
        <w:rPr>
          <w:lang w:val="es-MX"/>
        </w:rPr>
      </w:pPr>
    </w:p>
    <w:p w14:paraId="36EECCA9" w14:textId="0811316B" w:rsidR="00007695" w:rsidRPr="00007695" w:rsidRDefault="00007695" w:rsidP="00007695">
      <w:pPr>
        <w:pBdr>
          <w:bottom w:val="single" w:sz="18" w:space="1" w:color="1A237E"/>
        </w:pBdr>
        <w:spacing w:before="80" w:after="40"/>
        <w:jc w:val="center"/>
        <w:rPr>
          <w:b/>
          <w:color w:val="1A237E"/>
          <w:sz w:val="30"/>
          <w:lang w:val="es-MX"/>
        </w:rPr>
      </w:pPr>
      <w:r>
        <w:rPr>
          <w:rFonts w:ascii="Calibri" w:hAnsi="Calibri"/>
          <w:b/>
          <w:color w:val="1F497D"/>
          <w:sz w:val="28"/>
        </w:rPr>
        <w:t>Actividad 6 — Decisión de Inversión en Riego</w:t>
        <w:br/>
        <w:t>para Productor de Caña de Azúcar en Pánuco</w:t>
      </w:r>
    </w:p>
    <w:p w14:paraId="56346EEE" w14:textId="77777777" w:rsidR="00007695" w:rsidRPr="00007695" w:rsidRDefault="00007695">
      <w:pPr>
        <w:pBdr>
          <w:bottom w:val="single" w:sz="6" w:space="1" w:color="F9A825"/>
        </w:pBdr>
        <w:spacing w:before="40" w:after="40"/>
        <w:rPr>
          <w:lang w:val="es-MX"/>
        </w:rPr>
      </w:pPr>
    </w:p>
    <w:tbl>
      <w:tblPr>
        <w:tblStyle w:val="TableGrid"/>
        <w:tblW w:w="0" w:type="auto"/>
        <w:tblLook w:val="04A0" w:firstRow="1" w:lastRow="0" w:firstColumn="1" w:lastColumn="0" w:noHBand="0" w:noVBand="1"/>
      </w:tblPr>
      <w:tblGrid>
        <w:gridCol w:w="1799"/>
        <w:gridCol w:w="8271"/>
      </w:tblGrid>
      <w:tr w:rsidR="00AF3200" w14:paraId="0EA24C6B" w14:textId="77777777">
        <w:tc>
          <w:tcPr>
            <w:tcW w:w="1800" w:type="dxa"/>
            <w:shd w:val="clear" w:color="auto" w:fill="E8EAF6"/>
          </w:tcPr>
          <w:p w14:paraId="0F0FA54E" w14:textId="77777777" w:rsidR="00AF3200" w:rsidRDefault="00000000">
            <w:pPr>
              <w:spacing w:before="40" w:after="40"/>
            </w:pPr>
            <w:proofErr w:type="spellStart"/>
            <w:r>
              <w:rPr>
                <w:b/>
                <w:color w:val="1A237E"/>
              </w:rPr>
              <w:t>Alumno</w:t>
            </w:r>
            <w:proofErr w:type="spellEnd"/>
            <w:r>
              <w:rPr>
                <w:b/>
                <w:color w:val="1A237E"/>
              </w:rPr>
              <w:t>:</w:t>
            </w:r>
          </w:p>
        </w:tc>
        <w:tc>
          <w:tcPr>
            <w:tcW w:w="8280" w:type="dxa"/>
            <w:shd w:val="clear" w:color="auto" w:fill="E8EAF6"/>
          </w:tcPr>
          <w:p w14:paraId="664560E0" w14:textId="77777777" w:rsidR="00AF3200" w:rsidRDefault="00000000">
            <w:pPr>
              <w:spacing w:before="40" w:after="40"/>
            </w:pPr>
            <w:r>
              <w:rPr>
                <w:color w:val="1A237E"/>
              </w:rPr>
              <w:t>Carlos Pulido Rosas</w:t>
            </w:r>
          </w:p>
        </w:tc>
      </w:tr>
      <w:tr w:rsidR="00AF3200" w:rsidRPr="00007695" w14:paraId="3135AEEB" w14:textId="77777777">
        <w:tc>
          <w:tcPr>
            <w:tcW w:w="1800" w:type="dxa"/>
            <w:shd w:val="clear" w:color="auto" w:fill="E8EAF6"/>
          </w:tcPr>
          <w:p w14:paraId="035A4C96" w14:textId="77777777" w:rsidR="00AF3200" w:rsidRDefault="00000000">
            <w:pPr>
              <w:spacing w:before="40" w:after="40"/>
            </w:pPr>
            <w:r>
              <w:rPr>
                <w:b/>
                <w:color w:val="1A237E"/>
              </w:rPr>
              <w:t>Fecha:</w:t>
            </w:r>
          </w:p>
        </w:tc>
        <w:tc>
          <w:tcPr>
            <w:tcW w:w="8280" w:type="dxa"/>
            <w:shd w:val="clear" w:color="auto" w:fill="E8EAF6"/>
          </w:tcPr>
          <w:p w14:paraId="3A38D44F" w14:textId="77777777" w:rsidR="00AF3200" w:rsidRPr="00007695" w:rsidRDefault="00000000">
            <w:pPr>
              <w:spacing w:before="40" w:after="40"/>
              <w:rPr>
                <w:lang w:val="es-MX"/>
              </w:rPr>
            </w:pPr>
            <w:r w:rsidRPr="00007695">
              <w:rPr>
                <w:color w:val="1A237E"/>
                <w:lang w:val="es-MX"/>
              </w:rPr>
              <w:t>21 de abril de 2026</w:t>
            </w:r>
          </w:p>
        </w:tc>
      </w:tr>
      <w:tr w:rsidR="00AF3200" w:rsidRPr="00007695" w14:paraId="0FA8133E" w14:textId="77777777">
        <w:tc>
          <w:tcPr>
            <w:tcW w:w="1800" w:type="dxa"/>
            <w:shd w:val="clear" w:color="auto" w:fill="E8EAF6"/>
          </w:tcPr>
          <w:p w14:paraId="73844D80" w14:textId="77777777" w:rsidR="00AF3200" w:rsidRDefault="00000000">
            <w:pPr>
              <w:spacing w:before="40" w:after="40"/>
            </w:pPr>
            <w:proofErr w:type="spellStart"/>
            <w:r>
              <w:rPr>
                <w:b/>
                <w:color w:val="1A237E"/>
              </w:rPr>
              <w:t>Actividad</w:t>
            </w:r>
            <w:proofErr w:type="spellEnd"/>
            <w:r>
              <w:rPr>
                <w:b/>
                <w:color w:val="1A237E"/>
              </w:rPr>
              <w:t>:</w:t>
            </w:r>
          </w:p>
        </w:tc>
        <w:tc>
          <w:tcPr>
            <w:tcW w:w="8280" w:type="dxa"/>
            <w:shd w:val="clear" w:color="auto" w:fill="E8EAF6"/>
          </w:tcPr>
          <w:p w14:paraId="359E296D" w14:textId="77777777" w:rsidR="00AF3200" w:rsidRPr="00007695" w:rsidRDefault="00000000">
            <w:pPr>
              <w:spacing w:before="40" w:after="40"/>
              <w:rPr>
                <w:lang w:val="es-MX"/>
              </w:rPr>
            </w:pPr>
            <w:r w:rsidRPr="00007695">
              <w:rPr>
                <w:color w:val="1A237E"/>
                <w:lang w:val="es-MX"/>
              </w:rPr>
              <w:t>Actividad 6 — Decisión de inversión en riego</w:t>
            </w:r>
          </w:p>
        </w:tc>
      </w:tr>
      <w:tr w:rsidR="00AF3200" w14:paraId="57F81E8B" w14:textId="77777777">
        <w:tc>
          <w:tcPr>
            <w:tcW w:w="1800" w:type="dxa"/>
            <w:shd w:val="clear" w:color="auto" w:fill="E8EAF6"/>
          </w:tcPr>
          <w:p w14:paraId="3DF6E06E" w14:textId="77777777" w:rsidR="00AF3200" w:rsidRDefault="00000000">
            <w:pPr>
              <w:spacing w:before="40" w:after="40"/>
            </w:pPr>
            <w:proofErr w:type="spellStart"/>
            <w:r>
              <w:rPr>
                <w:b/>
                <w:color w:val="1A237E"/>
              </w:rPr>
              <w:t>Herramienta</w:t>
            </w:r>
            <w:proofErr w:type="spellEnd"/>
            <w:r>
              <w:rPr>
                <w:b/>
                <w:color w:val="1A237E"/>
              </w:rPr>
              <w:t>:</w:t>
            </w:r>
          </w:p>
        </w:tc>
        <w:tc>
          <w:tcPr>
            <w:tcW w:w="8280" w:type="dxa"/>
            <w:shd w:val="clear" w:color="auto" w:fill="E8EAF6"/>
          </w:tcPr>
          <w:p w14:paraId="430CAA90" w14:textId="77777777" w:rsidR="00AF3200" w:rsidRDefault="00000000">
            <w:pPr>
              <w:spacing w:before="40" w:after="40"/>
            </w:pPr>
            <w:r>
              <w:rPr>
                <w:color w:val="1A237E"/>
              </w:rPr>
              <w:t>Python 3.13 / NumPy / python-docx</w:t>
            </w:r>
          </w:p>
        </w:tc>
      </w:tr>
      <w:tr w:rsidR="00AF3200" w14:paraId="70BC04B6" w14:textId="77777777">
        <w:tc>
          <w:tcPr>
            <w:tcW w:w="1800" w:type="dxa"/>
            <w:shd w:val="clear" w:color="auto" w:fill="E8EAF6"/>
          </w:tcPr>
          <w:p w14:paraId="64B8983B" w14:textId="77777777" w:rsidR="00AF3200" w:rsidRDefault="00000000">
            <w:pPr>
              <w:spacing w:before="40" w:after="40"/>
            </w:pPr>
            <w:r>
              <w:rPr>
                <w:b/>
                <w:color w:val="1A237E"/>
              </w:rPr>
              <w:t>Versión:</w:t>
            </w:r>
          </w:p>
        </w:tc>
        <w:tc>
          <w:tcPr>
            <w:tcW w:w="8280" w:type="dxa"/>
            <w:shd w:val="clear" w:color="auto" w:fill="E8EAF6"/>
          </w:tcPr>
          <w:p w14:paraId="18B4F231" w14:textId="77777777" w:rsidR="00AF3200" w:rsidRDefault="00000000">
            <w:pPr>
              <w:spacing w:before="40" w:after="40"/>
            </w:pPr>
            <w:r>
              <w:rPr>
                <w:color w:val="1A237E"/>
              </w:rPr>
              <w:t>conda env MCD — Python 3.13</w:t>
            </w:r>
          </w:p>
        </w:tc>
      </w:tr>
      <w:tr w:rsidR="00AF3200" w:rsidRPr="00007695" w14:paraId="066607D6" w14:textId="77777777">
        <w:tc>
          <w:tcPr>
            <w:tcW w:w="1800" w:type="dxa"/>
            <w:shd w:val="clear" w:color="auto" w:fill="E8EAF6"/>
          </w:tcPr>
          <w:p w14:paraId="780D9BD2" w14:textId="77777777" w:rsidR="00AF3200" w:rsidRDefault="00000000">
            <w:pPr>
              <w:spacing w:before="40" w:after="40"/>
            </w:pPr>
            <w:r>
              <w:rPr>
                <w:b/>
                <w:color w:val="1A237E"/>
              </w:rPr>
              <w:t>Entorno:</w:t>
            </w:r>
          </w:p>
        </w:tc>
        <w:tc>
          <w:tcPr>
            <w:tcW w:w="8280" w:type="dxa"/>
            <w:shd w:val="clear" w:color="auto" w:fill="E8EAF6"/>
          </w:tcPr>
          <w:p w14:paraId="3D1FC219" w14:textId="77777777" w:rsidR="00AF3200" w:rsidRPr="00007695" w:rsidRDefault="00000000">
            <w:pPr>
              <w:spacing w:before="40" w:after="40"/>
              <w:rPr>
                <w:lang w:val="es-MX"/>
              </w:rPr>
            </w:pPr>
            <w:r w:rsidRPr="00007695">
              <w:rPr>
                <w:color w:val="1A237E"/>
                <w:lang w:val="es-MX"/>
              </w:rPr>
              <w:t>Homelab (ThinkPad T14 Gen 4) — cálculo analítico + simulación</w:t>
            </w:r>
            <w:proofErr w:type="spellStart"/>
            <w:r w:rsidRPr="00007695">
              <w:rPr>
                <w:color w:val="1A237E"/>
                <w:lang w:val="es-MX"/>
              </w:rPr>
              <w:t>homelab</w:t>
            </w:r>
            <w:proofErr w:type="spellEnd"/>
            <w:r w:rsidRPr="00007695">
              <w:rPr>
                <w:color w:val="1A237E"/>
                <w:lang w:val="es-MX"/>
              </w:rPr>
              <w:t>, Docker, etc.]</w:t>
            </w:r>
          </w:p>
        </w:tc>
      </w:tr>
      <w:tr w:rsidR="00AF3200" w:rsidRPr="00007695" w14:paraId="75599C32" w14:textId="77777777">
        <w:tc>
          <w:tcPr>
            <w:tcW w:w="1800" w:type="dxa"/>
            <w:shd w:val="clear" w:color="auto" w:fill="E8EAF6"/>
          </w:tcPr>
          <w:p w14:paraId="13474C8D" w14:textId="77777777" w:rsidR="00AF3200" w:rsidRDefault="00000000">
            <w:pPr>
              <w:spacing w:before="40" w:after="40"/>
            </w:pPr>
            <w:r>
              <w:rPr>
                <w:b/>
                <w:color w:val="1A237E"/>
              </w:rPr>
              <w:t>Dataset:</w:t>
            </w:r>
          </w:p>
        </w:tc>
        <w:tc>
          <w:tcPr>
            <w:tcW w:w="8280" w:type="dxa"/>
            <w:shd w:val="clear" w:color="auto" w:fill="E8EAF6"/>
          </w:tcPr>
          <w:p w14:paraId="31506C5B" w14:textId="77777777" w:rsidR="00AF3200" w:rsidRPr="00007695" w:rsidRDefault="00000000">
            <w:pPr>
              <w:spacing w:before="40" w:after="40"/>
              <w:rPr>
                <w:lang w:val="es-MX"/>
              </w:rPr>
            </w:pPr>
            <w:r w:rsidRPr="00007695">
              <w:rPr>
                <w:color w:val="1A237E"/>
                <w:lang w:val="es-MX"/>
              </w:rPr>
              <w:t>Datos del caso: rendimientos y precios caña de azúcar, Pánuco, Veracruz</w:t>
            </w:r>
            <w:proofErr w:type="spellStart"/>
            <w:r w:rsidRPr="00007695">
              <w:rPr>
                <w:color w:val="1A237E"/>
                <w:lang w:val="es-MX"/>
              </w:rPr>
              <w:t>dataset</w:t>
            </w:r>
            <w:proofErr w:type="spellEnd"/>
            <w:r w:rsidRPr="00007695">
              <w:rPr>
                <w:color w:val="1A237E"/>
                <w:lang w:val="es-MX"/>
              </w:rPr>
              <w:t>]</w:t>
            </w:r>
          </w:p>
        </w:tc>
      </w:tr>
    </w:tbl>
    <w:p>
      <w:pPr>
        <w:spacing w:before="120" w:after="0"/>
        <w:jc w:val="both"/>
      </w:pPr>
    </w:p>
    <w:p>
      <w:pPr>
        <w:spacing w:before="240" w:after="80"/>
        <w:jc w:val="left"/>
      </w:pPr>
      <w:r>
        <w:rPr>
          <w:rFonts w:ascii="Calibri" w:hAnsi="Calibri"/>
          <w:b/>
          <w:i w:val="0"/>
          <w:color w:val="1F497D"/>
          <w:sz w:val="26"/>
        </w:rPr>
        <w:t>1. Planteamiento del caso</w:t>
      </w:r>
    </w:p>
    <w:p>
      <w:pPr>
        <w:spacing w:before="0" w:after="120"/>
        <w:jc w:val="both"/>
      </w:pPr>
      <w:r>
        <w:rPr>
          <w:rFonts w:ascii="Calibri" w:hAnsi="Calibri"/>
          <w:b w:val="0"/>
          <w:i w:val="0"/>
          <w:sz w:val="20"/>
        </w:rPr>
        <w:t>Un productor de caña de azúcar en el municipio de Pánuco, Veracruz, cultiva 100 hectáreas bajo condiciones de temporal y enfrenta una caída progresiva en sus rendimientos, pasando de 90 a 60 toneladas por hectárea por año en los últimos cinco años. Ante la mayor variabilidad climática, evalúa invertir en un sistema de riego con un costo de 4,000 USD/ha (80,000 MXN/ha, tipo de cambio 20 MXN/USD), lo que representa una inversión total de $8,000,000 MXN para las 100 hectáreas, desembolsada una sola vez al inicio del horizonte de análisis de 7 años.</w:t>
      </w:r>
    </w:p>
    <w:p>
      <w:pPr>
        <w:spacing w:before="0" w:after="120"/>
        <w:jc w:val="both"/>
      </w:pPr>
      <w:r>
        <w:rPr>
          <w:rFonts w:ascii="Calibri" w:hAnsi="Calibri"/>
          <w:b w:val="0"/>
          <w:i w:val="0"/>
          <w:sz w:val="20"/>
        </w:rPr>
        <w:t>El análisis considera tres fuentes de incertidumbre independientes entre sí: (1) el precio de la tonelada de caña, modelado como una distribución discreta uniforme sobre seis valores históricos observados; (2) la condición hídrica anual, con cuatro categorías de afectación (normal/anormal seca, sequía moderada, severa y extrema) y probabilidades 40%/30%/20%/10%; y (3) la ocurrencia de una tormenta severa con probabilidad del 5%, que destruye la cosecha completa independientemente de la alternativa.</w:t>
      </w:r>
    </w:p>
    <w:p>
      <w:pPr>
        <w:spacing w:before="160" w:after="80"/>
        <w:jc w:val="left"/>
      </w:pPr>
      <w:r>
        <w:rPr>
          <w:rFonts w:ascii="Calibri" w:hAnsi="Calibri"/>
          <w:b/>
          <w:i w:val="0"/>
          <w:color w:val="1F497D"/>
          <w:sz w:val="22"/>
        </w:rPr>
        <w:t>Parámetros del modelo</w:t>
      </w:r>
    </w:p>
    <w:tbl>
      <w:tblPr>
        <w:tblStyle w:val="TableGrid"/>
        <w:tblW w:type="auto" w:w="0"/>
        <w:jc w:val="center"/>
        <w:tblLook w:firstColumn="1" w:firstRow="1" w:lastColumn="0" w:lastRow="0" w:noHBand="0" w:noVBand="1" w:val="04A0"/>
      </w:tblPr>
      <w:tblGrid>
        <w:gridCol w:w="5040"/>
        <w:gridCol w:w="5040"/>
      </w:tblGrid>
      <w:tr>
        <w:tc>
          <w:tcPr>
            <w:tcW w:type="dxa" w:w="5040"/>
            <w:shd w:val="clear" w:color="auto" w:fill="1F497D"/>
          </w:tcPr>
          <w:p>
            <w:pPr>
              <w:jc w:val="center"/>
            </w:pPr>
            <w:r>
              <w:rPr>
                <w:rFonts w:ascii="Calibri" w:hAnsi="Calibri"/>
                <w:b/>
                <w:color w:val="FFFFFF"/>
                <w:sz w:val="18"/>
              </w:rPr>
              <w:t>Parámetro</w:t>
            </w:r>
          </w:p>
        </w:tc>
        <w:tc>
          <w:tcPr>
            <w:tcW w:type="dxa" w:w="5040"/>
            <w:shd w:val="clear" w:color="auto" w:fill="1F497D"/>
          </w:tcPr>
          <w:p>
            <w:pPr>
              <w:jc w:val="center"/>
            </w:pPr>
            <w:r>
              <w:rPr>
                <w:rFonts w:ascii="Calibri" w:hAnsi="Calibri"/>
                <w:b/>
                <w:color w:val="FFFFFF"/>
                <w:sz w:val="18"/>
              </w:rPr>
              <w:t>Valor</w:t>
            </w:r>
          </w:p>
        </w:tc>
      </w:tr>
      <w:tr>
        <w:tc>
          <w:tcPr>
            <w:tcW w:type="dxa" w:w="5040"/>
            <w:shd w:val="clear" w:color="auto" w:fill="FFFFFF"/>
          </w:tcPr>
          <w:p>
            <w:pPr>
              <w:jc w:val="center"/>
            </w:pPr>
            <w:r>
              <w:rPr>
                <w:rFonts w:ascii="Calibri" w:hAnsi="Calibri"/>
                <w:sz w:val="18"/>
              </w:rPr>
              <w:t>Superficie total</w:t>
            </w:r>
          </w:p>
        </w:tc>
        <w:tc>
          <w:tcPr>
            <w:tcW w:type="dxa" w:w="5040"/>
            <w:shd w:val="clear" w:color="auto" w:fill="FFFFFF"/>
          </w:tcPr>
          <w:p>
            <w:pPr>
              <w:jc w:val="center"/>
            </w:pPr>
            <w:r>
              <w:rPr>
                <w:rFonts w:ascii="Calibri" w:hAnsi="Calibri"/>
                <w:sz w:val="18"/>
              </w:rPr>
              <w:t>100 ha</w:t>
            </w:r>
          </w:p>
        </w:tc>
      </w:tr>
      <w:tr>
        <w:tc>
          <w:tcPr>
            <w:tcW w:type="dxa" w:w="5040"/>
            <w:shd w:val="clear" w:color="auto" w:fill="F2F2F2"/>
          </w:tcPr>
          <w:p>
            <w:pPr>
              <w:jc w:val="center"/>
            </w:pPr>
            <w:r>
              <w:rPr>
                <w:rFonts w:ascii="Calibri" w:hAnsi="Calibri"/>
                <w:sz w:val="18"/>
              </w:rPr>
              <w:t>Horizonte de análisis</w:t>
            </w:r>
          </w:p>
        </w:tc>
        <w:tc>
          <w:tcPr>
            <w:tcW w:type="dxa" w:w="5040"/>
            <w:shd w:val="clear" w:color="auto" w:fill="F2F2F2"/>
          </w:tcPr>
          <w:p>
            <w:pPr>
              <w:jc w:val="center"/>
            </w:pPr>
            <w:r>
              <w:rPr>
                <w:rFonts w:ascii="Calibri" w:hAnsi="Calibri"/>
                <w:sz w:val="18"/>
              </w:rPr>
              <w:t>7 años</w:t>
            </w:r>
          </w:p>
        </w:tc>
      </w:tr>
      <w:tr>
        <w:tc>
          <w:tcPr>
            <w:tcW w:type="dxa" w:w="5040"/>
            <w:shd w:val="clear" w:color="auto" w:fill="FFFFFF"/>
          </w:tcPr>
          <w:p>
            <w:pPr>
              <w:jc w:val="center"/>
            </w:pPr>
            <w:r>
              <w:rPr>
                <w:rFonts w:ascii="Calibri" w:hAnsi="Calibri"/>
                <w:sz w:val="18"/>
              </w:rPr>
              <w:t>Inversión sistema de riego</w:t>
            </w:r>
          </w:p>
        </w:tc>
        <w:tc>
          <w:tcPr>
            <w:tcW w:type="dxa" w:w="5040"/>
            <w:shd w:val="clear" w:color="auto" w:fill="FFFFFF"/>
          </w:tcPr>
          <w:p>
            <w:pPr>
              <w:jc w:val="center"/>
            </w:pPr>
            <w:r>
              <w:rPr>
                <w:rFonts w:ascii="Calibri" w:hAnsi="Calibri"/>
                <w:sz w:val="18"/>
              </w:rPr>
              <w:t>$80,000 MXN/ha  →  $8,000,000 MXN total</w:t>
            </w:r>
          </w:p>
        </w:tc>
      </w:tr>
      <w:tr>
        <w:tc>
          <w:tcPr>
            <w:tcW w:type="dxa" w:w="5040"/>
            <w:shd w:val="clear" w:color="auto" w:fill="F2F2F2"/>
          </w:tcPr>
          <w:p>
            <w:pPr>
              <w:jc w:val="center"/>
            </w:pPr>
            <w:r>
              <w:rPr>
                <w:rFonts w:ascii="Calibri" w:hAnsi="Calibri"/>
                <w:sz w:val="18"/>
              </w:rPr>
              <w:t>Costo anual — temporal</w:t>
            </w:r>
          </w:p>
        </w:tc>
        <w:tc>
          <w:tcPr>
            <w:tcW w:type="dxa" w:w="5040"/>
            <w:shd w:val="clear" w:color="auto" w:fill="F2F2F2"/>
          </w:tcPr>
          <w:p>
            <w:pPr>
              <w:jc w:val="center"/>
            </w:pPr>
            <w:r>
              <w:rPr>
                <w:rFonts w:ascii="Calibri" w:hAnsi="Calibri"/>
                <w:sz w:val="18"/>
              </w:rPr>
              <w:t>$38,000 MXN/ha/año</w:t>
            </w:r>
          </w:p>
        </w:tc>
      </w:tr>
      <w:tr>
        <w:tc>
          <w:tcPr>
            <w:tcW w:type="dxa" w:w="5040"/>
            <w:shd w:val="clear" w:color="auto" w:fill="FFFFFF"/>
          </w:tcPr>
          <w:p>
            <w:pPr>
              <w:jc w:val="center"/>
            </w:pPr>
            <w:r>
              <w:rPr>
                <w:rFonts w:ascii="Calibri" w:hAnsi="Calibri"/>
                <w:sz w:val="18"/>
              </w:rPr>
              <w:t>Costo anual — riego (operación + mant.)</w:t>
            </w:r>
          </w:p>
        </w:tc>
        <w:tc>
          <w:tcPr>
            <w:tcW w:type="dxa" w:w="5040"/>
            <w:shd w:val="clear" w:color="auto" w:fill="FFFFFF"/>
          </w:tcPr>
          <w:p>
            <w:pPr>
              <w:jc w:val="center"/>
            </w:pPr>
            <w:r>
              <w:rPr>
                <w:rFonts w:ascii="Calibri" w:hAnsi="Calibri"/>
                <w:sz w:val="18"/>
              </w:rPr>
              <w:t>$55,000 + $8,000 = $63,000 MXN/ha/año</w:t>
            </w:r>
          </w:p>
        </w:tc>
      </w:tr>
      <w:tr>
        <w:tc>
          <w:tcPr>
            <w:tcW w:type="dxa" w:w="5040"/>
            <w:shd w:val="clear" w:color="auto" w:fill="F2F2F2"/>
          </w:tcPr>
          <w:p>
            <w:pPr>
              <w:jc w:val="center"/>
            </w:pPr>
            <w:r>
              <w:rPr>
                <w:rFonts w:ascii="Calibri" w:hAnsi="Calibri"/>
                <w:sz w:val="18"/>
              </w:rPr>
              <w:t>Probabilidad tormenta severa</w:t>
            </w:r>
          </w:p>
        </w:tc>
        <w:tc>
          <w:tcPr>
            <w:tcW w:type="dxa" w:w="5040"/>
            <w:shd w:val="clear" w:color="auto" w:fill="F2F2F2"/>
          </w:tcPr>
          <w:p>
            <w:pPr>
              <w:jc w:val="center"/>
            </w:pPr>
            <w:r>
              <w:rPr>
                <w:rFonts w:ascii="Calibri" w:hAnsi="Calibri"/>
                <w:sz w:val="18"/>
              </w:rPr>
              <w:t>5%</w:t>
            </w:r>
          </w:p>
        </w:tc>
      </w:tr>
      <w:tr>
        <w:tc>
          <w:tcPr>
            <w:tcW w:type="dxa" w:w="5040"/>
            <w:shd w:val="clear" w:color="auto" w:fill="FFFFFF"/>
          </w:tcPr>
          <w:p>
            <w:pPr>
              <w:jc w:val="center"/>
            </w:pPr>
            <w:r>
              <w:rPr>
                <w:rFonts w:ascii="Calibri" w:hAnsi="Calibri"/>
                <w:sz w:val="18"/>
              </w:rPr>
              <w:t>Precios históricos observados (MXN/ton)</w:t>
            </w:r>
          </w:p>
        </w:tc>
        <w:tc>
          <w:tcPr>
            <w:tcW w:type="dxa" w:w="5040"/>
            <w:shd w:val="clear" w:color="auto" w:fill="FFFFFF"/>
          </w:tcPr>
          <w:p>
            <w:pPr>
              <w:jc w:val="center"/>
            </w:pPr>
            <w:r>
              <w:rPr>
                <w:rFonts w:ascii="Calibri" w:hAnsi="Calibri"/>
                <w:sz w:val="18"/>
              </w:rPr>
              <w:t>701.49 · 757.16 · 755.59 · 900.95 · 829.39 · 897.65</w:t>
            </w:r>
          </w:p>
        </w:tc>
      </w:tr>
      <w:tr>
        <w:tc>
          <w:tcPr>
            <w:tcW w:type="dxa" w:w="5040"/>
            <w:shd w:val="clear" w:color="auto" w:fill="F2F2F2"/>
          </w:tcPr>
          <w:p>
            <w:pPr>
              <w:jc w:val="center"/>
            </w:pPr>
            <w:r>
              <w:rPr>
                <w:rFonts w:ascii="Calibri" w:hAnsi="Calibri"/>
                <w:sz w:val="18"/>
              </w:rPr>
              <w:t>Precio esperado E[precio]</w:t>
            </w:r>
          </w:p>
        </w:tc>
        <w:tc>
          <w:tcPr>
            <w:tcW w:type="dxa" w:w="5040"/>
            <w:shd w:val="clear" w:color="auto" w:fill="F2F2F2"/>
          </w:tcPr>
          <w:p>
            <w:pPr>
              <w:jc w:val="center"/>
            </w:pPr>
            <w:r>
              <w:rPr>
                <w:rFonts w:ascii="Calibri" w:hAnsi="Calibri"/>
                <w:sz w:val="18"/>
              </w:rPr>
              <w:t>$807.04 MXN/ton</w:t>
            </w:r>
          </w:p>
        </w:tc>
      </w:tr>
    </w:tbl>
    <w:p>
      <w:pPr>
        <w:spacing w:before="40" w:after="160"/>
        <w:jc w:val="left"/>
      </w:pPr>
      <w:r>
        <w:rPr>
          <w:rFonts w:ascii="Calibri" w:hAnsi="Calibri"/>
          <w:b w:val="0"/>
          <w:i/>
          <w:color w:val="404040"/>
          <w:sz w:val="18"/>
        </w:rPr>
        <w:t>Tabla 1 — Parámetros del modelo de decisión</w:t>
      </w:r>
    </w:p>
    <w:p>
      <w:pPr>
        <w:spacing w:before="240" w:after="80"/>
        <w:jc w:val="left"/>
      </w:pPr>
      <w:r>
        <w:rPr>
          <w:rFonts w:ascii="Calibri" w:hAnsi="Calibri"/>
          <w:b/>
          <w:i w:val="0"/>
          <w:color w:val="1F497D"/>
          <w:sz w:val="26"/>
        </w:rPr>
        <w:t>2. Árbol de decisión</w:t>
      </w:r>
    </w:p>
    <w:p>
      <w:pPr>
        <w:spacing w:before="0" w:after="120"/>
        <w:jc w:val="both"/>
      </w:pPr>
      <w:r>
        <w:rPr>
          <w:rFonts w:ascii="Calibri" w:hAnsi="Calibri"/>
          <w:b w:val="0"/>
          <w:i w:val="0"/>
          <w:sz w:val="20"/>
        </w:rPr>
        <w:t>El árbol de decisión tiene dos alternativas en el nodo raíz: (A) no invertir en riego (temporal) y (B) invertir en sistema de riego. En cada rama, el primer nodo de azar corresponde a la ocurrencia de una tormenta severa (P = 5%). Si no hay tormenta (P = 95%), se ramifica en cuatro nodos de condición hídrica. En la alternativa con riego, bajo condiciones normales o anormalmente secas existe un nodo adicional de azar con tres posibles rendimientos (90, 120 y 200 ton/ha con probabilidades 50%/30%/20%).</w:t>
      </w:r>
    </w:p>
    <w:p>
      <w:pPr>
        <w:spacing w:before="160" w:after="80"/>
        <w:jc w:val="left"/>
      </w:pPr>
      <w:r>
        <w:rPr>
          <w:rFonts w:ascii="Calibri" w:hAnsi="Calibri"/>
          <w:b/>
          <w:i w:val="0"/>
          <w:color w:val="1F497D"/>
          <w:sz w:val="22"/>
        </w:rPr>
        <w:t>Rendimientos por condición y alternativa (ton/ha/año)</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color="auto" w:fill="1F497D"/>
          </w:tcPr>
          <w:p>
            <w:pPr>
              <w:jc w:val="center"/>
            </w:pPr>
            <w:r>
              <w:rPr>
                <w:rFonts w:ascii="Calibri" w:hAnsi="Calibri"/>
                <w:b/>
                <w:color w:val="FFFFFF"/>
                <w:sz w:val="18"/>
              </w:rPr>
              <w:t>Condición hídrica</w:t>
            </w:r>
          </w:p>
        </w:tc>
        <w:tc>
          <w:tcPr>
            <w:tcW w:type="dxa" w:w="2520"/>
            <w:shd w:val="clear" w:color="auto" w:fill="1F497D"/>
          </w:tcPr>
          <w:p>
            <w:pPr>
              <w:jc w:val="center"/>
            </w:pPr>
            <w:r>
              <w:rPr>
                <w:rFonts w:ascii="Calibri" w:hAnsi="Calibri"/>
                <w:b/>
                <w:color w:val="FFFFFF"/>
                <w:sz w:val="18"/>
              </w:rPr>
              <w:t>P(condición)</w:t>
            </w:r>
          </w:p>
        </w:tc>
        <w:tc>
          <w:tcPr>
            <w:tcW w:type="dxa" w:w="2520"/>
            <w:shd w:val="clear" w:color="auto" w:fill="1F497D"/>
          </w:tcPr>
          <w:p>
            <w:pPr>
              <w:jc w:val="center"/>
            </w:pPr>
            <w:r>
              <w:rPr>
                <w:rFonts w:ascii="Calibri" w:hAnsi="Calibri"/>
                <w:b/>
                <w:color w:val="FFFFFF"/>
                <w:sz w:val="18"/>
              </w:rPr>
              <w:t>Temporal</w:t>
            </w:r>
          </w:p>
        </w:tc>
        <w:tc>
          <w:tcPr>
            <w:tcW w:type="dxa" w:w="2520"/>
            <w:shd w:val="clear" w:color="auto" w:fill="1F497D"/>
          </w:tcPr>
          <w:p>
            <w:pPr>
              <w:jc w:val="center"/>
            </w:pPr>
            <w:r>
              <w:rPr>
                <w:rFonts w:ascii="Calibri" w:hAnsi="Calibri"/>
                <w:b/>
                <w:color w:val="FFFFFF"/>
                <w:sz w:val="18"/>
              </w:rPr>
              <w:t>Riego</w:t>
            </w:r>
          </w:p>
        </w:tc>
      </w:tr>
      <w:tr>
        <w:tc>
          <w:tcPr>
            <w:tcW w:type="dxa" w:w="2520"/>
            <w:shd w:val="clear" w:color="auto" w:fill="FFFFFF"/>
          </w:tcPr>
          <w:p>
            <w:pPr>
              <w:jc w:val="center"/>
            </w:pPr>
            <w:r>
              <w:rPr>
                <w:rFonts w:ascii="Calibri" w:hAnsi="Calibri"/>
                <w:sz w:val="18"/>
              </w:rPr>
              <w:t>Tormenta severa (cualquier condición)</w:t>
            </w:r>
          </w:p>
        </w:tc>
        <w:tc>
          <w:tcPr>
            <w:tcW w:type="dxa" w:w="2520"/>
            <w:shd w:val="clear" w:color="auto" w:fill="FFFFFF"/>
          </w:tcPr>
          <w:p>
            <w:pPr>
              <w:jc w:val="center"/>
            </w:pPr>
            <w:r>
              <w:rPr>
                <w:rFonts w:ascii="Calibri" w:hAnsi="Calibri"/>
                <w:sz w:val="18"/>
              </w:rPr>
              <w:t>5%</w:t>
            </w:r>
          </w:p>
        </w:tc>
        <w:tc>
          <w:tcPr>
            <w:tcW w:type="dxa" w:w="2520"/>
            <w:shd w:val="clear" w:color="auto" w:fill="FFFFFF"/>
          </w:tcPr>
          <w:p>
            <w:pPr>
              <w:jc w:val="center"/>
            </w:pPr>
            <w:r>
              <w:rPr>
                <w:rFonts w:ascii="Calibri" w:hAnsi="Calibri"/>
                <w:sz w:val="18"/>
              </w:rPr>
              <w:t>0</w:t>
            </w:r>
          </w:p>
        </w:tc>
        <w:tc>
          <w:tcPr>
            <w:tcW w:type="dxa" w:w="2520"/>
            <w:shd w:val="clear" w:color="auto" w:fill="FFFFFF"/>
          </w:tcPr>
          <w:p>
            <w:pPr>
              <w:jc w:val="center"/>
            </w:pPr>
            <w:r>
              <w:rPr>
                <w:rFonts w:ascii="Calibri" w:hAnsi="Calibri"/>
                <w:sz w:val="18"/>
              </w:rPr>
              <w:t>0</w:t>
            </w:r>
          </w:p>
        </w:tc>
      </w:tr>
      <w:tr>
        <w:tc>
          <w:tcPr>
            <w:tcW w:type="dxa" w:w="2520"/>
            <w:shd w:val="clear" w:color="auto" w:fill="F2F2F2"/>
          </w:tcPr>
          <w:p>
            <w:pPr>
              <w:jc w:val="center"/>
            </w:pPr>
            <w:r>
              <w:rPr>
                <w:rFonts w:ascii="Calibri" w:hAnsi="Calibri"/>
                <w:sz w:val="18"/>
              </w:rPr>
              <w:t>Normal / anormal seca</w:t>
            </w:r>
          </w:p>
        </w:tc>
        <w:tc>
          <w:tcPr>
            <w:tcW w:type="dxa" w:w="2520"/>
            <w:shd w:val="clear" w:color="auto" w:fill="F2F2F2"/>
          </w:tcPr>
          <w:p>
            <w:pPr>
              <w:jc w:val="center"/>
            </w:pPr>
            <w:r>
              <w:rPr>
                <w:rFonts w:ascii="Calibri" w:hAnsi="Calibri"/>
                <w:sz w:val="18"/>
              </w:rPr>
              <w:t>40%</w:t>
            </w:r>
          </w:p>
        </w:tc>
        <w:tc>
          <w:tcPr>
            <w:tcW w:type="dxa" w:w="2520"/>
            <w:shd w:val="clear" w:color="auto" w:fill="F2F2F2"/>
          </w:tcPr>
          <w:p>
            <w:pPr>
              <w:jc w:val="center"/>
            </w:pPr>
            <w:r>
              <w:rPr>
                <w:rFonts w:ascii="Calibri" w:hAnsi="Calibri"/>
                <w:sz w:val="18"/>
              </w:rPr>
              <w:t>60</w:t>
            </w:r>
          </w:p>
        </w:tc>
        <w:tc>
          <w:tcPr>
            <w:tcW w:type="dxa" w:w="2520"/>
            <w:shd w:val="clear" w:color="auto" w:fill="F2F2F2"/>
          </w:tcPr>
          <w:p>
            <w:pPr>
              <w:jc w:val="center"/>
            </w:pPr>
            <w:r>
              <w:rPr>
                <w:rFonts w:ascii="Calibri" w:hAnsi="Calibri"/>
                <w:sz w:val="18"/>
              </w:rPr>
              <w:t>50%→90 · 30%→120 · 20%→200</w:t>
            </w:r>
          </w:p>
        </w:tc>
      </w:tr>
      <w:tr>
        <w:tc>
          <w:tcPr>
            <w:tcW w:type="dxa" w:w="2520"/>
            <w:shd w:val="clear" w:color="auto" w:fill="FFFFFF"/>
          </w:tcPr>
          <w:p>
            <w:pPr>
              <w:jc w:val="center"/>
            </w:pPr>
            <w:r>
              <w:rPr>
                <w:rFonts w:ascii="Calibri" w:hAnsi="Calibri"/>
                <w:sz w:val="18"/>
              </w:rPr>
              <w:t>Sequía moderada</w:t>
            </w:r>
          </w:p>
        </w:tc>
        <w:tc>
          <w:tcPr>
            <w:tcW w:type="dxa" w:w="2520"/>
            <w:shd w:val="clear" w:color="auto" w:fill="FFFFFF"/>
          </w:tcPr>
          <w:p>
            <w:pPr>
              <w:jc w:val="center"/>
            </w:pPr>
            <w:r>
              <w:rPr>
                <w:rFonts w:ascii="Calibri" w:hAnsi="Calibri"/>
                <w:sz w:val="18"/>
              </w:rPr>
              <w:t>30%</w:t>
            </w:r>
          </w:p>
        </w:tc>
        <w:tc>
          <w:tcPr>
            <w:tcW w:type="dxa" w:w="2520"/>
            <w:shd w:val="clear" w:color="auto" w:fill="FFFFFF"/>
          </w:tcPr>
          <w:p>
            <w:pPr>
              <w:jc w:val="center"/>
            </w:pPr>
            <w:r>
              <w:rPr>
                <w:rFonts w:ascii="Calibri" w:hAnsi="Calibri"/>
                <w:sz w:val="18"/>
              </w:rPr>
              <w:t>50</w:t>
            </w:r>
          </w:p>
        </w:tc>
        <w:tc>
          <w:tcPr>
            <w:tcW w:type="dxa" w:w="2520"/>
            <w:shd w:val="clear" w:color="auto" w:fill="FFFFFF"/>
          </w:tcPr>
          <w:p>
            <w:pPr>
              <w:jc w:val="center"/>
            </w:pPr>
            <w:r>
              <w:rPr>
                <w:rFonts w:ascii="Calibri" w:hAnsi="Calibri"/>
                <w:sz w:val="18"/>
              </w:rPr>
              <w:t>90</w:t>
            </w:r>
          </w:p>
        </w:tc>
      </w:tr>
      <w:tr>
        <w:tc>
          <w:tcPr>
            <w:tcW w:type="dxa" w:w="2520"/>
            <w:shd w:val="clear" w:color="auto" w:fill="F2F2F2"/>
          </w:tcPr>
          <w:p>
            <w:pPr>
              <w:jc w:val="center"/>
            </w:pPr>
            <w:r>
              <w:rPr>
                <w:rFonts w:ascii="Calibri" w:hAnsi="Calibri"/>
                <w:sz w:val="18"/>
              </w:rPr>
              <w:t>Sequía severa</w:t>
            </w:r>
          </w:p>
        </w:tc>
        <w:tc>
          <w:tcPr>
            <w:tcW w:type="dxa" w:w="2520"/>
            <w:shd w:val="clear" w:color="auto" w:fill="F2F2F2"/>
          </w:tcPr>
          <w:p>
            <w:pPr>
              <w:jc w:val="center"/>
            </w:pPr>
            <w:r>
              <w:rPr>
                <w:rFonts w:ascii="Calibri" w:hAnsi="Calibri"/>
                <w:sz w:val="18"/>
              </w:rPr>
              <w:t>20%</w:t>
            </w:r>
          </w:p>
        </w:tc>
        <w:tc>
          <w:tcPr>
            <w:tcW w:type="dxa" w:w="2520"/>
            <w:shd w:val="clear" w:color="auto" w:fill="F2F2F2"/>
          </w:tcPr>
          <w:p>
            <w:pPr>
              <w:jc w:val="center"/>
            </w:pPr>
            <w:r>
              <w:rPr>
                <w:rFonts w:ascii="Calibri" w:hAnsi="Calibri"/>
                <w:sz w:val="18"/>
              </w:rPr>
              <w:t>40</w:t>
            </w:r>
          </w:p>
        </w:tc>
        <w:tc>
          <w:tcPr>
            <w:tcW w:type="dxa" w:w="2520"/>
            <w:shd w:val="clear" w:color="auto" w:fill="F2F2F2"/>
          </w:tcPr>
          <w:p>
            <w:pPr>
              <w:jc w:val="center"/>
            </w:pPr>
            <w:r>
              <w:rPr>
                <w:rFonts w:ascii="Calibri" w:hAnsi="Calibri"/>
                <w:sz w:val="18"/>
              </w:rPr>
              <w:t>70</w:t>
            </w:r>
          </w:p>
        </w:tc>
      </w:tr>
      <w:tr>
        <w:tc>
          <w:tcPr>
            <w:tcW w:type="dxa" w:w="2520"/>
            <w:shd w:val="clear" w:color="auto" w:fill="FFFFFF"/>
          </w:tcPr>
          <w:p>
            <w:pPr>
              <w:jc w:val="center"/>
            </w:pPr>
            <w:r>
              <w:rPr>
                <w:rFonts w:ascii="Calibri" w:hAnsi="Calibri"/>
                <w:sz w:val="18"/>
              </w:rPr>
              <w:t>Sequía extrema</w:t>
            </w:r>
          </w:p>
        </w:tc>
        <w:tc>
          <w:tcPr>
            <w:tcW w:type="dxa" w:w="2520"/>
            <w:shd w:val="clear" w:color="auto" w:fill="FFFFFF"/>
          </w:tcPr>
          <w:p>
            <w:pPr>
              <w:jc w:val="center"/>
            </w:pPr>
            <w:r>
              <w:rPr>
                <w:rFonts w:ascii="Calibri" w:hAnsi="Calibri"/>
                <w:sz w:val="18"/>
              </w:rPr>
              <w:t>10%</w:t>
            </w:r>
          </w:p>
        </w:tc>
        <w:tc>
          <w:tcPr>
            <w:tcW w:type="dxa" w:w="2520"/>
            <w:shd w:val="clear" w:color="auto" w:fill="FFFFFF"/>
          </w:tcPr>
          <w:p>
            <w:pPr>
              <w:jc w:val="center"/>
            </w:pPr>
            <w:r>
              <w:rPr>
                <w:rFonts w:ascii="Calibri" w:hAnsi="Calibri"/>
                <w:sz w:val="18"/>
              </w:rPr>
              <w:t>25</w:t>
            </w:r>
          </w:p>
        </w:tc>
        <w:tc>
          <w:tcPr>
            <w:tcW w:type="dxa" w:w="2520"/>
            <w:shd w:val="clear" w:color="auto" w:fill="FFFFFF"/>
          </w:tcPr>
          <w:p>
            <w:pPr>
              <w:jc w:val="center"/>
            </w:pPr>
            <w:r>
              <w:rPr>
                <w:rFonts w:ascii="Calibri" w:hAnsi="Calibri"/>
                <w:sz w:val="18"/>
              </w:rPr>
              <w:t>40</w:t>
            </w:r>
          </w:p>
        </w:tc>
      </w:tr>
    </w:tbl>
    <w:p>
      <w:pPr>
        <w:spacing w:before="40" w:after="160"/>
        <w:jc w:val="left"/>
      </w:pPr>
      <w:r>
        <w:rPr>
          <w:rFonts w:ascii="Calibri" w:hAnsi="Calibri"/>
          <w:b w:val="0"/>
          <w:i/>
          <w:color w:val="404040"/>
          <w:sz w:val="18"/>
        </w:rPr>
        <w:t>Tabla 2 — Rendimientos por escenario (ton/ha/año). Tormenta aplica sobre las probabilidades anteriores.</w:t>
      </w:r>
    </w:p>
    <w:p>
      <w:pPr>
        <w:spacing w:before="240" w:after="80"/>
        <w:jc w:val="left"/>
      </w:pPr>
      <w:r>
        <w:rPr>
          <w:rFonts w:ascii="Calibri" w:hAnsi="Calibri"/>
          <w:b/>
          <w:i w:val="0"/>
          <w:color w:val="1F497D"/>
          <w:sz w:val="26"/>
        </w:rPr>
        <w:t>3. Escenarios productivos y utilidad anual</w:t>
      </w:r>
    </w:p>
    <w:p>
      <w:pPr>
        <w:spacing w:before="0" w:after="120"/>
        <w:jc w:val="both"/>
      </w:pPr>
      <w:r>
        <w:rPr>
          <w:rFonts w:ascii="Calibri" w:hAnsi="Calibri"/>
          <w:b w:val="0"/>
          <w:i w:val="0"/>
          <w:sz w:val="20"/>
        </w:rPr>
        <w:t>La utilidad anual se calcula como: Utilidad = (Rendimiento × Precio − Costo/ha) × 100 ha. Se utiliza el precio esperado E[precio] = $807.04 MXN/ton para el cálculo analítico. Las probabilidades combinadas incorporan la independencia entre condición hídrica y tormenta: P(escenario) = P(tormenta o no) × P(condición hídrica) × P(sub-escenario riego si aplica).</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val="clear" w:color="auto" w:fill="1F497D"/>
          </w:tcPr>
          <w:p>
            <w:pPr>
              <w:jc w:val="center"/>
            </w:pPr>
            <w:r>
              <w:rPr>
                <w:rFonts w:ascii="Calibri" w:hAnsi="Calibri"/>
                <w:b/>
                <w:color w:val="FFFFFF"/>
                <w:sz w:val="18"/>
              </w:rPr>
              <w:t>Condición</w:t>
            </w:r>
          </w:p>
        </w:tc>
        <w:tc>
          <w:tcPr>
            <w:tcW w:type="dxa" w:w="1440"/>
            <w:shd w:val="clear" w:color="auto" w:fill="1F497D"/>
          </w:tcPr>
          <w:p>
            <w:pPr>
              <w:jc w:val="center"/>
            </w:pPr>
            <w:r>
              <w:rPr>
                <w:rFonts w:ascii="Calibri" w:hAnsi="Calibri"/>
                <w:b/>
                <w:color w:val="FFFFFF"/>
                <w:sz w:val="18"/>
              </w:rPr>
              <w:t>Sub-cond. riego</w:t>
            </w:r>
          </w:p>
        </w:tc>
        <w:tc>
          <w:tcPr>
            <w:tcW w:type="dxa" w:w="1440"/>
            <w:shd w:val="clear" w:color="auto" w:fill="1F497D"/>
          </w:tcPr>
          <w:p>
            <w:pPr>
              <w:jc w:val="center"/>
            </w:pPr>
            <w:r>
              <w:rPr>
                <w:rFonts w:ascii="Calibri" w:hAnsi="Calibri"/>
                <w:b/>
                <w:color w:val="FFFFFF"/>
                <w:sz w:val="18"/>
              </w:rPr>
              <w:t>P(escenario)</w:t>
            </w:r>
          </w:p>
        </w:tc>
        <w:tc>
          <w:tcPr>
            <w:tcW w:type="dxa" w:w="1440"/>
            <w:shd w:val="clear" w:color="auto" w:fill="1F497D"/>
          </w:tcPr>
          <w:p>
            <w:pPr>
              <w:jc w:val="center"/>
            </w:pPr>
            <w:r>
              <w:rPr>
                <w:rFonts w:ascii="Calibri" w:hAnsi="Calibri"/>
                <w:b/>
                <w:color w:val="FFFFFF"/>
                <w:sz w:val="18"/>
              </w:rPr>
              <w:t>Rend. Temporal</w:t>
            </w:r>
          </w:p>
        </w:tc>
        <w:tc>
          <w:tcPr>
            <w:tcW w:type="dxa" w:w="1440"/>
            <w:shd w:val="clear" w:color="auto" w:fill="1F497D"/>
          </w:tcPr>
          <w:p>
            <w:pPr>
              <w:jc w:val="center"/>
            </w:pPr>
            <w:r>
              <w:rPr>
                <w:rFonts w:ascii="Calibri" w:hAnsi="Calibri"/>
                <w:b/>
                <w:color w:val="FFFFFF"/>
                <w:sz w:val="18"/>
              </w:rPr>
              <w:t>Util. Temporal</w:t>
            </w:r>
          </w:p>
        </w:tc>
        <w:tc>
          <w:tcPr>
            <w:tcW w:type="dxa" w:w="1440"/>
            <w:shd w:val="clear" w:color="auto" w:fill="1F497D"/>
          </w:tcPr>
          <w:p>
            <w:pPr>
              <w:jc w:val="center"/>
            </w:pPr>
            <w:r>
              <w:rPr>
                <w:rFonts w:ascii="Calibri" w:hAnsi="Calibri"/>
                <w:b/>
                <w:color w:val="FFFFFF"/>
                <w:sz w:val="18"/>
              </w:rPr>
              <w:t>Rend. Riego</w:t>
            </w:r>
          </w:p>
        </w:tc>
        <w:tc>
          <w:tcPr>
            <w:tcW w:type="dxa" w:w="1440"/>
            <w:shd w:val="clear" w:color="auto" w:fill="1F497D"/>
          </w:tcPr>
          <w:p>
            <w:pPr>
              <w:jc w:val="center"/>
            </w:pPr>
            <w:r>
              <w:rPr>
                <w:rFonts w:ascii="Calibri" w:hAnsi="Calibri"/>
                <w:b/>
                <w:color w:val="FFFFFF"/>
                <w:sz w:val="18"/>
              </w:rPr>
              <w:t>Util. Riego</w:t>
            </w:r>
          </w:p>
        </w:tc>
      </w:tr>
      <w:tr>
        <w:tc>
          <w:tcPr>
            <w:tcW w:type="dxa" w:w="1440"/>
            <w:shd w:val="clear" w:color="auto" w:fill="FFFFFF"/>
          </w:tcPr>
          <w:p>
            <w:pPr>
              <w:jc w:val="center"/>
            </w:pPr>
            <w:r>
              <w:rPr>
                <w:rFonts w:ascii="Calibri" w:hAnsi="Calibri"/>
                <w:sz w:val="18"/>
              </w:rPr>
              <w:t>Tormenta severa</w:t>
            </w:r>
          </w:p>
        </w:tc>
        <w:tc>
          <w:tcPr>
            <w:tcW w:type="dxa" w:w="1440"/>
            <w:shd w:val="clear" w:color="auto" w:fill="FFFFFF"/>
          </w:tcPr>
          <w:p>
            <w:pPr>
              <w:jc w:val="center"/>
            </w:pPr>
            <w:r>
              <w:rPr>
                <w:rFonts w:ascii="Calibri" w:hAnsi="Calibri"/>
                <w:sz w:val="18"/>
              </w:rPr>
              <w:t>—</w:t>
            </w:r>
          </w:p>
        </w:tc>
        <w:tc>
          <w:tcPr>
            <w:tcW w:type="dxa" w:w="1440"/>
            <w:shd w:val="clear" w:color="auto" w:fill="FFFFFF"/>
          </w:tcPr>
          <w:p>
            <w:pPr>
              <w:jc w:val="center"/>
            </w:pPr>
            <w:r>
              <w:rPr>
                <w:rFonts w:ascii="Calibri" w:hAnsi="Calibri"/>
                <w:sz w:val="18"/>
              </w:rPr>
              <w:t>5.0%</w:t>
            </w:r>
          </w:p>
        </w:tc>
        <w:tc>
          <w:tcPr>
            <w:tcW w:type="dxa" w:w="1440"/>
            <w:shd w:val="clear" w:color="auto" w:fill="FFFFFF"/>
          </w:tcPr>
          <w:p>
            <w:pPr>
              <w:jc w:val="center"/>
            </w:pPr>
            <w:r>
              <w:rPr>
                <w:rFonts w:ascii="Calibri" w:hAnsi="Calibri"/>
                <w:sz w:val="18"/>
              </w:rPr>
              <w:t>0 ton/ha</w:t>
            </w:r>
          </w:p>
        </w:tc>
        <w:tc>
          <w:tcPr>
            <w:tcW w:type="dxa" w:w="1440"/>
            <w:shd w:val="clear" w:color="auto" w:fill="FFFFFF"/>
          </w:tcPr>
          <w:p>
            <w:pPr>
              <w:jc w:val="center"/>
            </w:pPr>
            <w:r>
              <w:rPr>
                <w:rFonts w:ascii="Calibri" w:hAnsi="Calibri"/>
                <w:sz w:val="18"/>
              </w:rPr>
              <w:t>-$3,800,000 MXN</w:t>
            </w:r>
          </w:p>
        </w:tc>
        <w:tc>
          <w:tcPr>
            <w:tcW w:type="dxa" w:w="1440"/>
            <w:shd w:val="clear" w:color="auto" w:fill="FFFFFF"/>
          </w:tcPr>
          <w:p>
            <w:pPr>
              <w:jc w:val="center"/>
            </w:pPr>
            <w:r>
              <w:rPr>
                <w:rFonts w:ascii="Calibri" w:hAnsi="Calibri"/>
                <w:sz w:val="18"/>
              </w:rPr>
              <w:t>0 ton/ha</w:t>
            </w:r>
          </w:p>
        </w:tc>
        <w:tc>
          <w:tcPr>
            <w:tcW w:type="dxa" w:w="1440"/>
            <w:shd w:val="clear" w:color="auto" w:fill="FFFFFF"/>
          </w:tcPr>
          <w:p>
            <w:pPr>
              <w:jc w:val="center"/>
            </w:pPr>
            <w:r>
              <w:rPr>
                <w:rFonts w:ascii="Calibri" w:hAnsi="Calibri"/>
                <w:sz w:val="18"/>
              </w:rPr>
              <w:t>-$6,300,000 MXN</w:t>
            </w:r>
          </w:p>
        </w:tc>
      </w:tr>
      <w:tr>
        <w:tc>
          <w:tcPr>
            <w:tcW w:type="dxa" w:w="1440"/>
            <w:shd w:val="clear" w:color="auto" w:fill="F2F2F2"/>
          </w:tcPr>
          <w:p>
            <w:pPr>
              <w:jc w:val="center"/>
            </w:pPr>
            <w:r>
              <w:rPr>
                <w:rFonts w:ascii="Calibri" w:hAnsi="Calibri"/>
                <w:sz w:val="18"/>
              </w:rPr>
              <w:t>Normal / anormal seca</w:t>
            </w:r>
          </w:p>
        </w:tc>
        <w:tc>
          <w:tcPr>
            <w:tcW w:type="dxa" w:w="1440"/>
            <w:shd w:val="clear" w:color="auto" w:fill="F2F2F2"/>
          </w:tcPr>
          <w:p>
            <w:pPr>
              <w:jc w:val="center"/>
            </w:pPr>
            <w:r>
              <w:rPr>
                <w:rFonts w:ascii="Calibri" w:hAnsi="Calibri"/>
                <w:sz w:val="18"/>
              </w:rPr>
              <w:t>90 ton/ha</w:t>
            </w:r>
          </w:p>
        </w:tc>
        <w:tc>
          <w:tcPr>
            <w:tcW w:type="dxa" w:w="1440"/>
            <w:shd w:val="clear" w:color="auto" w:fill="F2F2F2"/>
          </w:tcPr>
          <w:p>
            <w:pPr>
              <w:jc w:val="center"/>
            </w:pPr>
            <w:r>
              <w:rPr>
                <w:rFonts w:ascii="Calibri" w:hAnsi="Calibri"/>
                <w:sz w:val="18"/>
              </w:rPr>
              <w:t>19.0%</w:t>
            </w:r>
          </w:p>
        </w:tc>
        <w:tc>
          <w:tcPr>
            <w:tcW w:type="dxa" w:w="1440"/>
            <w:shd w:val="clear" w:color="auto" w:fill="F2F2F2"/>
          </w:tcPr>
          <w:p>
            <w:pPr>
              <w:jc w:val="center"/>
            </w:pPr>
            <w:r>
              <w:rPr>
                <w:rFonts w:ascii="Calibri" w:hAnsi="Calibri"/>
                <w:sz w:val="18"/>
              </w:rPr>
              <w:t>60 ton/ha</w:t>
            </w:r>
          </w:p>
        </w:tc>
        <w:tc>
          <w:tcPr>
            <w:tcW w:type="dxa" w:w="1440"/>
            <w:shd w:val="clear" w:color="auto" w:fill="F2F2F2"/>
          </w:tcPr>
          <w:p>
            <w:pPr>
              <w:jc w:val="center"/>
            </w:pPr>
            <w:r>
              <w:rPr>
                <w:rFonts w:ascii="Calibri" w:hAnsi="Calibri"/>
                <w:sz w:val="18"/>
              </w:rPr>
              <w:t>$1,042,230 MXN</w:t>
            </w:r>
          </w:p>
        </w:tc>
        <w:tc>
          <w:tcPr>
            <w:tcW w:type="dxa" w:w="1440"/>
            <w:shd w:val="clear" w:color="auto" w:fill="F2F2F2"/>
          </w:tcPr>
          <w:p>
            <w:pPr>
              <w:jc w:val="center"/>
            </w:pPr>
            <w:r>
              <w:rPr>
                <w:rFonts w:ascii="Calibri" w:hAnsi="Calibri"/>
                <w:sz w:val="18"/>
              </w:rPr>
              <w:t>90 ton/ha</w:t>
            </w:r>
          </w:p>
        </w:tc>
        <w:tc>
          <w:tcPr>
            <w:tcW w:type="dxa" w:w="1440"/>
            <w:shd w:val="clear" w:color="auto" w:fill="F2F2F2"/>
          </w:tcPr>
          <w:p>
            <w:pPr>
              <w:jc w:val="center"/>
            </w:pPr>
            <w:r>
              <w:rPr>
                <w:rFonts w:ascii="Calibri" w:hAnsi="Calibri"/>
                <w:sz w:val="18"/>
              </w:rPr>
              <w:t>$963,345 MXN</w:t>
            </w:r>
          </w:p>
        </w:tc>
      </w:tr>
      <w:tr>
        <w:tc>
          <w:tcPr>
            <w:tcW w:type="dxa" w:w="1440"/>
            <w:shd w:val="clear" w:color="auto" w:fill="FFFFFF"/>
          </w:tcPr>
          <w:p>
            <w:pPr>
              <w:jc w:val="center"/>
            </w:pPr>
            <w:r>
              <w:rPr>
                <w:rFonts w:ascii="Calibri" w:hAnsi="Calibri"/>
                <w:sz w:val="18"/>
              </w:rPr>
              <w:t>Normal / anormal seca</w:t>
            </w:r>
          </w:p>
        </w:tc>
        <w:tc>
          <w:tcPr>
            <w:tcW w:type="dxa" w:w="1440"/>
            <w:shd w:val="clear" w:color="auto" w:fill="FFFFFF"/>
          </w:tcPr>
          <w:p>
            <w:pPr>
              <w:jc w:val="center"/>
            </w:pPr>
            <w:r>
              <w:rPr>
                <w:rFonts w:ascii="Calibri" w:hAnsi="Calibri"/>
                <w:sz w:val="18"/>
              </w:rPr>
              <w:t>120 ton/ha</w:t>
            </w:r>
          </w:p>
        </w:tc>
        <w:tc>
          <w:tcPr>
            <w:tcW w:type="dxa" w:w="1440"/>
            <w:shd w:val="clear" w:color="auto" w:fill="FFFFFF"/>
          </w:tcPr>
          <w:p>
            <w:pPr>
              <w:jc w:val="center"/>
            </w:pPr>
            <w:r>
              <w:rPr>
                <w:rFonts w:ascii="Calibri" w:hAnsi="Calibri"/>
                <w:sz w:val="18"/>
              </w:rPr>
              <w:t>11.4%</w:t>
            </w:r>
          </w:p>
        </w:tc>
        <w:tc>
          <w:tcPr>
            <w:tcW w:type="dxa" w:w="1440"/>
            <w:shd w:val="clear" w:color="auto" w:fill="FFFFFF"/>
          </w:tcPr>
          <w:p>
            <w:pPr>
              <w:jc w:val="center"/>
            </w:pPr>
            <w:r>
              <w:rPr>
                <w:rFonts w:ascii="Calibri" w:hAnsi="Calibri"/>
                <w:sz w:val="18"/>
              </w:rPr>
              <w:t>60 ton/ha</w:t>
            </w:r>
          </w:p>
        </w:tc>
        <w:tc>
          <w:tcPr>
            <w:tcW w:type="dxa" w:w="1440"/>
            <w:shd w:val="clear" w:color="auto" w:fill="FFFFFF"/>
          </w:tcPr>
          <w:p>
            <w:pPr>
              <w:jc w:val="center"/>
            </w:pPr>
            <w:r>
              <w:rPr>
                <w:rFonts w:ascii="Calibri" w:hAnsi="Calibri"/>
                <w:sz w:val="18"/>
              </w:rPr>
              <w:t>$1,042,230 MXN</w:t>
            </w:r>
          </w:p>
        </w:tc>
        <w:tc>
          <w:tcPr>
            <w:tcW w:type="dxa" w:w="1440"/>
            <w:shd w:val="clear" w:color="auto" w:fill="FFFFFF"/>
          </w:tcPr>
          <w:p>
            <w:pPr>
              <w:jc w:val="center"/>
            </w:pPr>
            <w:r>
              <w:rPr>
                <w:rFonts w:ascii="Calibri" w:hAnsi="Calibri"/>
                <w:sz w:val="18"/>
              </w:rPr>
              <w:t>120 ton/ha</w:t>
            </w:r>
          </w:p>
        </w:tc>
        <w:tc>
          <w:tcPr>
            <w:tcW w:type="dxa" w:w="1440"/>
            <w:shd w:val="clear" w:color="auto" w:fill="FFFFFF"/>
          </w:tcPr>
          <w:p>
            <w:pPr>
              <w:jc w:val="center"/>
            </w:pPr>
            <w:r>
              <w:rPr>
                <w:rFonts w:ascii="Calibri" w:hAnsi="Calibri"/>
                <w:sz w:val="18"/>
              </w:rPr>
              <w:t>$3,384,460 MXN</w:t>
            </w:r>
          </w:p>
        </w:tc>
      </w:tr>
      <w:tr>
        <w:tc>
          <w:tcPr>
            <w:tcW w:type="dxa" w:w="1440"/>
            <w:shd w:val="clear" w:color="auto" w:fill="F2F2F2"/>
          </w:tcPr>
          <w:p>
            <w:pPr>
              <w:jc w:val="center"/>
            </w:pPr>
            <w:r>
              <w:rPr>
                <w:rFonts w:ascii="Calibri" w:hAnsi="Calibri"/>
                <w:sz w:val="18"/>
              </w:rPr>
              <w:t>Normal / anormal seca</w:t>
            </w:r>
          </w:p>
        </w:tc>
        <w:tc>
          <w:tcPr>
            <w:tcW w:type="dxa" w:w="1440"/>
            <w:shd w:val="clear" w:color="auto" w:fill="F2F2F2"/>
          </w:tcPr>
          <w:p>
            <w:pPr>
              <w:jc w:val="center"/>
            </w:pPr>
            <w:r>
              <w:rPr>
                <w:rFonts w:ascii="Calibri" w:hAnsi="Calibri"/>
                <w:sz w:val="18"/>
              </w:rPr>
              <w:t>200 ton/ha</w:t>
            </w:r>
          </w:p>
        </w:tc>
        <w:tc>
          <w:tcPr>
            <w:tcW w:type="dxa" w:w="1440"/>
            <w:shd w:val="clear" w:color="auto" w:fill="F2F2F2"/>
          </w:tcPr>
          <w:p>
            <w:pPr>
              <w:jc w:val="center"/>
            </w:pPr>
            <w:r>
              <w:rPr>
                <w:rFonts w:ascii="Calibri" w:hAnsi="Calibri"/>
                <w:sz w:val="18"/>
              </w:rPr>
              <w:t>7.6%</w:t>
            </w:r>
          </w:p>
        </w:tc>
        <w:tc>
          <w:tcPr>
            <w:tcW w:type="dxa" w:w="1440"/>
            <w:shd w:val="clear" w:color="auto" w:fill="F2F2F2"/>
          </w:tcPr>
          <w:p>
            <w:pPr>
              <w:jc w:val="center"/>
            </w:pPr>
            <w:r>
              <w:rPr>
                <w:rFonts w:ascii="Calibri" w:hAnsi="Calibri"/>
                <w:sz w:val="18"/>
              </w:rPr>
              <w:t>60 ton/ha</w:t>
            </w:r>
          </w:p>
        </w:tc>
        <w:tc>
          <w:tcPr>
            <w:tcW w:type="dxa" w:w="1440"/>
            <w:shd w:val="clear" w:color="auto" w:fill="F2F2F2"/>
          </w:tcPr>
          <w:p>
            <w:pPr>
              <w:jc w:val="center"/>
            </w:pPr>
            <w:r>
              <w:rPr>
                <w:rFonts w:ascii="Calibri" w:hAnsi="Calibri"/>
                <w:sz w:val="18"/>
              </w:rPr>
              <w:t>$1,042,230 MXN</w:t>
            </w:r>
          </w:p>
        </w:tc>
        <w:tc>
          <w:tcPr>
            <w:tcW w:type="dxa" w:w="1440"/>
            <w:shd w:val="clear" w:color="auto" w:fill="F2F2F2"/>
          </w:tcPr>
          <w:p>
            <w:pPr>
              <w:jc w:val="center"/>
            </w:pPr>
            <w:r>
              <w:rPr>
                <w:rFonts w:ascii="Calibri" w:hAnsi="Calibri"/>
                <w:sz w:val="18"/>
              </w:rPr>
              <w:t>200 ton/ha</w:t>
            </w:r>
          </w:p>
        </w:tc>
        <w:tc>
          <w:tcPr>
            <w:tcW w:type="dxa" w:w="1440"/>
            <w:shd w:val="clear" w:color="auto" w:fill="F2F2F2"/>
          </w:tcPr>
          <w:p>
            <w:pPr>
              <w:jc w:val="center"/>
            </w:pPr>
            <w:r>
              <w:rPr>
                <w:rFonts w:ascii="Calibri" w:hAnsi="Calibri"/>
                <w:sz w:val="18"/>
              </w:rPr>
              <w:t>$9,840,767 MXN</w:t>
            </w:r>
          </w:p>
        </w:tc>
      </w:tr>
      <w:tr>
        <w:tc>
          <w:tcPr>
            <w:tcW w:type="dxa" w:w="1440"/>
            <w:shd w:val="clear" w:color="auto" w:fill="FFFFFF"/>
          </w:tcPr>
          <w:p>
            <w:pPr>
              <w:jc w:val="center"/>
            </w:pPr>
            <w:r>
              <w:rPr>
                <w:rFonts w:ascii="Calibri" w:hAnsi="Calibri"/>
                <w:sz w:val="18"/>
              </w:rPr>
              <w:t>Sequía moderada</w:t>
            </w:r>
          </w:p>
        </w:tc>
        <w:tc>
          <w:tcPr>
            <w:tcW w:type="dxa" w:w="1440"/>
            <w:shd w:val="clear" w:color="auto" w:fill="FFFFFF"/>
          </w:tcPr>
          <w:p>
            <w:pPr>
              <w:jc w:val="center"/>
            </w:pPr>
            <w:r>
              <w:rPr>
                <w:rFonts w:ascii="Calibri" w:hAnsi="Calibri"/>
                <w:sz w:val="18"/>
              </w:rPr>
              <w:t>—</w:t>
            </w:r>
          </w:p>
        </w:tc>
        <w:tc>
          <w:tcPr>
            <w:tcW w:type="dxa" w:w="1440"/>
            <w:shd w:val="clear" w:color="auto" w:fill="FFFFFF"/>
          </w:tcPr>
          <w:p>
            <w:pPr>
              <w:jc w:val="center"/>
            </w:pPr>
            <w:r>
              <w:rPr>
                <w:rFonts w:ascii="Calibri" w:hAnsi="Calibri"/>
                <w:sz w:val="18"/>
              </w:rPr>
              <w:t>28.5%</w:t>
            </w:r>
          </w:p>
        </w:tc>
        <w:tc>
          <w:tcPr>
            <w:tcW w:type="dxa" w:w="1440"/>
            <w:shd w:val="clear" w:color="auto" w:fill="FFFFFF"/>
          </w:tcPr>
          <w:p>
            <w:pPr>
              <w:jc w:val="center"/>
            </w:pPr>
            <w:r>
              <w:rPr>
                <w:rFonts w:ascii="Calibri" w:hAnsi="Calibri"/>
                <w:sz w:val="18"/>
              </w:rPr>
              <w:t>50 ton/ha</w:t>
            </w:r>
          </w:p>
        </w:tc>
        <w:tc>
          <w:tcPr>
            <w:tcW w:type="dxa" w:w="1440"/>
            <w:shd w:val="clear" w:color="auto" w:fill="FFFFFF"/>
          </w:tcPr>
          <w:p>
            <w:pPr>
              <w:jc w:val="center"/>
            </w:pPr>
            <w:r>
              <w:rPr>
                <w:rFonts w:ascii="Calibri" w:hAnsi="Calibri"/>
                <w:sz w:val="18"/>
              </w:rPr>
              <w:t>$235,192 MXN</w:t>
            </w:r>
          </w:p>
        </w:tc>
        <w:tc>
          <w:tcPr>
            <w:tcW w:type="dxa" w:w="1440"/>
            <w:shd w:val="clear" w:color="auto" w:fill="FFFFFF"/>
          </w:tcPr>
          <w:p>
            <w:pPr>
              <w:jc w:val="center"/>
            </w:pPr>
            <w:r>
              <w:rPr>
                <w:rFonts w:ascii="Calibri" w:hAnsi="Calibri"/>
                <w:sz w:val="18"/>
              </w:rPr>
              <w:t>90 ton/ha</w:t>
            </w:r>
          </w:p>
        </w:tc>
        <w:tc>
          <w:tcPr>
            <w:tcW w:type="dxa" w:w="1440"/>
            <w:shd w:val="clear" w:color="auto" w:fill="FFFFFF"/>
          </w:tcPr>
          <w:p>
            <w:pPr>
              <w:jc w:val="center"/>
            </w:pPr>
            <w:r>
              <w:rPr>
                <w:rFonts w:ascii="Calibri" w:hAnsi="Calibri"/>
                <w:sz w:val="18"/>
              </w:rPr>
              <w:t>$963,345 MXN</w:t>
            </w:r>
          </w:p>
        </w:tc>
      </w:tr>
      <w:tr>
        <w:tc>
          <w:tcPr>
            <w:tcW w:type="dxa" w:w="1440"/>
            <w:shd w:val="clear" w:color="auto" w:fill="F2F2F2"/>
          </w:tcPr>
          <w:p>
            <w:pPr>
              <w:jc w:val="center"/>
            </w:pPr>
            <w:r>
              <w:rPr>
                <w:rFonts w:ascii="Calibri" w:hAnsi="Calibri"/>
                <w:sz w:val="18"/>
              </w:rPr>
              <w:t>Sequía severa</w:t>
            </w:r>
          </w:p>
        </w:tc>
        <w:tc>
          <w:tcPr>
            <w:tcW w:type="dxa" w:w="1440"/>
            <w:shd w:val="clear" w:color="auto" w:fill="F2F2F2"/>
          </w:tcPr>
          <w:p>
            <w:pPr>
              <w:jc w:val="center"/>
            </w:pPr>
            <w:r>
              <w:rPr>
                <w:rFonts w:ascii="Calibri" w:hAnsi="Calibri"/>
                <w:sz w:val="18"/>
              </w:rPr>
              <w:t>—</w:t>
            </w:r>
          </w:p>
        </w:tc>
        <w:tc>
          <w:tcPr>
            <w:tcW w:type="dxa" w:w="1440"/>
            <w:shd w:val="clear" w:color="auto" w:fill="F2F2F2"/>
          </w:tcPr>
          <w:p>
            <w:pPr>
              <w:jc w:val="center"/>
            </w:pPr>
            <w:r>
              <w:rPr>
                <w:rFonts w:ascii="Calibri" w:hAnsi="Calibri"/>
                <w:sz w:val="18"/>
              </w:rPr>
              <w:t>19.0%</w:t>
            </w:r>
          </w:p>
        </w:tc>
        <w:tc>
          <w:tcPr>
            <w:tcW w:type="dxa" w:w="1440"/>
            <w:shd w:val="clear" w:color="auto" w:fill="F2F2F2"/>
          </w:tcPr>
          <w:p>
            <w:pPr>
              <w:jc w:val="center"/>
            </w:pPr>
            <w:r>
              <w:rPr>
                <w:rFonts w:ascii="Calibri" w:hAnsi="Calibri"/>
                <w:sz w:val="18"/>
              </w:rPr>
              <w:t>40 ton/ha</w:t>
            </w:r>
          </w:p>
        </w:tc>
        <w:tc>
          <w:tcPr>
            <w:tcW w:type="dxa" w:w="1440"/>
            <w:shd w:val="clear" w:color="auto" w:fill="F2F2F2"/>
          </w:tcPr>
          <w:p>
            <w:pPr>
              <w:jc w:val="center"/>
            </w:pPr>
            <w:r>
              <w:rPr>
                <w:rFonts w:ascii="Calibri" w:hAnsi="Calibri"/>
                <w:sz w:val="18"/>
              </w:rPr>
              <w:t>-$571,847 MXN</w:t>
            </w:r>
          </w:p>
        </w:tc>
        <w:tc>
          <w:tcPr>
            <w:tcW w:type="dxa" w:w="1440"/>
            <w:shd w:val="clear" w:color="auto" w:fill="F2F2F2"/>
          </w:tcPr>
          <w:p>
            <w:pPr>
              <w:jc w:val="center"/>
            </w:pPr>
            <w:r>
              <w:rPr>
                <w:rFonts w:ascii="Calibri" w:hAnsi="Calibri"/>
                <w:sz w:val="18"/>
              </w:rPr>
              <w:t>70 ton/ha</w:t>
            </w:r>
          </w:p>
        </w:tc>
        <w:tc>
          <w:tcPr>
            <w:tcW w:type="dxa" w:w="1440"/>
            <w:shd w:val="clear" w:color="auto" w:fill="F2F2F2"/>
          </w:tcPr>
          <w:p>
            <w:pPr>
              <w:jc w:val="center"/>
            </w:pPr>
            <w:r>
              <w:rPr>
                <w:rFonts w:ascii="Calibri" w:hAnsi="Calibri"/>
                <w:sz w:val="18"/>
              </w:rPr>
              <w:t>-$650,732 MXN</w:t>
            </w:r>
          </w:p>
        </w:tc>
      </w:tr>
      <w:tr>
        <w:tc>
          <w:tcPr>
            <w:tcW w:type="dxa" w:w="1440"/>
            <w:shd w:val="clear" w:color="auto" w:fill="FFFFFF"/>
          </w:tcPr>
          <w:p>
            <w:pPr>
              <w:jc w:val="center"/>
            </w:pPr>
            <w:r>
              <w:rPr>
                <w:rFonts w:ascii="Calibri" w:hAnsi="Calibri"/>
                <w:sz w:val="18"/>
              </w:rPr>
              <w:t>Sequía extrema</w:t>
            </w:r>
          </w:p>
        </w:tc>
        <w:tc>
          <w:tcPr>
            <w:tcW w:type="dxa" w:w="1440"/>
            <w:shd w:val="clear" w:color="auto" w:fill="FFFFFF"/>
          </w:tcPr>
          <w:p>
            <w:pPr>
              <w:jc w:val="center"/>
            </w:pPr>
            <w:r>
              <w:rPr>
                <w:rFonts w:ascii="Calibri" w:hAnsi="Calibri"/>
                <w:sz w:val="18"/>
              </w:rPr>
              <w:t>—</w:t>
            </w:r>
          </w:p>
        </w:tc>
        <w:tc>
          <w:tcPr>
            <w:tcW w:type="dxa" w:w="1440"/>
            <w:shd w:val="clear" w:color="auto" w:fill="FFFFFF"/>
          </w:tcPr>
          <w:p>
            <w:pPr>
              <w:jc w:val="center"/>
            </w:pPr>
            <w:r>
              <w:rPr>
                <w:rFonts w:ascii="Calibri" w:hAnsi="Calibri"/>
                <w:sz w:val="18"/>
              </w:rPr>
              <w:t>9.5%</w:t>
            </w:r>
          </w:p>
        </w:tc>
        <w:tc>
          <w:tcPr>
            <w:tcW w:type="dxa" w:w="1440"/>
            <w:shd w:val="clear" w:color="auto" w:fill="FFFFFF"/>
          </w:tcPr>
          <w:p>
            <w:pPr>
              <w:jc w:val="center"/>
            </w:pPr>
            <w:r>
              <w:rPr>
                <w:rFonts w:ascii="Calibri" w:hAnsi="Calibri"/>
                <w:sz w:val="18"/>
              </w:rPr>
              <w:t>25 ton/ha</w:t>
            </w:r>
          </w:p>
        </w:tc>
        <w:tc>
          <w:tcPr>
            <w:tcW w:type="dxa" w:w="1440"/>
            <w:shd w:val="clear" w:color="auto" w:fill="FFFFFF"/>
          </w:tcPr>
          <w:p>
            <w:pPr>
              <w:jc w:val="center"/>
            </w:pPr>
            <w:r>
              <w:rPr>
                <w:rFonts w:ascii="Calibri" w:hAnsi="Calibri"/>
                <w:sz w:val="18"/>
              </w:rPr>
              <w:t>-$1,782,404 MXN</w:t>
            </w:r>
          </w:p>
        </w:tc>
        <w:tc>
          <w:tcPr>
            <w:tcW w:type="dxa" w:w="1440"/>
            <w:shd w:val="clear" w:color="auto" w:fill="FFFFFF"/>
          </w:tcPr>
          <w:p>
            <w:pPr>
              <w:jc w:val="center"/>
            </w:pPr>
            <w:r>
              <w:rPr>
                <w:rFonts w:ascii="Calibri" w:hAnsi="Calibri"/>
                <w:sz w:val="18"/>
              </w:rPr>
              <w:t>40 ton/ha</w:t>
            </w:r>
          </w:p>
        </w:tc>
        <w:tc>
          <w:tcPr>
            <w:tcW w:type="dxa" w:w="1440"/>
            <w:shd w:val="clear" w:color="auto" w:fill="FFFFFF"/>
          </w:tcPr>
          <w:p>
            <w:pPr>
              <w:jc w:val="center"/>
            </w:pPr>
            <w:r>
              <w:rPr>
                <w:rFonts w:ascii="Calibri" w:hAnsi="Calibri"/>
                <w:sz w:val="18"/>
              </w:rPr>
              <w:t>-$3,071,847 MXN</w:t>
            </w:r>
          </w:p>
        </w:tc>
      </w:tr>
    </w:tbl>
    <w:p>
      <w:pPr>
        <w:spacing w:before="40" w:after="160"/>
        <w:jc w:val="left"/>
      </w:pPr>
      <w:r>
        <w:rPr>
          <w:rFonts w:ascii="Calibri" w:hAnsi="Calibri"/>
          <w:b w:val="0"/>
          <w:i/>
          <w:color w:val="404040"/>
          <w:sz w:val="18"/>
        </w:rPr>
        <w:t>Tabla 3 — Escenarios productivos y utilidad anual (precio esperado $807.04 MXN/ton, 100 ha)</w:t>
      </w:r>
    </w:p>
    <w:p>
      <w:pPr>
        <w:spacing w:before="240" w:after="80"/>
        <w:jc w:val="left"/>
      </w:pPr>
      <w:r>
        <w:rPr>
          <w:rFonts w:ascii="Calibri" w:hAnsi="Calibri"/>
          <w:b/>
          <w:i w:val="0"/>
          <w:color w:val="1F497D"/>
          <w:sz w:val="26"/>
        </w:rPr>
        <w:t>4. Utilidad esperada anual</w:t>
      </w:r>
    </w:p>
    <w:p>
      <w:pPr>
        <w:spacing w:before="0" w:after="120"/>
        <w:jc w:val="both"/>
      </w:pPr>
      <w:r>
        <w:rPr>
          <w:rFonts w:ascii="Calibri" w:hAnsi="Calibri"/>
          <w:b w:val="0"/>
          <w:i w:val="0"/>
          <w:sz w:val="20"/>
        </w:rPr>
        <w:t>La utilidad esperada anual es la suma ponderada de las utilidades de cada escenario por su probabilidad. La diferencia entre alternativas en el ingreso bruto esperado es significativa: el riego eleva el rendimiento esperado de 47.0 a 88.7 ton/ha/año gracias a su efecto estabilizador y al potencial de rendimientos altos en años normales. Sin embargo, el mayor costo operativo del riego ($63,000 vs $38,000 MXN/ha/año) reduce la ventaja en utilidad.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color="auto" w:fill="1F497D"/>
          </w:tcPr>
          <w:p>
            <w:pPr>
              <w:jc w:val="center"/>
            </w:pPr>
            <w:r>
              <w:rPr>
                <w:rFonts w:ascii="Calibri" w:hAnsi="Calibri"/>
                <w:b/>
                <w:color w:val="FFFFFF"/>
                <w:sz w:val="18"/>
              </w:rPr>
              <w:t>Concepto</w:t>
            </w:r>
          </w:p>
        </w:tc>
        <w:tc>
          <w:tcPr>
            <w:tcW w:type="dxa" w:w="3360"/>
            <w:shd w:val="clear" w:color="auto" w:fill="1F497D"/>
          </w:tcPr>
          <w:p>
            <w:pPr>
              <w:jc w:val="center"/>
            </w:pPr>
            <w:r>
              <w:rPr>
                <w:rFonts w:ascii="Calibri" w:hAnsi="Calibri"/>
                <w:b/>
                <w:color w:val="FFFFFF"/>
                <w:sz w:val="18"/>
              </w:rPr>
              <w:t>Sin riego (temporal)</w:t>
            </w:r>
          </w:p>
        </w:tc>
        <w:tc>
          <w:tcPr>
            <w:tcW w:type="dxa" w:w="3360"/>
            <w:shd w:val="clear" w:color="auto" w:fill="1F497D"/>
          </w:tcPr>
          <w:p>
            <w:pPr>
              <w:jc w:val="center"/>
            </w:pPr>
            <w:r>
              <w:rPr>
                <w:rFonts w:ascii="Calibri" w:hAnsi="Calibri"/>
                <w:b/>
                <w:color w:val="FFFFFF"/>
                <w:sz w:val="18"/>
              </w:rPr>
              <w:t>Con riego</w:t>
            </w:r>
          </w:p>
        </w:tc>
      </w:tr>
      <w:tr>
        <w:tc>
          <w:tcPr>
            <w:tcW w:type="dxa" w:w="3360"/>
            <w:shd w:val="clear" w:color="auto" w:fill="FFFFFF"/>
          </w:tcPr>
          <w:p>
            <w:pPr>
              <w:jc w:val="center"/>
            </w:pPr>
            <w:r>
              <w:rPr>
                <w:rFonts w:ascii="Calibri" w:hAnsi="Calibri"/>
                <w:sz w:val="18"/>
              </w:rPr>
              <w:t>Rendimiento esperado (ton/ha/año)</w:t>
            </w:r>
          </w:p>
        </w:tc>
        <w:tc>
          <w:tcPr>
            <w:tcW w:type="dxa" w:w="3360"/>
            <w:shd w:val="clear" w:color="auto" w:fill="FFFFFF"/>
          </w:tcPr>
          <w:p>
            <w:pPr>
              <w:jc w:val="center"/>
            </w:pPr>
            <w:r>
              <w:rPr>
                <w:rFonts w:ascii="Calibri" w:hAnsi="Calibri"/>
                <w:sz w:val="18"/>
              </w:rPr>
              <w:t>47.025</w:t>
            </w:r>
          </w:p>
        </w:tc>
        <w:tc>
          <w:tcPr>
            <w:tcW w:type="dxa" w:w="3360"/>
            <w:shd w:val="clear" w:color="auto" w:fill="FFFFFF"/>
          </w:tcPr>
          <w:p>
            <w:pPr>
              <w:jc w:val="center"/>
            </w:pPr>
            <w:r>
              <w:rPr>
                <w:rFonts w:ascii="Calibri" w:hAnsi="Calibri"/>
                <w:sz w:val="18"/>
              </w:rPr>
              <w:t>88.730</w:t>
            </w:r>
          </w:p>
        </w:tc>
      </w:tr>
      <w:tr>
        <w:tc>
          <w:tcPr>
            <w:tcW w:type="dxa" w:w="3360"/>
            <w:shd w:val="clear" w:color="auto" w:fill="F2F2F2"/>
          </w:tcPr>
          <w:p>
            <w:pPr>
              <w:jc w:val="center"/>
            </w:pPr>
            <w:r>
              <w:rPr>
                <w:rFonts w:ascii="Calibri" w:hAnsi="Calibri"/>
                <w:sz w:val="18"/>
              </w:rPr>
              <w:t>Precio esperado (MXN/ton)</w:t>
            </w:r>
          </w:p>
        </w:tc>
        <w:tc>
          <w:tcPr>
            <w:tcW w:type="dxa" w:w="3360"/>
            <w:shd w:val="clear" w:color="auto" w:fill="F2F2F2"/>
          </w:tcPr>
          <w:p>
            <w:pPr>
              <w:jc w:val="center"/>
            </w:pPr>
            <w:r>
              <w:rPr>
                <w:rFonts w:ascii="Calibri" w:hAnsi="Calibri"/>
                <w:sz w:val="18"/>
              </w:rPr>
              <w:t>$807.04</w:t>
            </w:r>
          </w:p>
        </w:tc>
        <w:tc>
          <w:tcPr>
            <w:tcW w:type="dxa" w:w="3360"/>
            <w:shd w:val="clear" w:color="auto" w:fill="F2F2F2"/>
          </w:tcPr>
          <w:p>
            <w:pPr>
              <w:jc w:val="center"/>
            </w:pPr>
            <w:r>
              <w:rPr>
                <w:rFonts w:ascii="Calibri" w:hAnsi="Calibri"/>
                <w:sz w:val="18"/>
              </w:rPr>
              <w:t>$807.04</w:t>
            </w:r>
          </w:p>
        </w:tc>
      </w:tr>
      <w:tr>
        <w:tc>
          <w:tcPr>
            <w:tcW w:type="dxa" w:w="3360"/>
            <w:shd w:val="clear" w:color="auto" w:fill="FFFFFF"/>
          </w:tcPr>
          <w:p>
            <w:pPr>
              <w:jc w:val="center"/>
            </w:pPr>
            <w:r>
              <w:rPr>
                <w:rFonts w:ascii="Calibri" w:hAnsi="Calibri"/>
                <w:sz w:val="18"/>
              </w:rPr>
              <w:t>Ingreso bruto esperado (MXN/año)</w:t>
            </w:r>
          </w:p>
        </w:tc>
        <w:tc>
          <w:tcPr>
            <w:tcW w:type="dxa" w:w="3360"/>
            <w:shd w:val="clear" w:color="auto" w:fill="FFFFFF"/>
          </w:tcPr>
          <w:p>
            <w:pPr>
              <w:jc w:val="center"/>
            </w:pPr>
            <w:r>
              <w:rPr>
                <w:rFonts w:ascii="Calibri" w:hAnsi="Calibri"/>
                <w:sz w:val="18"/>
              </w:rPr>
              <w:t>$3,795,098 MXN</w:t>
            </w:r>
          </w:p>
        </w:tc>
        <w:tc>
          <w:tcPr>
            <w:tcW w:type="dxa" w:w="3360"/>
            <w:shd w:val="clear" w:color="auto" w:fill="FFFFFF"/>
          </w:tcPr>
          <w:p>
            <w:pPr>
              <w:jc w:val="center"/>
            </w:pPr>
            <w:r>
              <w:rPr>
                <w:rFonts w:ascii="Calibri" w:hAnsi="Calibri"/>
                <w:sz w:val="18"/>
              </w:rPr>
              <w:t>$7,160,851 MXN</w:t>
            </w:r>
          </w:p>
        </w:tc>
      </w:tr>
      <w:tr>
        <w:tc>
          <w:tcPr>
            <w:tcW w:type="dxa" w:w="3360"/>
            <w:shd w:val="clear" w:color="auto" w:fill="F2F2F2"/>
          </w:tcPr>
          <w:p>
            <w:pPr>
              <w:jc w:val="center"/>
            </w:pPr>
            <w:r>
              <w:rPr>
                <w:rFonts w:ascii="Calibri" w:hAnsi="Calibri"/>
                <w:sz w:val="18"/>
              </w:rPr>
              <w:t>Costo operación total (MXN/año)</w:t>
            </w:r>
          </w:p>
        </w:tc>
        <w:tc>
          <w:tcPr>
            <w:tcW w:type="dxa" w:w="3360"/>
            <w:shd w:val="clear" w:color="auto" w:fill="F2F2F2"/>
          </w:tcPr>
          <w:p>
            <w:pPr>
              <w:jc w:val="center"/>
            </w:pPr>
            <w:r>
              <w:rPr>
                <w:rFonts w:ascii="Calibri" w:hAnsi="Calibri"/>
                <w:sz w:val="18"/>
              </w:rPr>
              <w:t>-$3,800,000 MXN</w:t>
            </w:r>
          </w:p>
        </w:tc>
        <w:tc>
          <w:tcPr>
            <w:tcW w:type="dxa" w:w="3360"/>
            <w:shd w:val="clear" w:color="auto" w:fill="F2F2F2"/>
          </w:tcPr>
          <w:p>
            <w:pPr>
              <w:jc w:val="center"/>
            </w:pPr>
            <w:r>
              <w:rPr>
                <w:rFonts w:ascii="Calibri" w:hAnsi="Calibri"/>
                <w:sz w:val="18"/>
              </w:rPr>
              <w:t>-$6,300,000 MXN</w:t>
            </w:r>
          </w:p>
        </w:tc>
      </w:tr>
      <w:tr>
        <w:tc>
          <w:tcPr>
            <w:tcW w:type="dxa" w:w="3360"/>
            <w:shd w:val="clear" w:color="auto" w:fill="1F497D"/>
          </w:tcPr>
          <w:p>
            <w:pPr>
              <w:jc w:val="center"/>
            </w:pPr>
            <w:r>
              <w:rPr>
                <w:rFonts w:ascii="Calibri" w:hAnsi="Calibri"/>
                <w:b/>
                <w:color w:val="FFFFFF"/>
                <w:sz w:val="18"/>
              </w:rPr>
              <w:t>Utilidad esperada anual (MXN/año)</w:t>
            </w:r>
          </w:p>
        </w:tc>
        <w:tc>
          <w:tcPr>
            <w:tcW w:type="dxa" w:w="3360"/>
            <w:shd w:val="clear" w:color="auto" w:fill="1F497D"/>
          </w:tcPr>
          <w:p>
            <w:pPr>
              <w:jc w:val="center"/>
            </w:pPr>
            <w:r>
              <w:rPr>
                <w:rFonts w:ascii="Calibri" w:hAnsi="Calibri"/>
                <w:b/>
                <w:color w:val="FFFFFF"/>
                <w:sz w:val="18"/>
              </w:rPr>
              <w:t>-$4,902 MXN</w:t>
            </w:r>
          </w:p>
        </w:tc>
        <w:tc>
          <w:tcPr>
            <w:tcW w:type="dxa" w:w="3360"/>
            <w:shd w:val="clear" w:color="auto" w:fill="1F497D"/>
          </w:tcPr>
          <w:p>
            <w:pPr>
              <w:jc w:val="center"/>
            </w:pPr>
            <w:r>
              <w:rPr>
                <w:rFonts w:ascii="Calibri" w:hAnsi="Calibri"/>
                <w:b/>
                <w:color w:val="FFFFFF"/>
                <w:sz w:val="18"/>
              </w:rPr>
              <w:t>$860,851 MXN</w:t>
            </w:r>
          </w:p>
        </w:tc>
      </w:tr>
    </w:tbl>
    <w:p>
      <w:pPr>
        <w:spacing w:after="80"/>
      </w:pPr>
    </w:p>
    <w:p>
      <w:pPr>
        <w:spacing w:before="40" w:after="160"/>
        <w:jc w:val="left"/>
      </w:pPr>
      <w:r>
        <w:rPr>
          <w:rFonts w:ascii="Calibri" w:hAnsi="Calibri"/>
          <w:b w:val="0"/>
          <w:i/>
          <w:color w:val="404040"/>
          <w:sz w:val="18"/>
        </w:rPr>
        <w:t>Tabla 4 — Descomposición de la utilidad esperada anual</w:t>
      </w:r>
    </w:p>
    <w:p>
      <w:pPr>
        <w:spacing w:before="240" w:after="80"/>
        <w:jc w:val="left"/>
      </w:pPr>
      <w:r>
        <w:rPr>
          <w:rFonts w:ascii="Calibri" w:hAnsi="Calibri"/>
          <w:b/>
          <w:i w:val="0"/>
          <w:color w:val="1F497D"/>
          <w:sz w:val="26"/>
        </w:rPr>
        <w:t>5. Utilidad acumulada esperada — horizonte de 7 años</w:t>
      </w:r>
    </w:p>
    <w:p>
      <w:pPr>
        <w:spacing w:before="0" w:after="120"/>
        <w:jc w:val="both"/>
      </w:pPr>
      <w:r>
        <w:rPr>
          <w:rFonts w:ascii="Calibri" w:hAnsi="Calibri"/>
          <w:b w:val="0"/>
          <w:i w:val="0"/>
          <w:sz w:val="20"/>
        </w:rPr>
        <w:t>La utilidad acumulada a lo largo de los 7 años suma las utilidades anuales esperadas para cada alternativa. En el caso de la inversión en riego, se descuenta adicionalmente la inversión inicial de $8,000,000 MXN, desembolsada en el año 0.</w:t>
      </w:r>
    </w:p>
    <w:p>
      <w:pPr>
        <w:spacing w:before="0" w:after="120"/>
        <w:jc w:val="both"/>
      </w:pPr>
      <w:r>
        <w:rPr>
          <w:rFonts w:ascii="Calibri" w:hAnsi="Calibri"/>
          <w:b w:val="0"/>
          <w:i w:val="0"/>
          <w:sz w:val="20"/>
        </w:rPr>
        <w:t>Temporal: -$4,902 MXN × 7 = -$34,316 MXN</w:t>
        <w:br/>
        <w:t>Riego (operativo): $860,851 MXN × 7 = $6,025,958 MXN</w:t>
        <w:br/>
        <w:t>Riego (neto): $6,025,958 MXN − $8,000,000 MXN = -$1,974,042 MXN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color="auto" w:fill="1F497D"/>
          </w:tcPr>
          <w:p>
            <w:pPr>
              <w:jc w:val="center"/>
            </w:pPr>
            <w:r>
              <w:rPr>
                <w:rFonts w:ascii="Calibri" w:hAnsi="Calibri"/>
                <w:b/>
                <w:color w:val="FFFFFF"/>
                <w:sz w:val="18"/>
              </w:rPr>
              <w:t>Concepto</w:t>
            </w:r>
          </w:p>
        </w:tc>
        <w:tc>
          <w:tcPr>
            <w:tcW w:type="dxa" w:w="3360"/>
            <w:shd w:val="clear" w:color="auto" w:fill="1F497D"/>
          </w:tcPr>
          <w:p>
            <w:pPr>
              <w:jc w:val="center"/>
            </w:pPr>
            <w:r>
              <w:rPr>
                <w:rFonts w:ascii="Calibri" w:hAnsi="Calibri"/>
                <w:b/>
                <w:color w:val="FFFFFF"/>
                <w:sz w:val="18"/>
              </w:rPr>
              <w:t>Sin riego (temporal)</w:t>
            </w:r>
          </w:p>
        </w:tc>
        <w:tc>
          <w:tcPr>
            <w:tcW w:type="dxa" w:w="3360"/>
            <w:shd w:val="clear" w:color="auto" w:fill="1F497D"/>
          </w:tcPr>
          <w:p>
            <w:pPr>
              <w:jc w:val="center"/>
            </w:pPr>
            <w:r>
              <w:rPr>
                <w:rFonts w:ascii="Calibri" w:hAnsi="Calibri"/>
                <w:b/>
                <w:color w:val="FFFFFF"/>
                <w:sz w:val="18"/>
              </w:rPr>
              <w:t>Con riego</w:t>
            </w:r>
          </w:p>
        </w:tc>
      </w:tr>
      <w:tr>
        <w:tc>
          <w:tcPr>
            <w:tcW w:type="dxa" w:w="3360"/>
            <w:shd w:val="clear" w:color="auto" w:fill="FFFFFF"/>
          </w:tcPr>
          <w:p>
            <w:pPr>
              <w:jc w:val="center"/>
            </w:pPr>
            <w:r>
              <w:rPr>
                <w:rFonts w:ascii="Calibri" w:hAnsi="Calibri"/>
                <w:sz w:val="18"/>
              </w:rPr>
              <w:t>Utilidad esperada anual (MXN)</w:t>
            </w:r>
          </w:p>
        </w:tc>
        <w:tc>
          <w:tcPr>
            <w:tcW w:type="dxa" w:w="3360"/>
            <w:shd w:val="clear" w:color="auto" w:fill="FFFFFF"/>
          </w:tcPr>
          <w:p>
            <w:pPr>
              <w:jc w:val="center"/>
            </w:pPr>
            <w:r>
              <w:rPr>
                <w:rFonts w:ascii="Calibri" w:hAnsi="Calibri"/>
                <w:sz w:val="18"/>
              </w:rPr>
              <w:t>-$4,902 MXN</w:t>
            </w:r>
          </w:p>
        </w:tc>
        <w:tc>
          <w:tcPr>
            <w:tcW w:type="dxa" w:w="3360"/>
            <w:shd w:val="clear" w:color="auto" w:fill="FFFFFF"/>
          </w:tcPr>
          <w:p>
            <w:pPr>
              <w:jc w:val="center"/>
            </w:pPr>
            <w:r>
              <w:rPr>
                <w:rFonts w:ascii="Calibri" w:hAnsi="Calibri"/>
                <w:sz w:val="18"/>
              </w:rPr>
              <w:t>$860,851 MXN</w:t>
            </w:r>
          </w:p>
        </w:tc>
      </w:tr>
      <w:tr>
        <w:tc>
          <w:tcPr>
            <w:tcW w:type="dxa" w:w="3360"/>
            <w:shd w:val="clear" w:color="auto" w:fill="F2F2F2"/>
          </w:tcPr>
          <w:p>
            <w:pPr>
              <w:jc w:val="center"/>
            </w:pPr>
            <w:r>
              <w:rPr>
                <w:rFonts w:ascii="Calibri" w:hAnsi="Calibri"/>
                <w:sz w:val="18"/>
              </w:rPr>
              <w:t>Utilidad operativa acumulada (×7)</w:t>
            </w:r>
          </w:p>
        </w:tc>
        <w:tc>
          <w:tcPr>
            <w:tcW w:type="dxa" w:w="3360"/>
            <w:shd w:val="clear" w:color="auto" w:fill="F2F2F2"/>
          </w:tcPr>
          <w:p>
            <w:pPr>
              <w:jc w:val="center"/>
            </w:pPr>
            <w:r>
              <w:rPr>
                <w:rFonts w:ascii="Calibri" w:hAnsi="Calibri"/>
                <w:sz w:val="18"/>
              </w:rPr>
              <w:t>-$34,316 MXN</w:t>
            </w:r>
          </w:p>
        </w:tc>
        <w:tc>
          <w:tcPr>
            <w:tcW w:type="dxa" w:w="3360"/>
            <w:shd w:val="clear" w:color="auto" w:fill="F2F2F2"/>
          </w:tcPr>
          <w:p>
            <w:pPr>
              <w:jc w:val="center"/>
            </w:pPr>
            <w:r>
              <w:rPr>
                <w:rFonts w:ascii="Calibri" w:hAnsi="Calibri"/>
                <w:sz w:val="18"/>
              </w:rPr>
              <w:t>$6,025,958 MXN</w:t>
            </w:r>
          </w:p>
        </w:tc>
      </w:tr>
      <w:tr>
        <w:tc>
          <w:tcPr>
            <w:tcW w:type="dxa" w:w="3360"/>
            <w:shd w:val="clear" w:color="auto" w:fill="FFFFFF"/>
          </w:tcPr>
          <w:p>
            <w:pPr>
              <w:jc w:val="center"/>
            </w:pPr>
            <w:r>
              <w:rPr>
                <w:rFonts w:ascii="Calibri" w:hAnsi="Calibri"/>
                <w:sz w:val="18"/>
              </w:rPr>
              <w:t>Inversión inicial (MXN)</w:t>
            </w:r>
          </w:p>
        </w:tc>
        <w:tc>
          <w:tcPr>
            <w:tcW w:type="dxa" w:w="3360"/>
            <w:shd w:val="clear" w:color="auto" w:fill="FFFFFF"/>
          </w:tcPr>
          <w:p>
            <w:pPr>
              <w:jc w:val="center"/>
            </w:pPr>
            <w:r>
              <w:rPr>
                <w:rFonts w:ascii="Calibri" w:hAnsi="Calibri"/>
                <w:sz w:val="18"/>
              </w:rPr>
              <w:t>$0</w:t>
            </w:r>
          </w:p>
        </w:tc>
        <w:tc>
          <w:tcPr>
            <w:tcW w:type="dxa" w:w="3360"/>
            <w:shd w:val="clear" w:color="auto" w:fill="FFFFFF"/>
          </w:tcPr>
          <w:p>
            <w:pPr>
              <w:jc w:val="center"/>
            </w:pPr>
            <w:r>
              <w:rPr>
                <w:rFonts w:ascii="Calibri" w:hAnsi="Calibri"/>
                <w:sz w:val="18"/>
              </w:rPr>
              <w:t>−$8,000,000 MXN</w:t>
            </w:r>
          </w:p>
        </w:tc>
      </w:tr>
      <w:tr>
        <w:tc>
          <w:tcPr>
            <w:tcW w:type="dxa" w:w="3360"/>
            <w:shd w:val="clear" w:color="auto" w:fill="1F497D"/>
          </w:tcPr>
          <w:p>
            <w:pPr>
              <w:jc w:val="center"/>
            </w:pPr>
            <w:r>
              <w:rPr>
                <w:rFonts w:ascii="Calibri" w:hAnsi="Calibri"/>
                <w:b/>
                <w:color w:val="FFFFFF"/>
                <w:sz w:val="18"/>
              </w:rPr>
              <w:t>Utilidad neta acumulada 7 años (MXN)</w:t>
            </w:r>
          </w:p>
        </w:tc>
        <w:tc>
          <w:tcPr>
            <w:tcW w:type="dxa" w:w="3360"/>
            <w:shd w:val="clear" w:color="auto" w:fill="1F497D"/>
          </w:tcPr>
          <w:p>
            <w:pPr>
              <w:jc w:val="center"/>
            </w:pPr>
            <w:r>
              <w:rPr>
                <w:rFonts w:ascii="Calibri" w:hAnsi="Calibri"/>
                <w:b/>
                <w:color w:val="FFFFFF"/>
                <w:sz w:val="18"/>
              </w:rPr>
              <w:t>-$34,316 MXN</w:t>
            </w:r>
          </w:p>
        </w:tc>
        <w:tc>
          <w:tcPr>
            <w:tcW w:type="dxa" w:w="3360"/>
            <w:shd w:val="clear" w:color="auto" w:fill="1F497D"/>
          </w:tcPr>
          <w:p>
            <w:pPr>
              <w:jc w:val="center"/>
            </w:pPr>
            <w:r>
              <w:rPr>
                <w:rFonts w:ascii="Calibri" w:hAnsi="Calibri"/>
                <w:b/>
                <w:color w:val="FFFFFF"/>
                <w:sz w:val="18"/>
              </w:rPr>
              <w:t>-$1,974,042 MXN</w:t>
            </w:r>
          </w:p>
        </w:tc>
      </w:tr>
    </w:tbl>
    <w:p>
      <w:pPr>
        <w:spacing w:after="80"/>
      </w:pPr>
    </w:p>
    <w:p>
      <w:pPr>
        <w:spacing w:before="40" w:after="160"/>
        <w:jc w:val="left"/>
      </w:pPr>
      <w:r>
        <w:rPr>
          <w:rFonts w:ascii="Calibri" w:hAnsi="Calibri"/>
          <w:b w:val="0"/>
          <w:i/>
          <w:color w:val="404040"/>
          <w:sz w:val="18"/>
        </w:rPr>
        <w:t>Tabla 5 — Utilidad acumulada esperada en horizonte de 7 años</w:t>
      </w:r>
    </w:p>
    <w:p>
      <w:pPr>
        <w:spacing w:before="240" w:after="80"/>
        <w:jc w:val="left"/>
      </w:pPr>
      <w:r>
        <w:rPr>
          <w:rFonts w:ascii="Calibri" w:hAnsi="Calibri"/>
          <w:b/>
          <w:i w:val="0"/>
          <w:color w:val="1F497D"/>
          <w:sz w:val="26"/>
        </w:rPr>
        <w:t>6. Simulación de Monte Carlo — 10,000 escenarios</w:t>
      </w:r>
    </w:p>
    <w:p>
      <w:pPr>
        <w:spacing w:before="0" w:after="120"/>
        <w:jc w:val="both"/>
      </w:pPr>
      <w:r>
        <w:rPr>
          <w:rFonts w:ascii="Calibri" w:hAnsi="Calibri"/>
          <w:b w:val="0"/>
          <w:i w:val="0"/>
          <w:sz w:val="20"/>
        </w:rPr>
        <w:t>Se simularon 10,000 escenarios independientes de 7 años. En cada año de cada escenario se sortearon de forma aleatoria e independiente: el precio de la tonelada (distribución uniforme discreta sobre los 6 precios históricos), la condición hídrica (distribución multinomial con probabilidades 40%/30%/20%/10%) y la ocurrencia de tormenta severa (Bernoulli con P = 5%). Para la alternativa con riego en años normales sin tormenta, se sorteó adicionalmente el sub-escenario productivo (50%→90 / 30%→120 / 20%→200 ton/ha). La inversión inicial de $8,000,000 MXN se descuenta al total acumulado de la alternativa con riego en cada escenario simulado.</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color="auto" w:fill="1F497D"/>
          </w:tcPr>
          <w:p>
            <w:pPr>
              <w:jc w:val="center"/>
            </w:pPr>
            <w:r>
              <w:rPr>
                <w:rFonts w:ascii="Calibri" w:hAnsi="Calibri"/>
                <w:b/>
                <w:color w:val="FFFFFF"/>
                <w:sz w:val="18"/>
              </w:rPr>
              <w:t>Métrica — utilidad acumulada 7 años</w:t>
            </w:r>
          </w:p>
        </w:tc>
        <w:tc>
          <w:tcPr>
            <w:tcW w:type="dxa" w:w="3360"/>
            <w:shd w:val="clear" w:color="auto" w:fill="1F497D"/>
          </w:tcPr>
          <w:p>
            <w:pPr>
              <w:jc w:val="center"/>
            </w:pPr>
            <w:r>
              <w:rPr>
                <w:rFonts w:ascii="Calibri" w:hAnsi="Calibri"/>
                <w:b/>
                <w:color w:val="FFFFFF"/>
                <w:sz w:val="18"/>
              </w:rPr>
              <w:t>Sin riego (temporal)</w:t>
            </w:r>
          </w:p>
        </w:tc>
        <w:tc>
          <w:tcPr>
            <w:tcW w:type="dxa" w:w="3360"/>
            <w:shd w:val="clear" w:color="auto" w:fill="1F497D"/>
          </w:tcPr>
          <w:p>
            <w:pPr>
              <w:jc w:val="center"/>
            </w:pPr>
            <w:r>
              <w:rPr>
                <w:rFonts w:ascii="Calibri" w:hAnsi="Calibri"/>
                <w:b/>
                <w:color w:val="FFFFFF"/>
                <w:sz w:val="18"/>
              </w:rPr>
              <w:t>Con riego</w:t>
            </w:r>
          </w:p>
        </w:tc>
      </w:tr>
      <w:tr>
        <w:tc>
          <w:tcPr>
            <w:tcW w:type="dxa" w:w="3360"/>
            <w:shd w:val="clear" w:color="auto" w:fill="FFFFFF"/>
          </w:tcPr>
          <w:p>
            <w:pPr>
              <w:jc w:val="center"/>
            </w:pPr>
            <w:r>
              <w:rPr>
                <w:rFonts w:ascii="Calibri" w:hAnsi="Calibri"/>
                <w:sz w:val="18"/>
              </w:rPr>
              <w:t>Media (MXN)</w:t>
            </w:r>
          </w:p>
        </w:tc>
        <w:tc>
          <w:tcPr>
            <w:tcW w:type="dxa" w:w="3360"/>
            <w:shd w:val="clear" w:color="auto" w:fill="FFFFFF"/>
          </w:tcPr>
          <w:p>
            <w:pPr>
              <w:jc w:val="center"/>
            </w:pPr>
            <w:r>
              <w:rPr>
                <w:rFonts w:ascii="Calibri" w:hAnsi="Calibri"/>
                <w:sz w:val="18"/>
              </w:rPr>
              <w:t>-$59,979 MXN</w:t>
            </w:r>
          </w:p>
        </w:tc>
        <w:tc>
          <w:tcPr>
            <w:tcW w:type="dxa" w:w="3360"/>
            <w:shd w:val="clear" w:color="auto" w:fill="FFFFFF"/>
          </w:tcPr>
          <w:p>
            <w:pPr>
              <w:jc w:val="center"/>
            </w:pPr>
            <w:r>
              <w:rPr>
                <w:rFonts w:ascii="Calibri" w:hAnsi="Calibri"/>
                <w:sz w:val="18"/>
              </w:rPr>
              <w:t>-$2,087,268 MXN</w:t>
            </w:r>
          </w:p>
        </w:tc>
      </w:tr>
      <w:tr>
        <w:tc>
          <w:tcPr>
            <w:tcW w:type="dxa" w:w="3360"/>
            <w:shd w:val="clear" w:color="auto" w:fill="F2F2F2"/>
          </w:tcPr>
          <w:p>
            <w:pPr>
              <w:jc w:val="center"/>
            </w:pPr>
            <w:r>
              <w:rPr>
                <w:rFonts w:ascii="Calibri" w:hAnsi="Calibri"/>
                <w:sz w:val="18"/>
              </w:rPr>
              <w:t>Mediana (MXN)</w:t>
            </w:r>
          </w:p>
        </w:tc>
        <w:tc>
          <w:tcPr>
            <w:tcW w:type="dxa" w:w="3360"/>
            <w:shd w:val="clear" w:color="auto" w:fill="F2F2F2"/>
          </w:tcPr>
          <w:p>
            <w:pPr>
              <w:jc w:val="center"/>
            </w:pPr>
            <w:r>
              <w:rPr>
                <w:rFonts w:ascii="Calibri" w:hAnsi="Calibri"/>
                <w:sz w:val="18"/>
              </w:rPr>
              <w:t>$292,405 MXN</w:t>
            </w:r>
          </w:p>
        </w:tc>
        <w:tc>
          <w:tcPr>
            <w:tcW w:type="dxa" w:w="3360"/>
            <w:shd w:val="clear" w:color="auto" w:fill="F2F2F2"/>
          </w:tcPr>
          <w:p>
            <w:pPr>
              <w:jc w:val="center"/>
            </w:pPr>
            <w:r>
              <w:rPr>
                <w:rFonts w:ascii="Calibri" w:hAnsi="Calibri"/>
                <w:sz w:val="18"/>
              </w:rPr>
              <w:t>-$2,652,090 MXN</w:t>
            </w:r>
          </w:p>
        </w:tc>
      </w:tr>
      <w:tr>
        <w:tc>
          <w:tcPr>
            <w:tcW w:type="dxa" w:w="3360"/>
            <w:shd w:val="clear" w:color="auto" w:fill="FFFFFF"/>
          </w:tcPr>
          <w:p>
            <w:pPr>
              <w:jc w:val="center"/>
            </w:pPr>
            <w:r>
              <w:rPr>
                <w:rFonts w:ascii="Calibri" w:hAnsi="Calibri"/>
                <w:sz w:val="18"/>
              </w:rPr>
              <w:t>Desviación estándar</w:t>
            </w:r>
          </w:p>
        </w:tc>
        <w:tc>
          <w:tcPr>
            <w:tcW w:type="dxa" w:w="3360"/>
            <w:shd w:val="clear" w:color="auto" w:fill="FFFFFF"/>
          </w:tcPr>
          <w:p>
            <w:pPr>
              <w:jc w:val="center"/>
            </w:pPr>
            <w:r>
              <w:rPr>
                <w:rFonts w:ascii="Calibri" w:hAnsi="Calibri"/>
                <w:sz w:val="18"/>
              </w:rPr>
              <w:t>$3,415,982 MXN</w:t>
            </w:r>
          </w:p>
        </w:tc>
        <w:tc>
          <w:tcPr>
            <w:tcW w:type="dxa" w:w="3360"/>
            <w:shd w:val="clear" w:color="auto" w:fill="FFFFFF"/>
          </w:tcPr>
          <w:p>
            <w:pPr>
              <w:jc w:val="center"/>
            </w:pPr>
            <w:r>
              <w:rPr>
                <w:rFonts w:ascii="Calibri" w:hAnsi="Calibri"/>
                <w:sz w:val="18"/>
              </w:rPr>
              <w:t>$9,036,704 MXN</w:t>
            </w:r>
          </w:p>
        </w:tc>
      </w:tr>
      <w:tr>
        <w:tc>
          <w:tcPr>
            <w:tcW w:type="dxa" w:w="3360"/>
            <w:shd w:val="clear" w:color="auto" w:fill="F2F2F2"/>
          </w:tcPr>
          <w:p>
            <w:pPr>
              <w:jc w:val="center"/>
            </w:pPr>
            <w:r>
              <w:rPr>
                <w:rFonts w:ascii="Calibri" w:hAnsi="Calibri"/>
                <w:sz w:val="18"/>
              </w:rPr>
              <w:t>Percentil 5% (MXN)</w:t>
            </w:r>
          </w:p>
        </w:tc>
        <w:tc>
          <w:tcPr>
            <w:tcW w:type="dxa" w:w="3360"/>
            <w:shd w:val="clear" w:color="auto" w:fill="F2F2F2"/>
          </w:tcPr>
          <w:p>
            <w:pPr>
              <w:jc w:val="center"/>
            </w:pPr>
            <w:r>
              <w:rPr>
                <w:rFonts w:ascii="Calibri" w:hAnsi="Calibri"/>
                <w:sz w:val="18"/>
              </w:rPr>
              <w:t>-$6,103,296 MXN</w:t>
            </w:r>
          </w:p>
        </w:tc>
        <w:tc>
          <w:tcPr>
            <w:tcW w:type="dxa" w:w="3360"/>
            <w:shd w:val="clear" w:color="auto" w:fill="F2F2F2"/>
          </w:tcPr>
          <w:p>
            <w:pPr>
              <w:jc w:val="center"/>
            </w:pPr>
            <w:r>
              <w:rPr>
                <w:rFonts w:ascii="Calibri" w:hAnsi="Calibri"/>
                <w:sz w:val="18"/>
              </w:rPr>
              <w:t>-$16,086,886 MXN</w:t>
            </w:r>
          </w:p>
        </w:tc>
      </w:tr>
      <w:tr>
        <w:tc>
          <w:tcPr>
            <w:tcW w:type="dxa" w:w="3360"/>
            <w:shd w:val="clear" w:color="auto" w:fill="FFFFFF"/>
          </w:tcPr>
          <w:p>
            <w:pPr>
              <w:jc w:val="center"/>
            </w:pPr>
            <w:r>
              <w:rPr>
                <w:rFonts w:ascii="Calibri" w:hAnsi="Calibri"/>
                <w:sz w:val="18"/>
              </w:rPr>
              <w:t>Percentil 95% (MXN)</w:t>
            </w:r>
          </w:p>
        </w:tc>
        <w:tc>
          <w:tcPr>
            <w:tcW w:type="dxa" w:w="3360"/>
            <w:shd w:val="clear" w:color="auto" w:fill="FFFFFF"/>
          </w:tcPr>
          <w:p>
            <w:pPr>
              <w:jc w:val="center"/>
            </w:pPr>
            <w:r>
              <w:rPr>
                <w:rFonts w:ascii="Calibri" w:hAnsi="Calibri"/>
                <w:sz w:val="18"/>
              </w:rPr>
              <w:t>$4,987,906 MXN</w:t>
            </w:r>
          </w:p>
        </w:tc>
        <w:tc>
          <w:tcPr>
            <w:tcW w:type="dxa" w:w="3360"/>
            <w:shd w:val="clear" w:color="auto" w:fill="FFFFFF"/>
          </w:tcPr>
          <w:p>
            <w:pPr>
              <w:jc w:val="center"/>
            </w:pPr>
            <w:r>
              <w:rPr>
                <w:rFonts w:ascii="Calibri" w:hAnsi="Calibri"/>
                <w:sz w:val="18"/>
              </w:rPr>
              <w:t>$13,476,621 MXN</w:t>
            </w:r>
          </w:p>
        </w:tc>
      </w:tr>
      <w:tr>
        <w:tc>
          <w:tcPr>
            <w:tcW w:type="dxa" w:w="3360"/>
            <w:shd w:val="clear" w:color="auto" w:fill="F2F2F2"/>
          </w:tcPr>
          <w:p>
            <w:pPr>
              <w:jc w:val="center"/>
            </w:pPr>
            <w:r>
              <w:rPr>
                <w:rFonts w:ascii="Calibri" w:hAnsi="Calibri"/>
                <w:sz w:val="18"/>
              </w:rPr>
              <w:t>P(riego &gt; temporal)</w:t>
            </w:r>
          </w:p>
        </w:tc>
        <w:tc>
          <w:tcPr>
            <w:tcW w:type="dxa" w:w="3360"/>
            <w:shd w:val="clear" w:color="auto" w:fill="F2F2F2"/>
          </w:tcPr>
          <w:p>
            <w:pPr>
              <w:jc w:val="center"/>
            </w:pPr>
            <w:r>
              <w:rPr>
                <w:rFonts w:ascii="Calibri" w:hAnsi="Calibri"/>
                <w:sz w:val="18"/>
              </w:rPr>
              <w:t>64.7% de escenarios favorables al temporal</w:t>
            </w:r>
          </w:p>
        </w:tc>
        <w:tc>
          <w:tcPr>
            <w:tcW w:type="dxa" w:w="3360"/>
            <w:shd w:val="clear" w:color="auto" w:fill="F2F2F2"/>
          </w:tcPr>
          <w:p>
            <w:pPr>
              <w:jc w:val="center"/>
            </w:pPr>
            <w:r>
              <w:rPr>
                <w:rFonts w:ascii="Calibri" w:hAnsi="Calibri"/>
                <w:sz w:val="18"/>
              </w:rPr>
              <w:t>35.3% de escenarios favorables al riego</w:t>
            </w:r>
          </w:p>
        </w:tc>
      </w:tr>
    </w:tbl>
    <w:p>
      <w:pPr>
        <w:spacing w:before="40" w:after="160"/>
        <w:jc w:val="left"/>
      </w:pPr>
      <w:r>
        <w:rPr>
          <w:rFonts w:ascii="Calibri" w:hAnsi="Calibri"/>
          <w:b w:val="0"/>
          <w:i/>
          <w:color w:val="404040"/>
          <w:sz w:val="18"/>
        </w:rPr>
        <w:t>Tabla 6 — Estadísticas de la simulación de Monte Carlo (10,000 escenarios × 7 años)</w:t>
      </w:r>
    </w:p>
    <w:p>
      <w:pPr>
        <w:spacing w:before="240" w:after="80"/>
        <w:jc w:val="left"/>
      </w:pPr>
      <w:r>
        <w:rPr>
          <w:rFonts w:ascii="Calibri" w:hAnsi="Calibri"/>
          <w:b/>
          <w:i w:val="0"/>
          <w:color w:val="1F497D"/>
          <w:sz w:val="26"/>
        </w:rPr>
        <w:t>7. Comparación de criterios de decisión</w:t>
      </w:r>
    </w:p>
    <w:p>
      <w:pPr>
        <w:spacing w:before="0" w:after="120"/>
        <w:jc w:val="both"/>
      </w:pPr>
      <w:r>
        <w:rPr>
          <w:rFonts w:ascii="Calibri" w:hAnsi="Calibri"/>
          <w:b w:val="0"/>
          <w:i w:val="0"/>
          <w:sz w:val="20"/>
        </w:rPr>
        <w:t>Se evalúan dos criterios clásicos de decisión bajo incertidumbre:</w:t>
      </w:r>
    </w:p>
    <w:p>
      <w:pPr>
        <w:spacing w:before="0" w:after="120"/>
        <w:jc w:val="both"/>
      </w:pPr>
      <w:r>
        <w:rPr>
          <w:rFonts w:ascii="Calibri" w:hAnsi="Calibri"/>
          <w:b w:val="0"/>
          <w:i w:val="0"/>
          <w:sz w:val="20"/>
        </w:rPr>
        <w:t>Criterio 1 — Mayor utilidad esperada: se elige la alternativa con mayor utilidad esperada acumulada en el horizonte de 7 años (resultado analítico).</w:t>
      </w:r>
    </w:p>
    <w:p>
      <w:pPr>
        <w:spacing w:before="0" w:after="120"/>
        <w:jc w:val="both"/>
      </w:pPr>
      <w:r>
        <w:rPr>
          <w:rFonts w:ascii="Calibri" w:hAnsi="Calibri"/>
          <w:b w:val="0"/>
          <w:i w:val="0"/>
          <w:sz w:val="20"/>
        </w:rPr>
        <w:t>Criterio 2 — Mayoría de escenarios favorables: se elige la alternativa que resulta más rentable en más del 50% de los 10,000 escenarios simulados.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color="auto" w:fill="1F497D"/>
          </w:tcPr>
          <w:p>
            <w:pPr>
              <w:jc w:val="center"/>
            </w:pPr>
            <w:r>
              <w:rPr>
                <w:rFonts w:ascii="Calibri" w:hAnsi="Calibri"/>
                <w:b/>
                <w:color w:val="FFFFFF"/>
                <w:sz w:val="18"/>
              </w:rPr>
              <w:t>Criterio</w:t>
            </w:r>
          </w:p>
        </w:tc>
        <w:tc>
          <w:tcPr>
            <w:tcW w:type="dxa" w:w="2520"/>
            <w:shd w:val="clear" w:color="auto" w:fill="1F497D"/>
          </w:tcPr>
          <w:p>
            <w:pPr>
              <w:jc w:val="center"/>
            </w:pPr>
            <w:r>
              <w:rPr>
                <w:rFonts w:ascii="Calibri" w:hAnsi="Calibri"/>
                <w:b/>
                <w:color w:val="FFFFFF"/>
                <w:sz w:val="18"/>
              </w:rPr>
              <w:t>Sin riego (temporal)</w:t>
            </w:r>
          </w:p>
        </w:tc>
        <w:tc>
          <w:tcPr>
            <w:tcW w:type="dxa" w:w="2520"/>
            <w:shd w:val="clear" w:color="auto" w:fill="1F497D"/>
          </w:tcPr>
          <w:p>
            <w:pPr>
              <w:jc w:val="center"/>
            </w:pPr>
            <w:r>
              <w:rPr>
                <w:rFonts w:ascii="Calibri" w:hAnsi="Calibri"/>
                <w:b/>
                <w:color w:val="FFFFFF"/>
                <w:sz w:val="18"/>
              </w:rPr>
              <w:t>Con riego</w:t>
            </w:r>
          </w:p>
        </w:tc>
        <w:tc>
          <w:tcPr>
            <w:tcW w:type="dxa" w:w="2520"/>
            <w:shd w:val="clear" w:color="auto" w:fill="1F497D"/>
          </w:tcPr>
          <w:p>
            <w:pPr>
              <w:jc w:val="center"/>
            </w:pPr>
            <w:r>
              <w:rPr>
                <w:rFonts w:ascii="Calibri" w:hAnsi="Calibri"/>
                <w:b/>
                <w:color w:val="FFFFFF"/>
                <w:sz w:val="18"/>
              </w:rPr>
              <w:t>Decisión</w:t>
            </w:r>
          </w:p>
        </w:tc>
      </w:tr>
      <w:tr>
        <w:tc>
          <w:tcPr>
            <w:tcW w:type="dxa" w:w="2520"/>
            <w:shd w:val="clear" w:color="auto" w:fill="FFFFFF"/>
          </w:tcPr>
          <w:p>
            <w:pPr>
              <w:jc w:val="center"/>
            </w:pPr>
            <w:r>
              <w:rPr>
                <w:rFonts w:ascii="Calibri" w:hAnsi="Calibri"/>
                <w:sz w:val="18"/>
              </w:rPr>
              <w:t>Mayor utilidad esperada (analítica)</w:t>
            </w:r>
          </w:p>
        </w:tc>
        <w:tc>
          <w:tcPr>
            <w:tcW w:type="dxa" w:w="2520"/>
            <w:shd w:val="clear" w:color="auto" w:fill="FFFFFF"/>
          </w:tcPr>
          <w:p>
            <w:pPr>
              <w:jc w:val="center"/>
            </w:pPr>
            <w:r>
              <w:rPr>
                <w:rFonts w:ascii="Calibri" w:hAnsi="Calibri"/>
                <w:sz w:val="18"/>
              </w:rPr>
              <w:t>-$34,316 MXN</w:t>
            </w:r>
          </w:p>
        </w:tc>
        <w:tc>
          <w:tcPr>
            <w:tcW w:type="dxa" w:w="2520"/>
            <w:shd w:val="clear" w:color="auto" w:fill="FFFFFF"/>
          </w:tcPr>
          <w:p>
            <w:pPr>
              <w:jc w:val="center"/>
            </w:pPr>
            <w:r>
              <w:rPr>
                <w:rFonts w:ascii="Calibri" w:hAnsi="Calibri"/>
                <w:sz w:val="18"/>
              </w:rPr>
              <w:t>-$1,974,042 MXN</w:t>
            </w:r>
          </w:p>
        </w:tc>
        <w:tc>
          <w:tcPr>
            <w:tcW w:type="dxa" w:w="2520"/>
            <w:shd w:val="clear" w:color="auto" w:fill="FFFFFF"/>
          </w:tcPr>
          <w:p>
            <w:pPr>
              <w:jc w:val="center"/>
            </w:pPr>
            <w:r>
              <w:rPr>
                <w:rFonts w:ascii="Calibri" w:hAnsi="Calibri"/>
                <w:sz w:val="18"/>
              </w:rPr>
              <w:t>Temporal</w:t>
            </w:r>
          </w:p>
        </w:tc>
      </w:tr>
      <w:tr>
        <w:tc>
          <w:tcPr>
            <w:tcW w:type="dxa" w:w="2520"/>
            <w:shd w:val="clear" w:color="auto" w:fill="F2F2F2"/>
          </w:tcPr>
          <w:p>
            <w:pPr>
              <w:jc w:val="center"/>
            </w:pPr>
            <w:r>
              <w:rPr>
                <w:rFonts w:ascii="Calibri" w:hAnsi="Calibri"/>
                <w:sz w:val="18"/>
              </w:rPr>
              <w:t>Mayoría de escenarios favorables (simulación)</w:t>
            </w:r>
          </w:p>
        </w:tc>
        <w:tc>
          <w:tcPr>
            <w:tcW w:type="dxa" w:w="2520"/>
            <w:shd w:val="clear" w:color="auto" w:fill="F2F2F2"/>
          </w:tcPr>
          <w:p>
            <w:pPr>
              <w:jc w:val="center"/>
            </w:pPr>
            <w:r>
              <w:rPr>
                <w:rFonts w:ascii="Calibri" w:hAnsi="Calibri"/>
                <w:sz w:val="18"/>
              </w:rPr>
              <w:t>64.7%</w:t>
            </w:r>
          </w:p>
        </w:tc>
        <w:tc>
          <w:tcPr>
            <w:tcW w:type="dxa" w:w="2520"/>
            <w:shd w:val="clear" w:color="auto" w:fill="F2F2F2"/>
          </w:tcPr>
          <w:p>
            <w:pPr>
              <w:jc w:val="center"/>
            </w:pPr>
            <w:r>
              <w:rPr>
                <w:rFonts w:ascii="Calibri" w:hAnsi="Calibri"/>
                <w:sz w:val="18"/>
              </w:rPr>
              <w:t>35.3%</w:t>
            </w:r>
          </w:p>
        </w:tc>
        <w:tc>
          <w:tcPr>
            <w:tcW w:type="dxa" w:w="2520"/>
            <w:shd w:val="clear" w:color="auto" w:fill="F2F2F2"/>
          </w:tcPr>
          <w:p>
            <w:pPr>
              <w:jc w:val="center"/>
            </w:pPr>
            <w:r>
              <w:rPr>
                <w:rFonts w:ascii="Calibri" w:hAnsi="Calibri"/>
                <w:sz w:val="18"/>
              </w:rPr>
              <w:t>Temporal</w:t>
            </w:r>
          </w:p>
        </w:tc>
      </w:tr>
      <w:tr>
        <w:tc>
          <w:tcPr>
            <w:tcW w:type="dxa" w:w="2520"/>
            <w:shd w:val="clear" w:color="auto" w:fill="FFFFFF"/>
          </w:tcPr>
          <w:p>
            <w:pPr>
              <w:jc w:val="center"/>
            </w:pPr>
            <w:r>
              <w:rPr>
                <w:rFonts w:ascii="Calibri" w:hAnsi="Calibri"/>
                <w:sz w:val="18"/>
              </w:rPr>
              <w:t>Utilidad media simulada</w:t>
            </w:r>
          </w:p>
        </w:tc>
        <w:tc>
          <w:tcPr>
            <w:tcW w:type="dxa" w:w="2520"/>
            <w:shd w:val="clear" w:color="auto" w:fill="FFFFFF"/>
          </w:tcPr>
          <w:p>
            <w:pPr>
              <w:jc w:val="center"/>
            </w:pPr>
            <w:r>
              <w:rPr>
                <w:rFonts w:ascii="Calibri" w:hAnsi="Calibri"/>
                <w:sz w:val="18"/>
              </w:rPr>
              <w:t>-$59,979 MXN</w:t>
            </w:r>
          </w:p>
        </w:tc>
        <w:tc>
          <w:tcPr>
            <w:tcW w:type="dxa" w:w="2520"/>
            <w:shd w:val="clear" w:color="auto" w:fill="FFFFFF"/>
          </w:tcPr>
          <w:p>
            <w:pPr>
              <w:jc w:val="center"/>
            </w:pPr>
            <w:r>
              <w:rPr>
                <w:rFonts w:ascii="Calibri" w:hAnsi="Calibri"/>
                <w:sz w:val="18"/>
              </w:rPr>
              <w:t>-$2,087,268 MXN</w:t>
            </w:r>
          </w:p>
        </w:tc>
        <w:tc>
          <w:tcPr>
            <w:tcW w:type="dxa" w:w="2520"/>
            <w:shd w:val="clear" w:color="auto" w:fill="FFFFFF"/>
          </w:tcPr>
          <w:p>
            <w:pPr>
              <w:jc w:val="center"/>
            </w:pPr>
            <w:r>
              <w:rPr>
                <w:rFonts w:ascii="Calibri" w:hAnsi="Calibri"/>
                <w:sz w:val="18"/>
              </w:rPr>
              <w:t>Temporal</w:t>
            </w:r>
          </w:p>
        </w:tc>
      </w:tr>
    </w:tbl>
    <w:p>
      <w:pPr>
        <w:spacing w:before="40" w:after="160"/>
        <w:jc w:val="left"/>
      </w:pPr>
      <w:r>
        <w:rPr>
          <w:rFonts w:ascii="Calibri" w:hAnsi="Calibri"/>
          <w:b w:val="0"/>
          <w:i/>
          <w:color w:val="404040"/>
          <w:sz w:val="18"/>
        </w:rPr>
        <w:t>Tabla 7 — Comparación de criterios de decisión</w:t>
      </w:r>
    </w:p>
    <w:p>
      <w:pPr>
        <w:spacing w:before="240" w:after="80"/>
        <w:jc w:val="left"/>
      </w:pPr>
      <w:r>
        <w:rPr>
          <w:rFonts w:ascii="Calibri" w:hAnsi="Calibri"/>
          <w:b/>
          <w:i w:val="0"/>
          <w:color w:val="1F497D"/>
          <w:sz w:val="26"/>
        </w:rPr>
        <w:t>8. Recomendación y conclusión</w:t>
      </w:r>
    </w:p>
    <w:p>
      <w:pPr>
        <w:spacing w:before="0" w:after="120"/>
        <w:jc w:val="both"/>
      </w:pPr>
      <w:r>
        <w:rPr>
          <w:rFonts w:ascii="Calibri" w:hAnsi="Calibri"/>
          <w:b w:val="0"/>
          <w:i w:val="0"/>
          <w:sz w:val="20"/>
        </w:rPr>
        <w:t>Con base en el análisis de árbol de decisión y la simulación de Monte Carlo, se recomienda al productor no invertir en el sistema de riego en el horizonte analizado de 7 años.</w:t>
      </w:r>
    </w:p>
    <w:p>
      <w:pPr>
        <w:spacing w:before="0" w:after="120"/>
        <w:jc w:val="both"/>
      </w:pPr>
      <w:r>
        <w:rPr>
          <w:rFonts w:ascii="Calibri" w:hAnsi="Calibri"/>
          <w:b w:val="0"/>
          <w:i w:val="0"/>
          <w:sz w:val="20"/>
        </w:rPr>
        <w:t>Ambos criterios coinciden en no recomendar la inversión. La utilidad neta acumulada con riego (-$1,974,042 MXN) es menor que la alternativa temporal (-$34,316 MXN). La inversión inicial de $8,000,000 MXN no se recupera en 7 años bajo el precio esperado de $807.04 MXN/ton. La simulación confirma que solo en el 35.3% de los escenarios el riego resulta más rentable, lo que evidencia que la decisión de no invertir es robusta bajo incertidumbre.</w:t>
      </w:r>
    </w:p>
    <w:p>
      <w:pPr>
        <w:spacing w:before="0" w:after="120"/>
        <w:jc w:val="both"/>
      </w:pPr>
      <w:r>
        <w:rPr>
          <w:rFonts w:ascii="Calibri" w:hAnsi="Calibri"/>
          <w:b w:val="0"/>
          <w:i w:val="0"/>
          <w:sz w:val="20"/>
        </w:rPr>
        <w:t>Es relevante destacar que el sistema de riego presenta ventajas operativas importantes: eleva el rendimiento esperado de 47.0 a 88.7 ton/ha/año y reduce la exposición a pérdidas severas en años de sequía moderada y severa. Sin embargo, el costo operativo adicional de $25,000 MXN/ha/año (riego vs temporal) y la magnitud de la inversión inicial hacen que, en un horizonte de 7 años, la alternativa de temporal sea financieramente superior en valor esperado. El productor debería reconsiderar la inversión si se presentan condiciones de financiamiento favorables (créditos subsidiados), si el horizonte de análisis se extiende más allá de los 7 años de vida útil del sistema, o si su aversión al riesgo de pérdidas en años de sequía extrema es determinante.</w:t>
      </w:r>
    </w:p>
    <w:sectPr w:rsidR="00AF3200" w:rsidRPr="00007695"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7530049">
    <w:abstractNumId w:val="8"/>
  </w:num>
  <w:num w:numId="2" w16cid:durableId="1310212181">
    <w:abstractNumId w:val="6"/>
  </w:num>
  <w:num w:numId="3" w16cid:durableId="558058756">
    <w:abstractNumId w:val="5"/>
  </w:num>
  <w:num w:numId="4" w16cid:durableId="489903587">
    <w:abstractNumId w:val="4"/>
  </w:num>
  <w:num w:numId="5" w16cid:durableId="1102262365">
    <w:abstractNumId w:val="7"/>
  </w:num>
  <w:num w:numId="6" w16cid:durableId="989672095">
    <w:abstractNumId w:val="3"/>
  </w:num>
  <w:num w:numId="7" w16cid:durableId="1585993332">
    <w:abstractNumId w:val="2"/>
  </w:num>
  <w:num w:numId="8" w16cid:durableId="2106534006">
    <w:abstractNumId w:val="1"/>
  </w:num>
  <w:num w:numId="9" w16cid:durableId="1420712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695"/>
    <w:rsid w:val="00034616"/>
    <w:rsid w:val="0006063C"/>
    <w:rsid w:val="0015074B"/>
    <w:rsid w:val="0029639D"/>
    <w:rsid w:val="00326F90"/>
    <w:rsid w:val="009E558E"/>
    <w:rsid w:val="00AA1D8D"/>
    <w:rsid w:val="00AF3200"/>
    <w:rsid w:val="00B47730"/>
    <w:rsid w:val="00CB0664"/>
    <w:rsid w:val="00FC693F"/>
    <w:rsid w:val="00FE28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68670E"/>
  <w14:defaultImageDpi w14:val="300"/>
  <w15:docId w15:val="{D823B7BF-B6F4-4107-8632-C84224FD7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185</Words>
  <Characters>1058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Pulido Rosas</cp:lastModifiedBy>
  <cp:revision>2</cp:revision>
  <dcterms:created xsi:type="dcterms:W3CDTF">2026-04-13T08:30:00Z</dcterms:created>
  <dcterms:modified xsi:type="dcterms:W3CDTF">2026-04-13T08:30:00Z</dcterms:modified>
  <cp:category/>
</cp:coreProperties>
</file>