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540"/>
        <w:gridCol w:w="8540"/>
      </w:tblGrid>
      <w:tr w:rsidR="00AF3200" w:rsidRPr="00007695" w14:paraId="5867A577" w14:textId="77777777">
        <w:tc>
          <w:tcPr>
            <w:tcW w:w="1300" w:type="dxa"/>
            <w:vAlign w:val="center"/>
          </w:tcPr>
          <w:p w14:paraId="46E4EC4F" w14:textId="77777777" w:rsidR="00AF3200" w:rsidRDefault="00000000">
            <w:pPr>
              <w:jc w:val="center"/>
            </w:pPr>
            <w:r>
              <w:rPr>
                <w:noProof/>
              </w:rPr>
              <w:drawing>
                <wp:inline distT="0" distB="0" distL="0" distR="0" wp14:anchorId="1C3858B4" wp14:editId="38AFACCF">
                  <wp:extent cx="841248" cy="8412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deg_flat.png"/>
                          <pic:cNvPicPr/>
                        </pic:nvPicPr>
                        <pic:blipFill>
                          <a:blip r:embed="rId6"/>
                          <a:stretch>
                            <a:fillRect/>
                          </a:stretch>
                        </pic:blipFill>
                        <pic:spPr>
                          <a:xfrm>
                            <a:off x="0" y="0"/>
                            <a:ext cx="841248" cy="841248"/>
                          </a:xfrm>
                          <a:prstGeom prst="rect">
                            <a:avLst/>
                          </a:prstGeom>
                        </pic:spPr>
                      </pic:pic>
                    </a:graphicData>
                  </a:graphic>
                </wp:inline>
              </w:drawing>
            </w:r>
          </w:p>
        </w:tc>
        <w:tc>
          <w:tcPr>
            <w:tcW w:w="8780" w:type="dxa"/>
            <w:vAlign w:val="center"/>
          </w:tcPr>
          <w:p w14:paraId="574A5EC0" w14:textId="77777777" w:rsidR="00AF3200" w:rsidRPr="00007695" w:rsidRDefault="00000000">
            <w:pPr>
              <w:spacing w:before="20" w:after="20"/>
              <w:rPr>
                <w:lang w:val="es-MX"/>
              </w:rPr>
            </w:pPr>
            <w:r w:rsidRPr="00007695">
              <w:rPr>
                <w:b/>
                <w:color w:val="1A237E"/>
                <w:sz w:val="24"/>
                <w:lang w:val="es-MX"/>
              </w:rPr>
              <w:t>Universidad de Guadalajara</w:t>
            </w:r>
          </w:p>
          <w:p w14:paraId="5B21D399" w14:textId="77777777" w:rsidR="00AF3200" w:rsidRPr="00007695" w:rsidRDefault="00000000">
            <w:pPr>
              <w:spacing w:before="20" w:after="20"/>
              <w:rPr>
                <w:lang w:val="es-MX"/>
              </w:rPr>
            </w:pPr>
            <w:r w:rsidRPr="00007695">
              <w:rPr>
                <w:color w:val="1A237E"/>
                <w:lang w:val="es-MX"/>
              </w:rPr>
              <w:t>Centro Universitario de Ciencias Económico-Administrativas</w:t>
            </w:r>
          </w:p>
          <w:p w14:paraId="3BBF8B58" w14:textId="4C7E1FC1" w:rsidR="00AF3200" w:rsidRPr="00007695" w:rsidRDefault="00000000">
            <w:pPr>
              <w:spacing w:before="20" w:after="20"/>
              <w:rPr>
                <w:lang w:val="es-MX"/>
              </w:rPr>
            </w:pPr>
            <w:r w:rsidRPr="00007695">
              <w:rPr>
                <w:color w:val="1A237E"/>
                <w:lang w:val="es-MX"/>
              </w:rPr>
              <w:t>Maestría en Ciencias de los Datos | 2° Semestre</w:t>
            </w:r>
          </w:p>
          <w:p w14:paraId="3E5184FD" w14:textId="77777777" w:rsidR="00AF3200" w:rsidRPr="00007695" w:rsidRDefault="00000000">
            <w:pPr>
              <w:spacing w:before="20" w:after="20"/>
              <w:rPr>
                <w:lang w:val="es-MX"/>
              </w:rPr>
            </w:pPr>
            <w:r w:rsidRPr="00007695">
              <w:rPr>
                <w:color w:val="1A237E"/>
                <w:lang w:val="es-MX"/>
              </w:rPr>
              <w:t>Materia: Almacenamiento de Grandes Bases de Datos</w:t>
            </w:r>
          </w:p>
        </w:tc>
      </w:tr>
    </w:tbl>
    <w:p w14:paraId="73B1CDEB" w14:textId="77777777" w:rsidR="00007695" w:rsidRDefault="00007695">
      <w:pPr>
        <w:pBdr>
          <w:bottom w:val="single" w:sz="6" w:space="1" w:color="F9A825"/>
        </w:pBdr>
        <w:spacing w:before="40" w:after="40"/>
        <w:rPr>
          <w:lang w:val="es-MX"/>
        </w:rPr>
      </w:pPr>
    </w:p>
    <w:p w14:paraId="36EECCA9" w14:textId="0811316B" w:rsidR="00007695" w:rsidRPr="00007695" w:rsidRDefault="00007695" w:rsidP="00007695">
      <w:pPr>
        <w:pBdr>
          <w:bottom w:val="single" w:sz="18" w:space="1" w:color="1A237E"/>
        </w:pBdr>
        <w:spacing w:before="80" w:after="40"/>
        <w:jc w:val="center"/>
        <w:rPr>
          <w:b/>
          <w:color w:val="1A237E"/>
          <w:sz w:val="30"/>
          <w:lang w:val="es-MX"/>
        </w:rPr>
      </w:pPr>
      <w:r>
        <w:rPr>
          <w:rFonts w:ascii="Calibri" w:hAnsi="Calibri"/>
          <w:b/>
          <w:color w:val="1F497D"/>
          <w:sz w:val="26"/>
        </w:rPr>
        <w:t>Construccion de Modelos e Interpretacion con BigData</w:t>
        <w:br/>
        <w:t>Regresion Lineal y Logistica — Asegurados IMSS Abril 2026</w:t>
      </w:r>
    </w:p>
    <w:p w14:paraId="56346EEE" w14:textId="77777777" w:rsidR="00007695" w:rsidRPr="00007695" w:rsidRDefault="00007695">
      <w:pPr>
        <w:pBdr>
          <w:bottom w:val="single" w:sz="6" w:space="1" w:color="F9A825"/>
        </w:pBdr>
        <w:spacing w:before="40" w:after="40"/>
        <w:rPr>
          <w:lang w:val="es-MX"/>
        </w:rPr>
      </w:pPr>
    </w:p>
    <w:tbl>
      <w:tblPr>
        <w:tblStyle w:val="TableGrid"/>
        <w:tblW w:w="0" w:type="auto"/>
        <w:tblLook w:val="04A0" w:firstRow="1" w:lastRow="0" w:firstColumn="1" w:lastColumn="0" w:noHBand="0" w:noVBand="1"/>
      </w:tblPr>
      <w:tblGrid>
        <w:gridCol w:w="1799"/>
        <w:gridCol w:w="8271"/>
      </w:tblGrid>
      <w:tr w:rsidR="00AF3200" w14:paraId="0EA24C6B" w14:textId="77777777">
        <w:tc>
          <w:tcPr>
            <w:tcW w:w="1800" w:type="dxa"/>
            <w:shd w:val="clear" w:color="auto" w:fill="E8EAF6"/>
          </w:tcPr>
          <w:p w14:paraId="0F0FA54E" w14:textId="77777777" w:rsidR="00AF3200" w:rsidRDefault="00000000">
            <w:pPr>
              <w:spacing w:before="40" w:after="40"/>
            </w:pPr>
            <w:proofErr w:type="spellStart"/>
            <w:r>
              <w:rPr>
                <w:b/>
                <w:color w:val="1A237E"/>
              </w:rPr>
              <w:t>Alumno</w:t>
            </w:r>
            <w:proofErr w:type="spellEnd"/>
            <w:r>
              <w:rPr>
                <w:b/>
                <w:color w:val="1A237E"/>
              </w:rPr>
              <w:t>:</w:t>
            </w:r>
          </w:p>
        </w:tc>
        <w:tc>
          <w:tcPr>
            <w:tcW w:w="8280" w:type="dxa"/>
            <w:shd w:val="clear" w:color="auto" w:fill="E8EAF6"/>
          </w:tcPr>
          <w:p w14:paraId="664560E0" w14:textId="77777777" w:rsidR="00AF3200" w:rsidRDefault="00000000">
            <w:pPr>
              <w:spacing w:before="40" w:after="40"/>
            </w:pPr>
            <w:r>
              <w:rPr>
                <w:color w:val="1A237E"/>
              </w:rPr>
              <w:t>Carlos Pulido Rosas</w:t>
            </w:r>
          </w:p>
        </w:tc>
      </w:tr>
      <w:tr w:rsidR="00AF3200" w:rsidRPr="00007695" w14:paraId="3135AEEB" w14:textId="77777777">
        <w:tc>
          <w:tcPr>
            <w:tcW w:w="1800" w:type="dxa"/>
            <w:shd w:val="clear" w:color="auto" w:fill="E8EAF6"/>
          </w:tcPr>
          <w:p w14:paraId="035A4C96" w14:textId="77777777" w:rsidR="00AF3200" w:rsidRDefault="00000000">
            <w:pPr>
              <w:spacing w:before="40" w:after="40"/>
            </w:pPr>
            <w:r>
              <w:rPr>
                <w:b/>
                <w:color w:val="1A237E"/>
              </w:rPr>
              <w:t>Fecha:</w:t>
            </w:r>
          </w:p>
        </w:tc>
        <w:tc>
          <w:tcPr>
            <w:tcW w:w="8280" w:type="dxa"/>
            <w:shd w:val="clear" w:color="auto" w:fill="E8EAF6"/>
          </w:tcPr>
          <w:p w14:paraId="3A38D44F" w14:textId="77777777" w:rsidR="00AF3200" w:rsidRPr="00007695" w:rsidRDefault="00000000">
            <w:pPr>
              <w:spacing w:before="40" w:after="40"/>
              <w:rPr>
                <w:lang w:val="es-MX"/>
              </w:rPr>
            </w:pPr>
            <w:r w:rsidRPr="00007695">
              <w:rPr>
                <w:color w:val="1A237E"/>
                <w:lang w:val="es-MX"/>
              </w:rPr>
              <w:t>19 de mayo de 2026</w:t>
            </w:r>
          </w:p>
        </w:tc>
      </w:tr>
      <w:tr w:rsidR="00AF3200" w:rsidRPr="00007695" w14:paraId="0FA8133E" w14:textId="77777777">
        <w:tc>
          <w:tcPr>
            <w:tcW w:w="1800" w:type="dxa"/>
            <w:shd w:val="clear" w:color="auto" w:fill="E8EAF6"/>
          </w:tcPr>
          <w:p w14:paraId="73844D80" w14:textId="77777777" w:rsidR="00AF3200" w:rsidRDefault="00000000">
            <w:pPr>
              <w:spacing w:before="40" w:after="40"/>
            </w:pPr>
            <w:proofErr w:type="spellStart"/>
            <w:r>
              <w:rPr>
                <w:b/>
                <w:color w:val="1A237E"/>
              </w:rPr>
              <w:t>Actividad</w:t>
            </w:r>
            <w:proofErr w:type="spellEnd"/>
            <w:r>
              <w:rPr>
                <w:b/>
                <w:color w:val="1A237E"/>
              </w:rPr>
              <w:t>:</w:t>
            </w:r>
          </w:p>
        </w:tc>
        <w:tc>
          <w:tcPr>
            <w:tcW w:w="8280" w:type="dxa"/>
            <w:shd w:val="clear" w:color="auto" w:fill="E8EAF6"/>
          </w:tcPr>
          <w:p w14:paraId="359E296D" w14:textId="77777777" w:rsidR="00AF3200" w:rsidRPr="00007695" w:rsidRDefault="00000000">
            <w:pPr>
              <w:spacing w:before="40" w:after="40"/>
              <w:rPr>
                <w:lang w:val="es-MX"/>
              </w:rPr>
            </w:pPr>
            <w:r w:rsidRPr="00007695">
              <w:rPr>
                <w:color w:val="1A237E"/>
                <w:lang w:val="es-MX"/>
              </w:rPr>
              <w:t>Actividad 12 — Modelos de regresion con BigData</w:t>
            </w:r>
          </w:p>
        </w:tc>
      </w:tr>
      <w:tr w:rsidR="00AF3200" w14:paraId="57F81E8B" w14:textId="77777777">
        <w:tc>
          <w:tcPr>
            <w:tcW w:w="1800" w:type="dxa"/>
            <w:shd w:val="clear" w:color="auto" w:fill="E8EAF6"/>
          </w:tcPr>
          <w:p w14:paraId="3DF6E06E" w14:textId="77777777" w:rsidR="00AF3200" w:rsidRDefault="00000000">
            <w:pPr>
              <w:spacing w:before="40" w:after="40"/>
            </w:pPr>
            <w:proofErr w:type="spellStart"/>
            <w:r>
              <w:rPr>
                <w:b/>
                <w:color w:val="1A237E"/>
              </w:rPr>
              <w:t>Herramienta</w:t>
            </w:r>
            <w:proofErr w:type="spellEnd"/>
            <w:r>
              <w:rPr>
                <w:b/>
                <w:color w:val="1A237E"/>
              </w:rPr>
              <w:t>:</w:t>
            </w:r>
          </w:p>
        </w:tc>
        <w:tc>
          <w:tcPr>
            <w:tcW w:w="8280" w:type="dxa"/>
            <w:shd w:val="clear" w:color="auto" w:fill="E8EAF6"/>
          </w:tcPr>
          <w:p w14:paraId="430CAA90" w14:textId="77777777" w:rsidR="00AF3200" w:rsidRDefault="00000000">
            <w:pPr>
              <w:spacing w:before="40" w:after="40"/>
            </w:pPr>
            <w:r>
              <w:rPr>
                <w:color w:val="1A237E"/>
              </w:rPr>
              <w:t>Python 3.13 / statsmodels / sklearn / pandas</w:t>
            </w:r>
          </w:p>
        </w:tc>
      </w:tr>
      <w:tr w:rsidR="00AF3200" w14:paraId="70BC04B6" w14:textId="77777777">
        <w:tc>
          <w:tcPr>
            <w:tcW w:w="1800" w:type="dxa"/>
            <w:shd w:val="clear" w:color="auto" w:fill="E8EAF6"/>
          </w:tcPr>
          <w:p w14:paraId="64B8983B" w14:textId="77777777" w:rsidR="00AF3200" w:rsidRDefault="00000000">
            <w:pPr>
              <w:spacing w:before="40" w:after="40"/>
            </w:pPr>
            <w:r>
              <w:rPr>
                <w:b/>
                <w:color w:val="1A237E"/>
              </w:rPr>
              <w:t>Versión:</w:t>
            </w:r>
          </w:p>
        </w:tc>
        <w:tc>
          <w:tcPr>
            <w:tcW w:w="8280" w:type="dxa"/>
            <w:shd w:val="clear" w:color="auto" w:fill="E8EAF6"/>
          </w:tcPr>
          <w:p w14:paraId="18B4F231" w14:textId="77777777" w:rsidR="00AF3200" w:rsidRDefault="00000000">
            <w:pPr>
              <w:spacing w:before="40" w:after="40"/>
            </w:pPr>
            <w:r>
              <w:rPr>
                <w:color w:val="1A237E"/>
              </w:rPr>
              <w:t>WLS con interacciones + GLM Binomial ponderado</w:t>
            </w:r>
          </w:p>
        </w:tc>
      </w:tr>
      <w:tr w:rsidR="00AF3200" w:rsidRPr="00007695" w14:paraId="066607D6" w14:textId="77777777">
        <w:tc>
          <w:tcPr>
            <w:tcW w:w="1800" w:type="dxa"/>
            <w:shd w:val="clear" w:color="auto" w:fill="E8EAF6"/>
          </w:tcPr>
          <w:p w14:paraId="780D9BD2" w14:textId="77777777" w:rsidR="00AF3200" w:rsidRDefault="00000000">
            <w:pPr>
              <w:spacing w:before="40" w:after="40"/>
            </w:pPr>
            <w:r>
              <w:rPr>
                <w:b/>
                <w:color w:val="1A237E"/>
              </w:rPr>
              <w:t>Entorno:</w:t>
            </w:r>
          </w:p>
        </w:tc>
        <w:tc>
          <w:tcPr>
            <w:tcW w:w="8280" w:type="dxa"/>
            <w:shd w:val="clear" w:color="auto" w:fill="E8EAF6"/>
          </w:tcPr>
          <w:p w14:paraId="3D1FC219" w14:textId="77777777" w:rsidR="00AF3200" w:rsidRPr="00007695" w:rsidRDefault="00000000">
            <w:pPr>
              <w:spacing w:before="40" w:after="40"/>
              <w:rPr>
                <w:lang w:val="es-MX"/>
              </w:rPr>
            </w:pPr>
            <w:r w:rsidRPr="00007695">
              <w:rPr>
                <w:color w:val="1A237E"/>
                <w:lang w:val="es-MX"/>
              </w:rPr>
              <w:t>Windows 11 — MSI Katana AI B8V</w:t>
            </w:r>
            <w:proofErr w:type="spellStart"/>
            <w:r w:rsidRPr="00007695">
              <w:rPr>
                <w:color w:val="1A237E"/>
                <w:lang w:val="es-MX"/>
              </w:rPr>
              <w:t>homelab</w:t>
            </w:r>
            <w:proofErr w:type="spellEnd"/>
            <w:r w:rsidRPr="00007695">
              <w:rPr>
                <w:color w:val="1A237E"/>
                <w:lang w:val="es-MX"/>
              </w:rPr>
              <w:t>, Docker, etc.]</w:t>
            </w:r>
          </w:p>
        </w:tc>
      </w:tr>
      <w:tr w:rsidR="00AF3200" w:rsidRPr="00007695" w14:paraId="75599C32" w14:textId="77777777">
        <w:tc>
          <w:tcPr>
            <w:tcW w:w="1800" w:type="dxa"/>
            <w:shd w:val="clear" w:color="auto" w:fill="E8EAF6"/>
          </w:tcPr>
          <w:p w14:paraId="13474C8D" w14:textId="77777777" w:rsidR="00AF3200" w:rsidRDefault="00000000">
            <w:pPr>
              <w:spacing w:before="40" w:after="40"/>
            </w:pPr>
            <w:r>
              <w:rPr>
                <w:b/>
                <w:color w:val="1A237E"/>
              </w:rPr>
              <w:t>Dataset:</w:t>
            </w:r>
          </w:p>
        </w:tc>
        <w:tc>
          <w:tcPr>
            <w:tcW w:w="8280" w:type="dxa"/>
            <w:shd w:val="clear" w:color="auto" w:fill="E8EAF6"/>
          </w:tcPr>
          <w:p w14:paraId="31506C5B" w14:textId="77777777" w:rsidR="00AF3200" w:rsidRPr="00007695" w:rsidRDefault="00000000">
            <w:pPr>
              <w:spacing w:before="40" w:after="40"/>
              <w:rPr>
                <w:lang w:val="es-MX"/>
              </w:rPr>
            </w:pPr>
            <w:r w:rsidRPr="00007695">
              <w:rPr>
                <w:color w:val="1A237E"/>
                <w:lang w:val="es-MX"/>
              </w:rPr>
              <w:t>IMSS ASG — Datos abiertos abril 2026</w:t>
            </w:r>
            <w:proofErr w:type="spellStart"/>
            <w:r w:rsidRPr="00007695">
              <w:rPr>
                <w:color w:val="1A237E"/>
                <w:lang w:val="es-MX"/>
              </w:rPr>
              <w:t>dataset</w:t>
            </w:r>
            <w:proofErr w:type="spellEnd"/>
            <w:r w:rsidRPr="00007695">
              <w:rPr>
                <w:color w:val="1A237E"/>
                <w:lang w:val="es-MX"/>
              </w:rPr>
              <w:t>]</w:t>
            </w:r>
          </w:p>
        </w:tc>
      </w:tr>
    </w:tbl>
    <w:p>
      <w:pPr>
        <w:spacing w:before="200" w:after="0"/>
        <w:jc w:val="left"/>
      </w:pPr>
    </w:p>
    <w:p>
      <w:pPr>
        <w:spacing w:before="200" w:after="60"/>
        <w:jc w:val="left"/>
      </w:pPr>
      <w:r>
        <w:rPr>
          <w:rFonts w:ascii="Calibri" w:hAnsi="Calibri"/>
          <w:b/>
          <w:i w:val="0"/>
          <w:color w:val="1F497D"/>
          <w:sz w:val="26"/>
        </w:rPr>
        <w:t>1. Introduccion</w:t>
      </w:r>
    </w:p>
    <w:p>
      <w:pPr>
        <w:spacing w:before="0" w:after="80"/>
        <w:jc w:val="left"/>
      </w:pPr>
      <w:r>
        <w:rPr>
          <w:rFonts w:ascii="Calibri" w:hAnsi="Calibri"/>
          <w:b w:val="0"/>
          <w:i w:val="0"/>
          <w:sz w:val="20"/>
        </w:rPr>
        <w:t>La base de datos de asegurados del IMSS correspondiente a abril de 2026 registra 7,431,265 trabajadores urbanos distribuidos en 1,386,620 celdas de cruce (entidad x municipio x sector x tamano x sexo x edad x rango salarial). Cada fila representa un agregado: cuantos trabajadores comparten exactamente esas caracteristicas y en que rango salarial (W1-W10) se encuentran.</w:t>
      </w:r>
    </w:p>
    <w:p>
      <w:pPr>
        <w:spacing w:before="0" w:after="80"/>
        <w:jc w:val="left"/>
      </w:pPr>
      <w:r>
        <w:rPr>
          <w:rFonts w:ascii="Calibri" w:hAnsi="Calibri"/>
          <w:b w:val="0"/>
          <w:i w:val="0"/>
          <w:sz w:val="20"/>
        </w:rPr>
        <w:t>Se construyen dos modelos: (1) un modelo de minimos cuadrados ponderados (WLS) con termino cuadratico de edad e interacciones edad x tamano, para capturar como el efecto de la experiencia sobre el salario varia segun el tipo de patron; y (2) un modelo logistico ponderado con validacion via curva ROC y tabla de probabilidades predichas, para cuantificar la brecha salarial de genero por entidad y sector economico. Ambos modelos usan el conteo de trabajadores como peso.</w:t>
      </w:r>
    </w:p>
    <w:p>
      <w:pPr>
        <w:spacing w:before="200" w:after="60"/>
        <w:jc w:val="left"/>
      </w:pPr>
      <w:r>
        <w:rPr>
          <w:rFonts w:ascii="Calibri" w:hAnsi="Calibri"/>
          <w:b/>
          <w:i w:val="0"/>
          <w:color w:val="1F497D"/>
          <w:sz w:val="26"/>
        </w:rPr>
        <w:t>2. Descripcion del Dataset y Preparacion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val="clear" w:color="auto" w:fill="1F497D"/>
          </w:tcPr>
          <w:p>
            <w:pPr>
              <w:jc w:val="center"/>
            </w:pPr>
            <w:r>
              <w:rPr>
                <w:rFonts w:ascii="Calibri" w:hAnsi="Calibri"/>
                <w:b/>
                <w:color w:val="FFFFFF"/>
                <w:sz w:val="18"/>
              </w:rPr>
              <w:t>Variable</w:t>
            </w:r>
          </w:p>
        </w:tc>
        <w:tc>
          <w:tcPr>
            <w:tcW w:type="dxa" w:w="3360"/>
            <w:shd w:val="clear" w:color="auto" w:fill="1F497D"/>
          </w:tcPr>
          <w:p>
            <w:pPr>
              <w:jc w:val="center"/>
            </w:pPr>
            <w:r>
              <w:rPr>
                <w:rFonts w:ascii="Calibri" w:hAnsi="Calibri"/>
                <w:b/>
                <w:color w:val="FFFFFF"/>
                <w:sz w:val="18"/>
              </w:rPr>
              <w:t>Tipo</w:t>
            </w:r>
          </w:p>
        </w:tc>
        <w:tc>
          <w:tcPr>
            <w:tcW w:type="dxa" w:w="3360"/>
            <w:shd w:val="clear" w:color="auto" w:fill="1F497D"/>
          </w:tcPr>
          <w:p>
            <w:pPr>
              <w:jc w:val="center"/>
            </w:pPr>
            <w:r>
              <w:rPr>
                <w:rFonts w:ascii="Calibri" w:hAnsi="Calibri"/>
                <w:b/>
                <w:color w:val="FFFFFF"/>
                <w:sz w:val="18"/>
              </w:rPr>
              <w:t>Descripcion / Transformacion</w:t>
            </w:r>
          </w:p>
        </w:tc>
      </w:tr>
      <w:tr>
        <w:tc>
          <w:tcPr>
            <w:tcW w:type="dxa" w:w="3360"/>
            <w:shd w:val="clear" w:color="auto" w:fill="FFFFFF"/>
          </w:tcPr>
          <w:p>
            <w:pPr>
              <w:jc w:val="left"/>
            </w:pPr>
            <w:r>
              <w:rPr>
                <w:rFonts w:ascii="Calibri" w:hAnsi="Calibri"/>
                <w:sz w:val="18"/>
              </w:rPr>
              <w:t>cve_entidad</w:t>
            </w:r>
          </w:p>
        </w:tc>
        <w:tc>
          <w:tcPr>
            <w:tcW w:type="dxa" w:w="3360"/>
            <w:shd w:val="clear" w:color="auto" w:fill="FFFFFF"/>
          </w:tcPr>
          <w:p>
            <w:pPr>
              <w:jc w:val="center"/>
            </w:pPr>
            <w:r>
              <w:rPr>
                <w:rFonts w:ascii="Calibri" w:hAnsi="Calibri"/>
                <w:sz w:val="18"/>
              </w:rPr>
              <w:t>Categorica</w:t>
            </w:r>
          </w:p>
        </w:tc>
        <w:tc>
          <w:tcPr>
            <w:tcW w:type="dxa" w:w="3360"/>
            <w:shd w:val="clear" w:color="auto" w:fill="FFFFFF"/>
          </w:tcPr>
          <w:p>
            <w:pPr>
              <w:jc w:val="center"/>
            </w:pPr>
            <w:r>
              <w:rPr>
                <w:rFonts w:ascii="Calibri" w:hAnsi="Calibri"/>
                <w:sz w:val="18"/>
              </w:rPr>
              <w:t>Clave de entidad federativa (1-32) — 32 dummies, ref.=01 Aguascalientes</w:t>
            </w:r>
          </w:p>
        </w:tc>
      </w:tr>
      <w:tr>
        <w:tc>
          <w:tcPr>
            <w:tcW w:type="dxa" w:w="3360"/>
            <w:shd w:val="clear" w:color="auto" w:fill="F2F2F2"/>
          </w:tcPr>
          <w:p>
            <w:pPr>
              <w:jc w:val="left"/>
            </w:pPr>
            <w:r>
              <w:rPr>
                <w:rFonts w:ascii="Calibri" w:hAnsi="Calibri"/>
                <w:sz w:val="18"/>
              </w:rPr>
              <w:t>sector_economico_1</w:t>
            </w:r>
          </w:p>
        </w:tc>
        <w:tc>
          <w:tcPr>
            <w:tcW w:type="dxa" w:w="3360"/>
            <w:shd w:val="clear" w:color="auto" w:fill="F2F2F2"/>
          </w:tcPr>
          <w:p>
            <w:pPr>
              <w:jc w:val="center"/>
            </w:pPr>
            <w:r>
              <w:rPr>
                <w:rFonts w:ascii="Calibri" w:hAnsi="Calibri"/>
                <w:sz w:val="18"/>
              </w:rPr>
              <w:t>Categorica</w:t>
            </w:r>
          </w:p>
        </w:tc>
        <w:tc>
          <w:tcPr>
            <w:tcW w:type="dxa" w:w="3360"/>
            <w:shd w:val="clear" w:color="auto" w:fill="F2F2F2"/>
          </w:tcPr>
          <w:p>
            <w:pPr>
              <w:jc w:val="center"/>
            </w:pPr>
            <w:r>
              <w:rPr>
                <w:rFonts w:ascii="Calibri" w:hAnsi="Calibri"/>
                <w:sz w:val="18"/>
              </w:rPr>
              <w:t>Sector SCIAN a 1 digito (1-9) — 8 dummies, ref.=1 Primario</w:t>
            </w:r>
          </w:p>
        </w:tc>
      </w:tr>
      <w:tr>
        <w:tc>
          <w:tcPr>
            <w:tcW w:type="dxa" w:w="3360"/>
            <w:shd w:val="clear" w:color="auto" w:fill="FFFFFF"/>
          </w:tcPr>
          <w:p>
            <w:pPr>
              <w:jc w:val="left"/>
            </w:pPr>
            <w:r>
              <w:rPr>
                <w:rFonts w:ascii="Calibri" w:hAnsi="Calibri"/>
                <w:sz w:val="18"/>
              </w:rPr>
              <w:t>tamano_patron</w:t>
            </w:r>
          </w:p>
        </w:tc>
        <w:tc>
          <w:tcPr>
            <w:tcW w:type="dxa" w:w="3360"/>
            <w:shd w:val="clear" w:color="auto" w:fill="FFFFFF"/>
          </w:tcPr>
          <w:p>
            <w:pPr>
              <w:jc w:val="center"/>
            </w:pPr>
            <w:r>
              <w:rPr>
                <w:rFonts w:ascii="Calibri" w:hAnsi="Calibri"/>
                <w:sz w:val="18"/>
              </w:rPr>
              <w:t>Categorica</w:t>
            </w:r>
          </w:p>
        </w:tc>
        <w:tc>
          <w:tcPr>
            <w:tcW w:type="dxa" w:w="3360"/>
            <w:shd w:val="clear" w:color="auto" w:fill="FFFFFF"/>
          </w:tcPr>
          <w:p>
            <w:pPr>
              <w:jc w:val="center"/>
            </w:pPr>
            <w:r>
              <w:rPr>
                <w:rFonts w:ascii="Calibri" w:hAnsi="Calibri"/>
                <w:sz w:val="18"/>
              </w:rPr>
              <w:t>S1 (1 trab.) a S7 (251+) — 7 dummies, ref.=S1</w:t>
            </w:r>
          </w:p>
        </w:tc>
      </w:tr>
      <w:tr>
        <w:tc>
          <w:tcPr>
            <w:tcW w:type="dxa" w:w="3360"/>
            <w:shd w:val="clear" w:color="auto" w:fill="F2F2F2"/>
          </w:tcPr>
          <w:p>
            <w:pPr>
              <w:jc w:val="left"/>
            </w:pPr>
            <w:r>
              <w:rPr>
                <w:rFonts w:ascii="Calibri" w:hAnsi="Calibri"/>
                <w:sz w:val="18"/>
              </w:rPr>
              <w:t>sexo</w:t>
            </w:r>
          </w:p>
        </w:tc>
        <w:tc>
          <w:tcPr>
            <w:tcW w:type="dxa" w:w="3360"/>
            <w:shd w:val="clear" w:color="auto" w:fill="F2F2F2"/>
          </w:tcPr>
          <w:p>
            <w:pPr>
              <w:jc w:val="center"/>
            </w:pPr>
            <w:r>
              <w:rPr>
                <w:rFonts w:ascii="Calibri" w:hAnsi="Calibri"/>
                <w:sz w:val="18"/>
              </w:rPr>
              <w:t>Binaria</w:t>
            </w:r>
          </w:p>
        </w:tc>
        <w:tc>
          <w:tcPr>
            <w:tcW w:type="dxa" w:w="3360"/>
            <w:shd w:val="clear" w:color="auto" w:fill="F2F2F2"/>
          </w:tcPr>
          <w:p>
            <w:pPr>
              <w:jc w:val="center"/>
            </w:pPr>
            <w:r>
              <w:rPr>
                <w:rFonts w:ascii="Calibri" w:hAnsi="Calibri"/>
                <w:sz w:val="18"/>
              </w:rPr>
              <w:t>1=Hombre, 2=Mujer (excluye valor 3)  →  mujer = (sexo==2)</w:t>
            </w:r>
          </w:p>
        </w:tc>
      </w:tr>
      <w:tr>
        <w:tc>
          <w:tcPr>
            <w:tcW w:type="dxa" w:w="3360"/>
            <w:shd w:val="clear" w:color="auto" w:fill="FFFFFF"/>
          </w:tcPr>
          <w:p>
            <w:pPr>
              <w:jc w:val="left"/>
            </w:pPr>
            <w:r>
              <w:rPr>
                <w:rFonts w:ascii="Calibri" w:hAnsi="Calibri"/>
                <w:sz w:val="18"/>
              </w:rPr>
              <w:t>rango_edad</w:t>
            </w:r>
          </w:p>
        </w:tc>
        <w:tc>
          <w:tcPr>
            <w:tcW w:type="dxa" w:w="3360"/>
            <w:shd w:val="clear" w:color="auto" w:fill="FFFFFF"/>
          </w:tcPr>
          <w:p>
            <w:pPr>
              <w:jc w:val="center"/>
            </w:pPr>
            <w:r>
              <w:rPr>
                <w:rFonts w:ascii="Calibri" w:hAnsi="Calibri"/>
                <w:sz w:val="18"/>
              </w:rPr>
              <w:t>Ordinal</w:t>
            </w:r>
          </w:p>
        </w:tc>
        <w:tc>
          <w:tcPr>
            <w:tcW w:type="dxa" w:w="3360"/>
            <w:shd w:val="clear" w:color="auto" w:fill="FFFFFF"/>
          </w:tcPr>
          <w:p>
            <w:pPr>
              <w:jc w:val="center"/>
            </w:pPr>
            <w:r>
              <w:rPr>
                <w:rFonts w:ascii="Calibri" w:hAnsi="Calibri"/>
                <w:sz w:val="18"/>
              </w:rPr>
              <w:t>E1 (15-19 anos) a E14 (80+) — convertida a punto medio continuo</w:t>
            </w:r>
          </w:p>
        </w:tc>
      </w:tr>
      <w:tr>
        <w:tc>
          <w:tcPr>
            <w:tcW w:type="dxa" w:w="3360"/>
            <w:shd w:val="clear" w:color="auto" w:fill="F2F2F2"/>
          </w:tcPr>
          <w:p>
            <w:pPr>
              <w:jc w:val="left"/>
            </w:pPr>
            <w:r>
              <w:rPr>
                <w:rFonts w:ascii="Calibri" w:hAnsi="Calibri"/>
                <w:sz w:val="18"/>
              </w:rPr>
              <w:t>rango_salarial</w:t>
            </w:r>
          </w:p>
        </w:tc>
        <w:tc>
          <w:tcPr>
            <w:tcW w:type="dxa" w:w="3360"/>
            <w:shd w:val="clear" w:color="auto" w:fill="F2F2F2"/>
          </w:tcPr>
          <w:p>
            <w:pPr>
              <w:jc w:val="center"/>
            </w:pPr>
            <w:r>
              <w:rPr>
                <w:rFonts w:ascii="Calibri" w:hAnsi="Calibri"/>
                <w:sz w:val="18"/>
              </w:rPr>
              <w:t>Ordinal</w:t>
            </w:r>
          </w:p>
        </w:tc>
        <w:tc>
          <w:tcPr>
            <w:tcW w:type="dxa" w:w="3360"/>
            <w:shd w:val="clear" w:color="auto" w:fill="F2F2F2"/>
          </w:tcPr>
          <w:p>
            <w:pPr>
              <w:jc w:val="center"/>
            </w:pPr>
            <w:r>
              <w:rPr>
                <w:rFonts w:ascii="Calibri" w:hAnsi="Calibri"/>
                <w:sz w:val="18"/>
              </w:rPr>
              <w:t>W1 (min) a W10 (max) — convertida a 1-10 para modelo lineal</w:t>
            </w:r>
          </w:p>
        </w:tc>
      </w:tr>
      <w:tr>
        <w:tc>
          <w:tcPr>
            <w:tcW w:type="dxa" w:w="3360"/>
            <w:shd w:val="clear" w:color="auto" w:fill="FFFFFF"/>
          </w:tcPr>
          <w:p>
            <w:pPr>
              <w:jc w:val="left"/>
            </w:pPr>
            <w:r>
              <w:rPr>
                <w:rFonts w:ascii="Calibri" w:hAnsi="Calibri"/>
                <w:sz w:val="18"/>
              </w:rPr>
              <w:t>peso (calc.)</w:t>
            </w:r>
          </w:p>
        </w:tc>
        <w:tc>
          <w:tcPr>
            <w:tcW w:type="dxa" w:w="3360"/>
            <w:shd w:val="clear" w:color="auto" w:fill="FFFFFF"/>
          </w:tcPr>
          <w:p>
            <w:pPr>
              <w:jc w:val="center"/>
            </w:pPr>
            <w:r>
              <w:rPr>
                <w:rFonts w:ascii="Calibri" w:hAnsi="Calibri"/>
                <w:sz w:val="18"/>
              </w:rPr>
              <w:t>Conteo</w:t>
            </w:r>
          </w:p>
        </w:tc>
        <w:tc>
          <w:tcPr>
            <w:tcW w:type="dxa" w:w="3360"/>
            <w:shd w:val="clear" w:color="auto" w:fill="FFFFFF"/>
          </w:tcPr>
          <w:p>
            <w:pPr>
              <w:jc w:val="center"/>
            </w:pPr>
            <w:r>
              <w:rPr>
                <w:rFonts w:ascii="Calibri" w:hAnsi="Calibri"/>
                <w:sz w:val="18"/>
              </w:rPr>
              <w:t>teu + tpu — trabajadores urbanos; usada como ponderador</w:t>
            </w:r>
          </w:p>
        </w:tc>
      </w:tr>
    </w:tbl>
    <w:p>
      <w:pPr>
        <w:spacing w:before="40" w:after="120"/>
        <w:jc w:val="left"/>
      </w:pPr>
      <w:r>
        <w:rPr>
          <w:rFonts w:ascii="Calibri" w:hAnsi="Calibri"/>
          <w:b w:val="0"/>
          <w:i/>
          <w:color w:val="404040"/>
          <w:sz w:val="18"/>
        </w:rPr>
        <w:t>Tabla 1. Variables utilizadas. Solo se conservan filas con peso &gt; 0 y sexo valido.</w:t>
      </w:r>
    </w:p>
    <w:tbl>
      <w:tblPr>
        <w:tblStyle w:val="TableGrid"/>
        <w:tblW w:type="auto" w:w="0"/>
        <w:jc w:val="center"/>
        <w:tblLook w:firstColumn="1" w:firstRow="1" w:lastColumn="0" w:lastRow="0" w:noHBand="0" w:noVBand="1" w:val="04A0"/>
      </w:tblPr>
      <w:tblGrid>
        <w:gridCol w:w="5040"/>
        <w:gridCol w:w="5040"/>
      </w:tblGrid>
      <w:tr>
        <w:tc>
          <w:tcPr>
            <w:tcW w:type="dxa" w:w="5040"/>
            <w:shd w:val="clear" w:color="auto" w:fill="1F497D"/>
          </w:tcPr>
          <w:p>
            <w:pPr>
              <w:jc w:val="center"/>
            </w:pPr>
            <w:r>
              <w:rPr>
                <w:rFonts w:ascii="Calibri" w:hAnsi="Calibri"/>
                <w:b/>
                <w:color w:val="FFFFFF"/>
                <w:sz w:val="18"/>
              </w:rPr>
              <w:t>Criterio</w:t>
            </w:r>
          </w:p>
        </w:tc>
        <w:tc>
          <w:tcPr>
            <w:tcW w:type="dxa" w:w="5040"/>
            <w:shd w:val="clear" w:color="auto" w:fill="1F497D"/>
          </w:tcPr>
          <w:p>
            <w:pPr>
              <w:jc w:val="center"/>
            </w:pPr>
            <w:r>
              <w:rPr>
                <w:rFonts w:ascii="Calibri" w:hAnsi="Calibri"/>
                <w:b/>
                <w:color w:val="FFFFFF"/>
                <w:sz w:val="18"/>
              </w:rPr>
              <w:t>Valor</w:t>
            </w:r>
          </w:p>
        </w:tc>
      </w:tr>
      <w:tr>
        <w:tc>
          <w:tcPr>
            <w:tcW w:type="dxa" w:w="5040"/>
            <w:shd w:val="clear" w:color="auto" w:fill="FFFFFF"/>
          </w:tcPr>
          <w:p>
            <w:pPr>
              <w:jc w:val="left"/>
            </w:pPr>
            <w:r>
              <w:rPr>
                <w:rFonts w:ascii="Calibri" w:hAnsi="Calibri"/>
                <w:sz w:val="18"/>
              </w:rPr>
              <w:t>Filas en dataset original</w:t>
            </w:r>
          </w:p>
        </w:tc>
        <w:tc>
          <w:tcPr>
            <w:tcW w:type="dxa" w:w="5040"/>
            <w:shd w:val="clear" w:color="auto" w:fill="FFFFFF"/>
          </w:tcPr>
          <w:p>
            <w:pPr>
              <w:jc w:val="center"/>
            </w:pPr>
            <w:r>
              <w:rPr>
                <w:rFonts w:ascii="Calibri" w:hAnsi="Calibri"/>
                <w:sz w:val="18"/>
              </w:rPr>
              <w:t>1,416,930</w:t>
            </w:r>
          </w:p>
        </w:tc>
      </w:tr>
      <w:tr>
        <w:tc>
          <w:tcPr>
            <w:tcW w:type="dxa" w:w="5040"/>
            <w:shd w:val="clear" w:color="auto" w:fill="F2F2F2"/>
          </w:tcPr>
          <w:p>
            <w:pPr>
              <w:jc w:val="left"/>
            </w:pPr>
            <w:r>
              <w:rPr>
                <w:rFonts w:ascii="Calibri" w:hAnsi="Calibri"/>
                <w:sz w:val="18"/>
              </w:rPr>
              <w:t>Filas con trabajadores urbanos</w:t>
            </w:r>
          </w:p>
        </w:tc>
        <w:tc>
          <w:tcPr>
            <w:tcW w:type="dxa" w:w="5040"/>
            <w:shd w:val="clear" w:color="auto" w:fill="F2F2F2"/>
          </w:tcPr>
          <w:p>
            <w:pPr>
              <w:jc w:val="center"/>
            </w:pPr>
            <w:r>
              <w:rPr>
                <w:rFonts w:ascii="Calibri" w:hAnsi="Calibri"/>
                <w:sz w:val="18"/>
              </w:rPr>
              <w:t>1,386,620</w:t>
            </w:r>
          </w:p>
        </w:tc>
      </w:tr>
      <w:tr>
        <w:tc>
          <w:tcPr>
            <w:tcW w:type="dxa" w:w="5040"/>
            <w:shd w:val="clear" w:color="auto" w:fill="FFFFFF"/>
          </w:tcPr>
          <w:p>
            <w:pPr>
              <w:jc w:val="left"/>
            </w:pPr>
            <w:r>
              <w:rPr>
                <w:rFonts w:ascii="Calibri" w:hAnsi="Calibri"/>
                <w:sz w:val="18"/>
              </w:rPr>
              <w:t>Total trabajadores (peso)</w:t>
            </w:r>
          </w:p>
        </w:tc>
        <w:tc>
          <w:tcPr>
            <w:tcW w:type="dxa" w:w="5040"/>
            <w:shd w:val="clear" w:color="auto" w:fill="FFFFFF"/>
          </w:tcPr>
          <w:p>
            <w:pPr>
              <w:jc w:val="center"/>
            </w:pPr>
            <w:r>
              <w:rPr>
                <w:rFonts w:ascii="Calibri" w:hAnsi="Calibri"/>
                <w:sz w:val="18"/>
              </w:rPr>
              <w:t>7,431,265</w:t>
            </w:r>
          </w:p>
        </w:tc>
      </w:tr>
      <w:tr>
        <w:tc>
          <w:tcPr>
            <w:tcW w:type="dxa" w:w="5040"/>
            <w:shd w:val="clear" w:color="auto" w:fill="F2F2F2"/>
          </w:tcPr>
          <w:p>
            <w:pPr>
              <w:jc w:val="left"/>
            </w:pPr>
            <w:r>
              <w:rPr>
                <w:rFonts w:ascii="Calibri" w:hAnsi="Calibri"/>
                <w:sz w:val="18"/>
              </w:rPr>
              <w:t>Umbral salario alto (M2)</w:t>
            </w:r>
          </w:p>
        </w:tc>
        <w:tc>
          <w:tcPr>
            <w:tcW w:type="dxa" w:w="5040"/>
            <w:shd w:val="clear" w:color="auto" w:fill="F2F2F2"/>
          </w:tcPr>
          <w:p>
            <w:pPr>
              <w:jc w:val="center"/>
            </w:pPr>
            <w:r>
              <w:rPr>
                <w:rFonts w:ascii="Calibri" w:hAnsi="Calibri"/>
                <w:sz w:val="18"/>
              </w:rPr>
              <w:t>W3 o superior (percentil 75 ponderado)</w:t>
            </w:r>
          </w:p>
        </w:tc>
      </w:tr>
      <w:tr>
        <w:tc>
          <w:tcPr>
            <w:tcW w:type="dxa" w:w="5040"/>
            <w:shd w:val="clear" w:color="auto" w:fill="FFFFFF"/>
          </w:tcPr>
          <w:p>
            <w:pPr>
              <w:jc w:val="left"/>
            </w:pPr>
            <w:r>
              <w:rPr>
                <w:rFonts w:ascii="Calibri" w:hAnsi="Calibri"/>
                <w:sz w:val="18"/>
              </w:rPr>
              <w:t>Tasa de salario alto</w:t>
            </w:r>
          </w:p>
        </w:tc>
        <w:tc>
          <w:tcPr>
            <w:tcW w:type="dxa" w:w="5040"/>
            <w:shd w:val="clear" w:color="auto" w:fill="FFFFFF"/>
          </w:tcPr>
          <w:p>
            <w:pPr>
              <w:jc w:val="center"/>
            </w:pPr>
            <w:r>
              <w:rPr>
                <w:rFonts w:ascii="Calibri" w:hAnsi="Calibri"/>
                <w:sz w:val="18"/>
              </w:rPr>
              <w:t>36.0%</w:t>
            </w:r>
          </w:p>
        </w:tc>
      </w:tr>
    </w:tbl>
    <w:p>
      <w:pPr>
        <w:spacing w:before="40" w:after="120"/>
        <w:jc w:val="left"/>
      </w:pPr>
      <w:r>
        <w:rPr>
          <w:rFonts w:ascii="Calibri" w:hAnsi="Calibri"/>
          <w:b w:val="0"/>
          <w:i/>
          <w:color w:val="404040"/>
          <w:sz w:val="18"/>
        </w:rPr>
        <w:t>Tabla 2. Resumen de preparacion de datos.</w:t>
      </w:r>
    </w:p>
    <w:p>
      <w:pPr>
        <w:spacing w:before="200" w:after="60"/>
        <w:jc w:val="left"/>
      </w:pPr>
      <w:r>
        <w:rPr>
          <w:rFonts w:ascii="Calibri" w:hAnsi="Calibri"/>
          <w:b/>
          <w:i w:val="0"/>
          <w:color w:val="1F497D"/>
          <w:sz w:val="26"/>
        </w:rPr>
        <w:t>3. Modelo 1: Regresion Lineal Ponderada</w:t>
      </w:r>
    </w:p>
    <w:p>
      <w:pPr>
        <w:spacing w:before="0" w:after="80"/>
        <w:jc w:val="left"/>
      </w:pPr>
      <w:r>
        <w:rPr>
          <w:rFonts w:ascii="Calibri" w:hAnsi="Calibri"/>
          <w:b w:val="0"/>
          <w:i w:val="0"/>
          <w:sz w:val="20"/>
        </w:rPr>
        <w:t>El modelo WLS incluye edad como termino lineal y cuadratico para capturar la curvatura tipica de los perfiles salariales (crecen con la experiencia pero se estabilizan o desaceleran en edades avanzadas). Las interacciones edad x tamano_patron permiten estimar si la experiencia premia de forma diferente en empresas grandes versus pequenas.</w:t>
      </w:r>
    </w:p>
    <w:p>
      <w:pPr>
        <w:spacing w:before="120" w:after="60"/>
        <w:jc w:val="left"/>
      </w:pPr>
      <w:r>
        <w:rPr>
          <w:rFonts w:ascii="Calibri" w:hAnsi="Calibri"/>
          <w:b/>
          <w:i w:val="0"/>
          <w:color w:val="1F497D"/>
          <w:sz w:val="22"/>
        </w:rPr>
        <w:t>3.1  Especificacion</w:t>
      </w:r>
    </w:p>
    <w:p>
      <w:pPr>
        <w:spacing w:before="0" w:after="80"/>
        <w:jc w:val="left"/>
      </w:pPr>
      <w:r>
        <w:rPr>
          <w:rFonts w:ascii="Calibri" w:hAnsi="Calibri"/>
          <w:b w:val="0"/>
          <w:i/>
          <w:sz w:val="18"/>
        </w:rPr>
        <w:t>sal_num ~ edad_mid + edad_mid² + C(entidad) + C(tamano) + edad_mid:C(tamano)</w:t>
      </w:r>
    </w:p>
    <w:p>
      <w:pPr>
        <w:spacing w:before="120" w:after="60"/>
        <w:jc w:val="left"/>
      </w:pPr>
      <w:r>
        <w:rPr>
          <w:rFonts w:ascii="Calibri" w:hAnsi="Calibri"/>
          <w:b/>
          <w:i w:val="0"/>
          <w:color w:val="1F497D"/>
          <w:sz w:val="22"/>
        </w:rPr>
        <w:t>3.2  Metricas globales</w:t>
      </w:r>
    </w:p>
    <w:tbl>
      <w:tblPr>
        <w:tblStyle w:val="TableGrid"/>
        <w:tblW w:type="auto" w:w="0"/>
        <w:jc w:val="center"/>
        <w:tblLook w:firstColumn="1" w:firstRow="1" w:lastColumn="0" w:lastRow="0" w:noHBand="0" w:noVBand="1" w:val="04A0"/>
      </w:tblPr>
      <w:tblGrid>
        <w:gridCol w:w="5040"/>
        <w:gridCol w:w="5040"/>
      </w:tblGrid>
      <w:tr>
        <w:tc>
          <w:tcPr>
            <w:tcW w:type="dxa" w:w="5040"/>
            <w:shd w:val="clear" w:color="auto" w:fill="1F497D"/>
          </w:tcPr>
          <w:p>
            <w:pPr>
              <w:jc w:val="center"/>
            </w:pPr>
            <w:r>
              <w:rPr>
                <w:rFonts w:ascii="Calibri" w:hAnsi="Calibri"/>
                <w:b/>
                <w:color w:val="FFFFFF"/>
                <w:sz w:val="18"/>
              </w:rPr>
              <w:t>Metrica</w:t>
            </w:r>
          </w:p>
        </w:tc>
        <w:tc>
          <w:tcPr>
            <w:tcW w:type="dxa" w:w="5040"/>
            <w:shd w:val="clear" w:color="auto" w:fill="1F497D"/>
          </w:tcPr>
          <w:p>
            <w:pPr>
              <w:jc w:val="center"/>
            </w:pPr>
            <w:r>
              <w:rPr>
                <w:rFonts w:ascii="Calibri" w:hAnsi="Calibri"/>
                <w:b/>
                <w:color w:val="FFFFFF"/>
                <w:sz w:val="18"/>
              </w:rPr>
              <w:t>Valor</w:t>
            </w:r>
          </w:p>
        </w:tc>
      </w:tr>
      <w:tr>
        <w:tc>
          <w:tcPr>
            <w:tcW w:type="dxa" w:w="5040"/>
            <w:shd w:val="clear" w:color="auto" w:fill="FFFFFF"/>
          </w:tcPr>
          <w:p>
            <w:pPr>
              <w:jc w:val="left"/>
            </w:pPr>
            <w:r>
              <w:rPr>
                <w:rFonts w:ascii="Calibri" w:hAnsi="Calibri"/>
                <w:sz w:val="18"/>
              </w:rPr>
              <w:t>R²</w:t>
            </w:r>
          </w:p>
        </w:tc>
        <w:tc>
          <w:tcPr>
            <w:tcW w:type="dxa" w:w="5040"/>
            <w:shd w:val="clear" w:color="auto" w:fill="FFFFFF"/>
          </w:tcPr>
          <w:p>
            <w:pPr>
              <w:jc w:val="center"/>
            </w:pPr>
            <w:r>
              <w:rPr>
                <w:rFonts w:ascii="Calibri" w:hAnsi="Calibri"/>
                <w:sz w:val="18"/>
              </w:rPr>
              <w:t>0.0790</w:t>
            </w:r>
          </w:p>
        </w:tc>
      </w:tr>
      <w:tr>
        <w:tc>
          <w:tcPr>
            <w:tcW w:type="dxa" w:w="5040"/>
            <w:shd w:val="clear" w:color="auto" w:fill="F2F2F2"/>
          </w:tcPr>
          <w:p>
            <w:pPr>
              <w:jc w:val="left"/>
            </w:pPr>
            <w:r>
              <w:rPr>
                <w:rFonts w:ascii="Calibri" w:hAnsi="Calibri"/>
                <w:sz w:val="18"/>
              </w:rPr>
              <w:t>R² ajustado</w:t>
            </w:r>
          </w:p>
        </w:tc>
        <w:tc>
          <w:tcPr>
            <w:tcW w:type="dxa" w:w="5040"/>
            <w:shd w:val="clear" w:color="auto" w:fill="F2F2F2"/>
          </w:tcPr>
          <w:p>
            <w:pPr>
              <w:jc w:val="center"/>
            </w:pPr>
            <w:r>
              <w:rPr>
                <w:rFonts w:ascii="Calibri" w:hAnsi="Calibri"/>
                <w:sz w:val="18"/>
              </w:rPr>
              <w:t>0.0790</w:t>
            </w:r>
          </w:p>
        </w:tc>
      </w:tr>
      <w:tr>
        <w:tc>
          <w:tcPr>
            <w:tcW w:type="dxa" w:w="5040"/>
            <w:shd w:val="clear" w:color="auto" w:fill="FFFFFF"/>
          </w:tcPr>
          <w:p>
            <w:pPr>
              <w:jc w:val="left"/>
            </w:pPr>
            <w:r>
              <w:rPr>
                <w:rFonts w:ascii="Calibri" w:hAnsi="Calibri"/>
                <w:sz w:val="18"/>
              </w:rPr>
              <w:t>Estadistico F</w:t>
            </w:r>
          </w:p>
        </w:tc>
        <w:tc>
          <w:tcPr>
            <w:tcW w:type="dxa" w:w="5040"/>
            <w:shd w:val="clear" w:color="auto" w:fill="FFFFFF"/>
          </w:tcPr>
          <w:p>
            <w:pPr>
              <w:jc w:val="center"/>
            </w:pPr>
            <w:r>
              <w:rPr>
                <w:rFonts w:ascii="Calibri" w:hAnsi="Calibri"/>
                <w:sz w:val="18"/>
              </w:rPr>
              <w:t>7,433</w:t>
            </w:r>
          </w:p>
        </w:tc>
      </w:tr>
      <w:tr>
        <w:tc>
          <w:tcPr>
            <w:tcW w:type="dxa" w:w="5040"/>
            <w:shd w:val="clear" w:color="auto" w:fill="F2F2F2"/>
          </w:tcPr>
          <w:p>
            <w:pPr>
              <w:jc w:val="left"/>
            </w:pPr>
            <w:r>
              <w:rPr>
                <w:rFonts w:ascii="Calibri" w:hAnsi="Calibri"/>
                <w:sz w:val="18"/>
              </w:rPr>
              <w:t>p-valor (F)</w:t>
            </w:r>
          </w:p>
        </w:tc>
        <w:tc>
          <w:tcPr>
            <w:tcW w:type="dxa" w:w="5040"/>
            <w:shd w:val="clear" w:color="auto" w:fill="F2F2F2"/>
          </w:tcPr>
          <w:p>
            <w:pPr>
              <w:jc w:val="center"/>
            </w:pPr>
            <w:r>
              <w:rPr>
                <w:rFonts w:ascii="Calibri" w:hAnsi="Calibri"/>
                <w:sz w:val="18"/>
              </w:rPr>
              <w:t>0.00e+00</w:t>
            </w:r>
          </w:p>
        </w:tc>
      </w:tr>
      <w:tr>
        <w:tc>
          <w:tcPr>
            <w:tcW w:type="dxa" w:w="5040"/>
            <w:shd w:val="clear" w:color="auto" w:fill="FFFFFF"/>
          </w:tcPr>
          <w:p>
            <w:pPr>
              <w:jc w:val="left"/>
            </w:pPr>
            <w:r>
              <w:rPr>
                <w:rFonts w:ascii="Calibri" w:hAnsi="Calibri"/>
                <w:sz w:val="18"/>
              </w:rPr>
              <w:t>Coef. edad lineal</w:t>
            </w:r>
          </w:p>
        </w:tc>
        <w:tc>
          <w:tcPr>
            <w:tcW w:type="dxa" w:w="5040"/>
            <w:shd w:val="clear" w:color="auto" w:fill="FFFFFF"/>
          </w:tcPr>
          <w:p>
            <w:pPr>
              <w:jc w:val="center"/>
            </w:pPr>
            <w:r>
              <w:rPr>
                <w:rFonts w:ascii="Calibri" w:hAnsi="Calibri"/>
                <w:sz w:val="18"/>
              </w:rPr>
              <w:t>+0.1771 (p=0.0000)</w:t>
            </w:r>
          </w:p>
        </w:tc>
      </w:tr>
      <w:tr>
        <w:tc>
          <w:tcPr>
            <w:tcW w:type="dxa" w:w="5040"/>
            <w:shd w:val="clear" w:color="auto" w:fill="F2F2F2"/>
          </w:tcPr>
          <w:p>
            <w:pPr>
              <w:jc w:val="left"/>
            </w:pPr>
            <w:r>
              <w:rPr>
                <w:rFonts w:ascii="Calibri" w:hAnsi="Calibri"/>
                <w:sz w:val="18"/>
              </w:rPr>
              <w:t>Coef. edad cuadratico</w:t>
            </w:r>
          </w:p>
        </w:tc>
        <w:tc>
          <w:tcPr>
            <w:tcW w:type="dxa" w:w="5040"/>
            <w:shd w:val="clear" w:color="auto" w:fill="F2F2F2"/>
          </w:tcPr>
          <w:p>
            <w:pPr>
              <w:jc w:val="center"/>
            </w:pPr>
            <w:r>
              <w:rPr>
                <w:rFonts w:ascii="Calibri" w:hAnsi="Calibri"/>
                <w:sz w:val="18"/>
              </w:rPr>
              <w:t>-0.001780 (p=0.0000)</w:t>
            </w:r>
          </w:p>
        </w:tc>
      </w:tr>
      <w:tr>
        <w:tc>
          <w:tcPr>
            <w:tcW w:type="dxa" w:w="5040"/>
            <w:shd w:val="clear" w:color="auto" w:fill="FFFFFF"/>
          </w:tcPr>
          <w:p>
            <w:pPr>
              <w:jc w:val="left"/>
            </w:pPr>
            <w:r>
              <w:rPr>
                <w:rFonts w:ascii="Calibri" w:hAnsi="Calibri"/>
                <w:sz w:val="18"/>
              </w:rPr>
              <w:t>Pico salarial estimado</w:t>
            </w:r>
          </w:p>
        </w:tc>
        <w:tc>
          <w:tcPr>
            <w:tcW w:type="dxa" w:w="5040"/>
            <w:shd w:val="clear" w:color="auto" w:fill="FFFFFF"/>
          </w:tcPr>
          <w:p>
            <w:pPr>
              <w:jc w:val="center"/>
            </w:pPr>
            <w:r>
              <w:rPr>
                <w:rFonts w:ascii="Calibri" w:hAnsi="Calibri"/>
                <w:sz w:val="18"/>
              </w:rPr>
              <w:t>49.8 anos</w:t>
            </w:r>
          </w:p>
        </w:tc>
      </w:tr>
      <w:tr>
        <w:tc>
          <w:tcPr>
            <w:tcW w:type="dxa" w:w="5040"/>
            <w:shd w:val="clear" w:color="auto" w:fill="F2F2F2"/>
          </w:tcPr>
          <w:p>
            <w:pPr>
              <w:jc w:val="left"/>
            </w:pPr>
            <w:r>
              <w:rPr>
                <w:rFonts w:ascii="Calibri" w:hAnsi="Calibri"/>
                <w:sz w:val="18"/>
              </w:rPr>
              <w:t>Trabajadores (peso)</w:t>
            </w:r>
          </w:p>
        </w:tc>
        <w:tc>
          <w:tcPr>
            <w:tcW w:type="dxa" w:w="5040"/>
            <w:shd w:val="clear" w:color="auto" w:fill="F2F2F2"/>
          </w:tcPr>
          <w:p>
            <w:pPr>
              <w:jc w:val="center"/>
            </w:pPr>
            <w:r>
              <w:rPr>
                <w:rFonts w:ascii="Calibri" w:hAnsi="Calibri"/>
                <w:sz w:val="18"/>
              </w:rPr>
              <w:t>7,431,265</w:t>
            </w:r>
          </w:p>
        </w:tc>
      </w:tr>
    </w:tbl>
    <w:p>
      <w:pPr>
        <w:spacing w:before="40" w:after="120"/>
        <w:jc w:val="left"/>
      </w:pPr>
      <w:r>
        <w:rPr>
          <w:rFonts w:ascii="Calibri" w:hAnsi="Calibri"/>
          <w:b w:val="0"/>
          <w:i/>
          <w:color w:val="404040"/>
          <w:sz w:val="18"/>
        </w:rPr>
        <w:t>Tabla 3. Metricas del Modelo 1.</w:t>
      </w:r>
    </w:p>
    <w:p>
      <w:pPr>
        <w:spacing w:before="0" w:after="80"/>
        <w:jc w:val="left"/>
      </w:pPr>
      <w:r>
        <w:rPr>
          <w:rFonts w:ascii="Calibri" w:hAnsi="Calibri"/>
          <w:b w:val="0"/>
          <w:i w:val="0"/>
          <w:sz w:val="20"/>
        </w:rPr>
        <w:t>El R² de 0.0790 es tipico para modelos salariales con datos agregados y variables categoricas amplias. El F-test (p=0.00e+00) confirma que el conjunto de predictores tiene poder explicativo real. El termino cuadratico de edad es significativo (p=0.0000), con pico salarial en 49.8 anos, lo que confirma un perfil de ingreso con rendimientos decrecientes a edades avanzadas.</w:t>
      </w:r>
    </w:p>
    <w:p>
      <w:pPr>
        <w:spacing w:before="120" w:after="60"/>
        <w:jc w:val="left"/>
      </w:pPr>
      <w:r>
        <w:rPr>
          <w:rFonts w:ascii="Calibri" w:hAnsi="Calibri"/>
          <w:b/>
          <w:i w:val="0"/>
          <w:color w:val="1F497D"/>
          <w:sz w:val="22"/>
        </w:rPr>
        <w:t>3.3  Efecto del tamano de empresa</w:t>
      </w:r>
    </w:p>
    <w:p>
      <w:pPr>
        <w:spacing w:before="80" w:after="40"/>
        <w:jc w:val="center"/>
      </w:pPr>
      <w:r>
        <w:drawing>
          <wp:inline xmlns:a="http://schemas.openxmlformats.org/drawingml/2006/main" xmlns:pic="http://schemas.openxmlformats.org/drawingml/2006/picture">
            <wp:extent cx="5303520" cy="2953859"/>
            <wp:docPr id="2" name="Picture 2"/>
            <wp:cNvGraphicFramePr>
              <a:graphicFrameLocks noChangeAspect="1"/>
            </wp:cNvGraphicFramePr>
            <a:graphic>
              <a:graphicData uri="http://schemas.openxmlformats.org/drawingml/2006/picture">
                <pic:pic>
                  <pic:nvPicPr>
                    <pic:cNvPr id="0" name="fig1_tamano.png"/>
                    <pic:cNvPicPr/>
                  </pic:nvPicPr>
                  <pic:blipFill>
                    <a:blip r:embed="rId9"/>
                    <a:stretch>
                      <a:fillRect/>
                    </a:stretch>
                  </pic:blipFill>
                  <pic:spPr>
                    <a:xfrm>
                      <a:off x="0" y="0"/>
                      <a:ext cx="5303520" cy="2953859"/>
                    </a:xfrm>
                    <a:prstGeom prst="rect"/>
                  </pic:spPr>
                </pic:pic>
              </a:graphicData>
            </a:graphic>
          </wp:inline>
        </w:drawing>
      </w:r>
    </w:p>
    <w:p>
      <w:pPr>
        <w:spacing w:before="40" w:after="120"/>
        <w:jc w:val="left"/>
      </w:pPr>
      <w:r>
        <w:rPr>
          <w:rFonts w:ascii="Calibri" w:hAnsi="Calibri"/>
          <w:b w:val="0"/>
          <w:i/>
          <w:color w:val="404040"/>
          <w:sz w:val="18"/>
        </w:rPr>
        <w:t>Figura 1. Coeficientes del tamano de empresa (vs S1=1 trabajador). En ambar: significativos (p&lt;0.05). IC 95%.</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val="clear" w:color="auto" w:fill="1F497D"/>
          </w:tcPr>
          <w:p>
            <w:pPr>
              <w:jc w:val="center"/>
            </w:pPr>
            <w:r>
              <w:rPr>
                <w:rFonts w:ascii="Calibri" w:hAnsi="Calibri"/>
                <w:b/>
                <w:color w:val="FFFFFF"/>
                <w:sz w:val="18"/>
              </w:rPr>
              <w:t>Tamano</w:t>
            </w:r>
          </w:p>
        </w:tc>
        <w:tc>
          <w:tcPr>
            <w:tcW w:type="dxa" w:w="2016"/>
            <w:shd w:val="clear" w:color="auto" w:fill="1F497D"/>
          </w:tcPr>
          <w:p>
            <w:pPr>
              <w:jc w:val="center"/>
            </w:pPr>
            <w:r>
              <w:rPr>
                <w:rFonts w:ascii="Calibri" w:hAnsi="Calibri"/>
                <w:b/>
                <w:color w:val="FFFFFF"/>
                <w:sz w:val="18"/>
              </w:rPr>
              <w:t>Coeficiente</w:t>
            </w:r>
          </w:p>
        </w:tc>
        <w:tc>
          <w:tcPr>
            <w:tcW w:type="dxa" w:w="2016"/>
            <w:shd w:val="clear" w:color="auto" w:fill="1F497D"/>
          </w:tcPr>
          <w:p>
            <w:pPr>
              <w:jc w:val="center"/>
            </w:pPr>
            <w:r>
              <w:rPr>
                <w:rFonts w:ascii="Calibri" w:hAnsi="Calibri"/>
                <w:b/>
                <w:color w:val="FFFFFF"/>
                <w:sz w:val="18"/>
              </w:rPr>
              <w:t>IC 95%</w:t>
            </w:r>
          </w:p>
        </w:tc>
        <w:tc>
          <w:tcPr>
            <w:tcW w:type="dxa" w:w="2016"/>
            <w:shd w:val="clear" w:color="auto" w:fill="1F497D"/>
          </w:tcPr>
          <w:p>
            <w:pPr>
              <w:jc w:val="center"/>
            </w:pPr>
            <w:r>
              <w:rPr>
                <w:rFonts w:ascii="Calibri" w:hAnsi="Calibri"/>
                <w:b/>
                <w:color w:val="FFFFFF"/>
                <w:sz w:val="18"/>
              </w:rPr>
              <w:t>p-valor</w:t>
            </w:r>
          </w:p>
        </w:tc>
        <w:tc>
          <w:tcPr>
            <w:tcW w:type="dxa" w:w="2016"/>
            <w:shd w:val="clear" w:color="auto" w:fill="1F497D"/>
          </w:tcPr>
          <w:p>
            <w:pPr>
              <w:jc w:val="center"/>
            </w:pPr>
            <w:r>
              <w:rPr>
                <w:rFonts w:ascii="Calibri" w:hAnsi="Calibri"/>
                <w:b/>
                <w:color w:val="FFFFFF"/>
                <w:sz w:val="18"/>
              </w:rPr>
              <w:t>Sig.</w:t>
            </w:r>
          </w:p>
        </w:tc>
      </w:tr>
      <w:tr>
        <w:tc>
          <w:tcPr>
            <w:tcW w:type="dxa" w:w="2016"/>
            <w:shd w:val="clear" w:color="auto" w:fill="FFFFFF"/>
          </w:tcPr>
          <w:p>
            <w:pPr>
              <w:jc w:val="left"/>
            </w:pPr>
            <w:r>
              <w:rPr>
                <w:rFonts w:ascii="Calibri" w:hAnsi="Calibri"/>
                <w:sz w:val="18"/>
              </w:rPr>
              <w:t>S1 (1 trab.)</w:t>
            </w:r>
          </w:p>
        </w:tc>
        <w:tc>
          <w:tcPr>
            <w:tcW w:type="dxa" w:w="2016"/>
            <w:shd w:val="clear" w:color="auto" w:fill="FFFFFF"/>
          </w:tcPr>
          <w:p>
            <w:pPr>
              <w:jc w:val="center"/>
            </w:pPr>
            <w:r>
              <w:rPr>
                <w:rFonts w:ascii="Calibri" w:hAnsi="Calibri"/>
                <w:sz w:val="18"/>
              </w:rPr>
              <w:t>+0.0000</w:t>
            </w:r>
          </w:p>
        </w:tc>
        <w:tc>
          <w:tcPr>
            <w:tcW w:type="dxa" w:w="2016"/>
            <w:shd w:val="clear" w:color="auto" w:fill="FFFFFF"/>
          </w:tcPr>
          <w:p>
            <w:pPr>
              <w:jc w:val="center"/>
            </w:pPr>
            <w:r>
              <w:rPr>
                <w:rFonts w:ascii="Calibri" w:hAnsi="Calibri"/>
                <w:sz w:val="18"/>
              </w:rPr>
              <w:t>—</w:t>
            </w:r>
          </w:p>
        </w:tc>
        <w:tc>
          <w:tcPr>
            <w:tcW w:type="dxa" w:w="2016"/>
            <w:shd w:val="clear" w:color="auto" w:fill="FFFFFF"/>
          </w:tcPr>
          <w:p>
            <w:pPr>
              <w:jc w:val="center"/>
            </w:pPr>
            <w:r>
              <w:rPr>
                <w:rFonts w:ascii="Calibri" w:hAnsi="Calibri"/>
                <w:sz w:val="18"/>
              </w:rPr>
              <w:t>—</w:t>
            </w:r>
          </w:p>
        </w:tc>
        <w:tc>
          <w:tcPr>
            <w:tcW w:type="dxa" w:w="2016"/>
            <w:shd w:val="clear" w:color="auto" w:fill="FFFFFF"/>
          </w:tcPr>
          <w:p>
            <w:pPr>
              <w:jc w:val="center"/>
            </w:pPr>
            <w:r>
              <w:rPr>
                <w:rFonts w:ascii="Calibri" w:hAnsi="Calibri"/>
                <w:sz w:val="18"/>
              </w:rPr>
              <w:t>Ref.</w:t>
            </w:r>
          </w:p>
        </w:tc>
      </w:tr>
      <w:tr>
        <w:tc>
          <w:tcPr>
            <w:tcW w:type="dxa" w:w="2016"/>
            <w:shd w:val="clear" w:color="auto" w:fill="F2F2F2"/>
          </w:tcPr>
          <w:p>
            <w:pPr>
              <w:jc w:val="left"/>
            </w:pPr>
            <w:r>
              <w:rPr>
                <w:rFonts w:ascii="Calibri" w:hAnsi="Calibri"/>
                <w:sz w:val="18"/>
              </w:rPr>
              <w:t>S2 (2-5)</w:t>
            </w:r>
          </w:p>
        </w:tc>
        <w:tc>
          <w:tcPr>
            <w:tcW w:type="dxa" w:w="2016"/>
            <w:shd w:val="clear" w:color="auto" w:fill="F2F2F2"/>
          </w:tcPr>
          <w:p>
            <w:pPr>
              <w:jc w:val="center"/>
            </w:pPr>
            <w:r>
              <w:rPr>
                <w:rFonts w:ascii="Calibri" w:hAnsi="Calibri"/>
                <w:sz w:val="18"/>
              </w:rPr>
              <w:t>+0.3058</w:t>
            </w:r>
          </w:p>
        </w:tc>
        <w:tc>
          <w:tcPr>
            <w:tcW w:type="dxa" w:w="2016"/>
            <w:shd w:val="clear" w:color="auto" w:fill="F2F2F2"/>
          </w:tcPr>
          <w:p>
            <w:pPr>
              <w:jc w:val="center"/>
            </w:pPr>
            <w:r>
              <w:rPr>
                <w:rFonts w:ascii="Calibri" w:hAnsi="Calibri"/>
                <w:sz w:val="18"/>
              </w:rPr>
              <w:t>[+0.1551, +0.4566]</w:t>
            </w:r>
          </w:p>
        </w:tc>
        <w:tc>
          <w:tcPr>
            <w:tcW w:type="dxa" w:w="2016"/>
            <w:shd w:val="clear" w:color="auto" w:fill="F2F2F2"/>
          </w:tcPr>
          <w:p>
            <w:pPr>
              <w:jc w:val="center"/>
            </w:pPr>
            <w:r>
              <w:rPr>
                <w:rFonts w:ascii="Calibri" w:hAnsi="Calibri"/>
                <w:sz w:val="18"/>
              </w:rPr>
              <w:t>0.0001</w:t>
            </w:r>
          </w:p>
        </w:tc>
        <w:tc>
          <w:tcPr>
            <w:tcW w:type="dxa" w:w="2016"/>
            <w:shd w:val="clear" w:color="auto" w:fill="F2F2F2"/>
          </w:tcPr>
          <w:p>
            <w:pPr>
              <w:jc w:val="center"/>
            </w:pPr>
            <w:r>
              <w:rPr>
                <w:rFonts w:ascii="Calibri" w:hAnsi="Calibri"/>
                <w:sz w:val="18"/>
              </w:rPr>
              <w:t>Si</w:t>
            </w:r>
          </w:p>
        </w:tc>
      </w:tr>
      <w:tr>
        <w:tc>
          <w:tcPr>
            <w:tcW w:type="dxa" w:w="2016"/>
            <w:shd w:val="clear" w:color="auto" w:fill="FFFFFF"/>
          </w:tcPr>
          <w:p>
            <w:pPr>
              <w:jc w:val="left"/>
            </w:pPr>
            <w:r>
              <w:rPr>
                <w:rFonts w:ascii="Calibri" w:hAnsi="Calibri"/>
                <w:sz w:val="18"/>
              </w:rPr>
              <w:t>S3 (6-10)</w:t>
            </w:r>
          </w:p>
        </w:tc>
        <w:tc>
          <w:tcPr>
            <w:tcW w:type="dxa" w:w="2016"/>
            <w:shd w:val="clear" w:color="auto" w:fill="FFFFFF"/>
          </w:tcPr>
          <w:p>
            <w:pPr>
              <w:jc w:val="center"/>
            </w:pPr>
            <w:r>
              <w:rPr>
                <w:rFonts w:ascii="Calibri" w:hAnsi="Calibri"/>
                <w:sz w:val="18"/>
              </w:rPr>
              <w:t>+0.5030</w:t>
            </w:r>
          </w:p>
        </w:tc>
        <w:tc>
          <w:tcPr>
            <w:tcW w:type="dxa" w:w="2016"/>
            <w:shd w:val="clear" w:color="auto" w:fill="FFFFFF"/>
          </w:tcPr>
          <w:p>
            <w:pPr>
              <w:jc w:val="center"/>
            </w:pPr>
            <w:r>
              <w:rPr>
                <w:rFonts w:ascii="Calibri" w:hAnsi="Calibri"/>
                <w:sz w:val="18"/>
              </w:rPr>
              <w:t>[+0.3614, +0.6445]</w:t>
            </w:r>
          </w:p>
        </w:tc>
        <w:tc>
          <w:tcPr>
            <w:tcW w:type="dxa" w:w="2016"/>
            <w:shd w:val="clear" w:color="auto" w:fill="FFFFFF"/>
          </w:tcPr>
          <w:p>
            <w:pPr>
              <w:jc w:val="center"/>
            </w:pPr>
            <w:r>
              <w:rPr>
                <w:rFonts w:ascii="Calibri" w:hAnsi="Calibri"/>
                <w:sz w:val="18"/>
              </w:rPr>
              <w:t>0.0000</w:t>
            </w:r>
          </w:p>
        </w:tc>
        <w:tc>
          <w:tcPr>
            <w:tcW w:type="dxa" w:w="2016"/>
            <w:shd w:val="clear" w:color="auto" w:fill="FFFFFF"/>
          </w:tcPr>
          <w:p>
            <w:pPr>
              <w:jc w:val="center"/>
            </w:pPr>
            <w:r>
              <w:rPr>
                <w:rFonts w:ascii="Calibri" w:hAnsi="Calibri"/>
                <w:sz w:val="18"/>
              </w:rPr>
              <w:t>Si</w:t>
            </w:r>
          </w:p>
        </w:tc>
      </w:tr>
      <w:tr>
        <w:tc>
          <w:tcPr>
            <w:tcW w:type="dxa" w:w="2016"/>
            <w:shd w:val="clear" w:color="auto" w:fill="F2F2F2"/>
          </w:tcPr>
          <w:p>
            <w:pPr>
              <w:jc w:val="left"/>
            </w:pPr>
            <w:r>
              <w:rPr>
                <w:rFonts w:ascii="Calibri" w:hAnsi="Calibri"/>
                <w:sz w:val="18"/>
              </w:rPr>
              <w:t>S4 (11-15)</w:t>
            </w:r>
          </w:p>
        </w:tc>
        <w:tc>
          <w:tcPr>
            <w:tcW w:type="dxa" w:w="2016"/>
            <w:shd w:val="clear" w:color="auto" w:fill="F2F2F2"/>
          </w:tcPr>
          <w:p>
            <w:pPr>
              <w:jc w:val="center"/>
            </w:pPr>
            <w:r>
              <w:rPr>
                <w:rFonts w:ascii="Calibri" w:hAnsi="Calibri"/>
                <w:sz w:val="18"/>
              </w:rPr>
              <w:t>+0.5269</w:t>
            </w:r>
          </w:p>
        </w:tc>
        <w:tc>
          <w:tcPr>
            <w:tcW w:type="dxa" w:w="2016"/>
            <w:shd w:val="clear" w:color="auto" w:fill="F2F2F2"/>
          </w:tcPr>
          <w:p>
            <w:pPr>
              <w:jc w:val="center"/>
            </w:pPr>
            <w:r>
              <w:rPr>
                <w:rFonts w:ascii="Calibri" w:hAnsi="Calibri"/>
                <w:sz w:val="18"/>
              </w:rPr>
              <w:t>[+0.3855, +0.6684]</w:t>
            </w:r>
          </w:p>
        </w:tc>
        <w:tc>
          <w:tcPr>
            <w:tcW w:type="dxa" w:w="2016"/>
            <w:shd w:val="clear" w:color="auto" w:fill="F2F2F2"/>
          </w:tcPr>
          <w:p>
            <w:pPr>
              <w:jc w:val="center"/>
            </w:pPr>
            <w:r>
              <w:rPr>
                <w:rFonts w:ascii="Calibri" w:hAnsi="Calibri"/>
                <w:sz w:val="18"/>
              </w:rPr>
              <w:t>0.0000</w:t>
            </w:r>
          </w:p>
        </w:tc>
        <w:tc>
          <w:tcPr>
            <w:tcW w:type="dxa" w:w="2016"/>
            <w:shd w:val="clear" w:color="auto" w:fill="F2F2F2"/>
          </w:tcPr>
          <w:p>
            <w:pPr>
              <w:jc w:val="center"/>
            </w:pPr>
            <w:r>
              <w:rPr>
                <w:rFonts w:ascii="Calibri" w:hAnsi="Calibri"/>
                <w:sz w:val="18"/>
              </w:rPr>
              <w:t>Si</w:t>
            </w:r>
          </w:p>
        </w:tc>
      </w:tr>
      <w:tr>
        <w:tc>
          <w:tcPr>
            <w:tcW w:type="dxa" w:w="2016"/>
            <w:shd w:val="clear" w:color="auto" w:fill="FFFFFF"/>
          </w:tcPr>
          <w:p>
            <w:pPr>
              <w:jc w:val="left"/>
            </w:pPr>
            <w:r>
              <w:rPr>
                <w:rFonts w:ascii="Calibri" w:hAnsi="Calibri"/>
                <w:sz w:val="18"/>
              </w:rPr>
              <w:t>S5 (16-50)</w:t>
            </w:r>
          </w:p>
        </w:tc>
        <w:tc>
          <w:tcPr>
            <w:tcW w:type="dxa" w:w="2016"/>
            <w:shd w:val="clear" w:color="auto" w:fill="FFFFFF"/>
          </w:tcPr>
          <w:p>
            <w:pPr>
              <w:jc w:val="center"/>
            </w:pPr>
            <w:r>
              <w:rPr>
                <w:rFonts w:ascii="Calibri" w:hAnsi="Calibri"/>
                <w:sz w:val="18"/>
              </w:rPr>
              <w:t>+0.7392</w:t>
            </w:r>
          </w:p>
        </w:tc>
        <w:tc>
          <w:tcPr>
            <w:tcW w:type="dxa" w:w="2016"/>
            <w:shd w:val="clear" w:color="auto" w:fill="FFFFFF"/>
          </w:tcPr>
          <w:p>
            <w:pPr>
              <w:jc w:val="center"/>
            </w:pPr>
            <w:r>
              <w:rPr>
                <w:rFonts w:ascii="Calibri" w:hAnsi="Calibri"/>
                <w:sz w:val="18"/>
              </w:rPr>
              <w:t>[+0.5952, +0.8831]</w:t>
            </w:r>
          </w:p>
        </w:tc>
        <w:tc>
          <w:tcPr>
            <w:tcW w:type="dxa" w:w="2016"/>
            <w:shd w:val="clear" w:color="auto" w:fill="FFFFFF"/>
          </w:tcPr>
          <w:p>
            <w:pPr>
              <w:jc w:val="center"/>
            </w:pPr>
            <w:r>
              <w:rPr>
                <w:rFonts w:ascii="Calibri" w:hAnsi="Calibri"/>
                <w:sz w:val="18"/>
              </w:rPr>
              <w:t>0.0000</w:t>
            </w:r>
          </w:p>
        </w:tc>
        <w:tc>
          <w:tcPr>
            <w:tcW w:type="dxa" w:w="2016"/>
            <w:shd w:val="clear" w:color="auto" w:fill="FFFFFF"/>
          </w:tcPr>
          <w:p>
            <w:pPr>
              <w:jc w:val="center"/>
            </w:pPr>
            <w:r>
              <w:rPr>
                <w:rFonts w:ascii="Calibri" w:hAnsi="Calibri"/>
                <w:sz w:val="18"/>
              </w:rPr>
              <w:t>Si</w:t>
            </w:r>
          </w:p>
        </w:tc>
      </w:tr>
      <w:tr>
        <w:tc>
          <w:tcPr>
            <w:tcW w:type="dxa" w:w="2016"/>
            <w:shd w:val="clear" w:color="auto" w:fill="F2F2F2"/>
          </w:tcPr>
          <w:p>
            <w:pPr>
              <w:jc w:val="left"/>
            </w:pPr>
            <w:r>
              <w:rPr>
                <w:rFonts w:ascii="Calibri" w:hAnsi="Calibri"/>
                <w:sz w:val="18"/>
              </w:rPr>
              <w:t>S6 (51-250)</w:t>
            </w:r>
          </w:p>
        </w:tc>
        <w:tc>
          <w:tcPr>
            <w:tcW w:type="dxa" w:w="2016"/>
            <w:shd w:val="clear" w:color="auto" w:fill="F2F2F2"/>
          </w:tcPr>
          <w:p>
            <w:pPr>
              <w:jc w:val="center"/>
            </w:pPr>
            <w:r>
              <w:rPr>
                <w:rFonts w:ascii="Calibri" w:hAnsi="Calibri"/>
                <w:sz w:val="18"/>
              </w:rPr>
              <w:t>+0.6632</w:t>
            </w:r>
          </w:p>
        </w:tc>
        <w:tc>
          <w:tcPr>
            <w:tcW w:type="dxa" w:w="2016"/>
            <w:shd w:val="clear" w:color="auto" w:fill="F2F2F2"/>
          </w:tcPr>
          <w:p>
            <w:pPr>
              <w:jc w:val="center"/>
            </w:pPr>
            <w:r>
              <w:rPr>
                <w:rFonts w:ascii="Calibri" w:hAnsi="Calibri"/>
                <w:sz w:val="18"/>
              </w:rPr>
              <w:t>[+0.5185, +0.8078]</w:t>
            </w:r>
          </w:p>
        </w:tc>
        <w:tc>
          <w:tcPr>
            <w:tcW w:type="dxa" w:w="2016"/>
            <w:shd w:val="clear" w:color="auto" w:fill="F2F2F2"/>
          </w:tcPr>
          <w:p>
            <w:pPr>
              <w:jc w:val="center"/>
            </w:pPr>
            <w:r>
              <w:rPr>
                <w:rFonts w:ascii="Calibri" w:hAnsi="Calibri"/>
                <w:sz w:val="18"/>
              </w:rPr>
              <w:t>0.0000</w:t>
            </w:r>
          </w:p>
        </w:tc>
        <w:tc>
          <w:tcPr>
            <w:tcW w:type="dxa" w:w="2016"/>
            <w:shd w:val="clear" w:color="auto" w:fill="F2F2F2"/>
          </w:tcPr>
          <w:p>
            <w:pPr>
              <w:jc w:val="center"/>
            </w:pPr>
            <w:r>
              <w:rPr>
                <w:rFonts w:ascii="Calibri" w:hAnsi="Calibri"/>
                <w:sz w:val="18"/>
              </w:rPr>
              <w:t>Si</w:t>
            </w:r>
          </w:p>
        </w:tc>
      </w:tr>
      <w:tr>
        <w:tc>
          <w:tcPr>
            <w:tcW w:type="dxa" w:w="2016"/>
            <w:shd w:val="clear" w:color="auto" w:fill="FFFFFF"/>
          </w:tcPr>
          <w:p>
            <w:pPr>
              <w:jc w:val="left"/>
            </w:pPr>
            <w:r>
              <w:rPr>
                <w:rFonts w:ascii="Calibri" w:hAnsi="Calibri"/>
                <w:sz w:val="18"/>
              </w:rPr>
              <w:t>S7 (251+)</w:t>
            </w:r>
          </w:p>
        </w:tc>
        <w:tc>
          <w:tcPr>
            <w:tcW w:type="dxa" w:w="2016"/>
            <w:shd w:val="clear" w:color="auto" w:fill="FFFFFF"/>
          </w:tcPr>
          <w:p>
            <w:pPr>
              <w:jc w:val="center"/>
            </w:pPr>
            <w:r>
              <w:rPr>
                <w:rFonts w:ascii="Calibri" w:hAnsi="Calibri"/>
                <w:sz w:val="18"/>
              </w:rPr>
              <w:t>+0.6793</w:t>
            </w:r>
          </w:p>
        </w:tc>
        <w:tc>
          <w:tcPr>
            <w:tcW w:type="dxa" w:w="2016"/>
            <w:shd w:val="clear" w:color="auto" w:fill="FFFFFF"/>
          </w:tcPr>
          <w:p>
            <w:pPr>
              <w:jc w:val="center"/>
            </w:pPr>
            <w:r>
              <w:rPr>
                <w:rFonts w:ascii="Calibri" w:hAnsi="Calibri"/>
                <w:sz w:val="18"/>
              </w:rPr>
              <w:t>[+0.5384, +0.8202]</w:t>
            </w:r>
          </w:p>
        </w:tc>
        <w:tc>
          <w:tcPr>
            <w:tcW w:type="dxa" w:w="2016"/>
            <w:shd w:val="clear" w:color="auto" w:fill="FFFFFF"/>
          </w:tcPr>
          <w:p>
            <w:pPr>
              <w:jc w:val="center"/>
            </w:pPr>
            <w:r>
              <w:rPr>
                <w:rFonts w:ascii="Calibri" w:hAnsi="Calibri"/>
                <w:sz w:val="18"/>
              </w:rPr>
              <w:t>0.0000</w:t>
            </w:r>
          </w:p>
        </w:tc>
        <w:tc>
          <w:tcPr>
            <w:tcW w:type="dxa" w:w="2016"/>
            <w:shd w:val="clear" w:color="auto" w:fill="FFFFFF"/>
          </w:tcPr>
          <w:p>
            <w:pPr>
              <w:jc w:val="center"/>
            </w:pPr>
            <w:r>
              <w:rPr>
                <w:rFonts w:ascii="Calibri" w:hAnsi="Calibri"/>
                <w:sz w:val="18"/>
              </w:rPr>
              <w:t>Si</w:t>
            </w:r>
          </w:p>
        </w:tc>
      </w:tr>
    </w:tbl>
    <w:p>
      <w:pPr>
        <w:spacing w:before="40" w:after="120"/>
        <w:jc w:val="left"/>
      </w:pPr>
      <w:r>
        <w:rPr>
          <w:rFonts w:ascii="Calibri" w:hAnsi="Calibri"/>
          <w:b w:val="0"/>
          <w:i/>
          <w:color w:val="404040"/>
          <w:sz w:val="18"/>
        </w:rPr>
        <w:t>Tabla 4. Coeficientes de tamano_patron. Referencia: S1 (1 trabajador).</w:t>
      </w:r>
    </w:p>
    <w:p>
      <w:pPr>
        <w:spacing w:before="120" w:after="60"/>
        <w:jc w:val="left"/>
      </w:pPr>
      <w:r>
        <w:rPr>
          <w:rFonts w:ascii="Calibri" w:hAnsi="Calibri"/>
          <w:b/>
          <w:i w:val="0"/>
          <w:color w:val="1F497D"/>
          <w:sz w:val="22"/>
        </w:rPr>
        <w:t>3.4  Interaccion edad x tamano: como influye la edad segun el patron</w:t>
      </w:r>
    </w:p>
    <w:p>
      <w:pPr>
        <w:spacing w:before="0" w:after="80"/>
        <w:jc w:val="left"/>
      </w:pPr>
      <w:r>
        <w:rPr>
          <w:rFonts w:ascii="Calibri" w:hAnsi="Calibri"/>
          <w:b w:val="0"/>
          <w:i w:val="0"/>
          <w:sz w:val="20"/>
        </w:rPr>
        <w:t>La figura 2 muestra las curvas salariales predichas para cada tamano de empresa a lo largo del ciclo de vida laboral (17 a 82 anos), manteniendo constante la entidad (CDMX como referencia). La pendiente de cada curva es la tasa de crecimiento salarial por ano de edad para ese tipo de empresa.</w:t>
      </w:r>
    </w:p>
    <w:p>
      <w:pPr>
        <w:spacing w:before="80" w:after="40"/>
        <w:jc w:val="center"/>
      </w:pPr>
      <w:r>
        <w:drawing>
          <wp:inline xmlns:a="http://schemas.openxmlformats.org/drawingml/2006/main" xmlns:pic="http://schemas.openxmlformats.org/drawingml/2006/picture">
            <wp:extent cx="5303520" cy="2889258"/>
            <wp:docPr id="3" name="Picture 3"/>
            <wp:cNvGraphicFramePr>
              <a:graphicFrameLocks noChangeAspect="1"/>
            </wp:cNvGraphicFramePr>
            <a:graphic>
              <a:graphicData uri="http://schemas.openxmlformats.org/drawingml/2006/picture">
                <pic:pic>
                  <pic:nvPicPr>
                    <pic:cNvPr id="0" name="fig2_interaccion_edad_tamano.png"/>
                    <pic:cNvPicPr/>
                  </pic:nvPicPr>
                  <pic:blipFill>
                    <a:blip r:embed="rId10"/>
                    <a:stretch>
                      <a:fillRect/>
                    </a:stretch>
                  </pic:blipFill>
                  <pic:spPr>
                    <a:xfrm>
                      <a:off x="0" y="0"/>
                      <a:ext cx="5303520" cy="2889258"/>
                    </a:xfrm>
                    <a:prstGeom prst="rect"/>
                  </pic:spPr>
                </pic:pic>
              </a:graphicData>
            </a:graphic>
          </wp:inline>
        </w:drawing>
      </w:r>
    </w:p>
    <w:p>
      <w:pPr>
        <w:spacing w:before="40" w:after="120"/>
        <w:jc w:val="left"/>
      </w:pPr>
      <w:r>
        <w:rPr>
          <w:rFonts w:ascii="Calibri" w:hAnsi="Calibri"/>
          <w:b w:val="0"/>
          <w:i/>
          <w:color w:val="404040"/>
          <w:sz w:val="18"/>
        </w:rPr>
        <w:t>Figura 2. Curvas salario-edad por tamano de empresa (modelo con interaccion). Pendientes distintas indican que la experiencia se valora de forma diferente segun el tamano del patron.</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val="clear" w:color="auto" w:fill="1F497D"/>
          </w:tcPr>
          <w:p>
            <w:pPr>
              <w:jc w:val="center"/>
            </w:pPr>
            <w:r>
              <w:rPr>
                <w:rFonts w:ascii="Calibri" w:hAnsi="Calibri"/>
                <w:b/>
                <w:color w:val="FFFFFF"/>
                <w:sz w:val="18"/>
              </w:rPr>
              <w:t>Tamano</w:t>
            </w:r>
          </w:p>
        </w:tc>
        <w:tc>
          <w:tcPr>
            <w:tcW w:type="dxa" w:w="2016"/>
            <w:shd w:val="clear" w:color="auto" w:fill="1F497D"/>
          </w:tcPr>
          <w:p>
            <w:pPr>
              <w:jc w:val="center"/>
            </w:pPr>
            <w:r>
              <w:rPr>
                <w:rFonts w:ascii="Calibri" w:hAnsi="Calibri"/>
                <w:b/>
                <w:color w:val="FFFFFF"/>
                <w:sz w:val="18"/>
              </w:rPr>
              <w:t>Pendiente (W/ano)</w:t>
            </w:r>
          </w:p>
        </w:tc>
        <w:tc>
          <w:tcPr>
            <w:tcW w:type="dxa" w:w="2016"/>
            <w:shd w:val="clear" w:color="auto" w:fill="1F497D"/>
          </w:tcPr>
          <w:p>
            <w:pPr>
              <w:jc w:val="center"/>
            </w:pPr>
            <w:r>
              <w:rPr>
                <w:rFonts w:ascii="Calibri" w:hAnsi="Calibri"/>
                <w:b/>
                <w:color w:val="FFFFFF"/>
                <w:sz w:val="18"/>
              </w:rPr>
              <w:t>Ganancia 10a</w:t>
            </w:r>
          </w:p>
        </w:tc>
        <w:tc>
          <w:tcPr>
            <w:tcW w:type="dxa" w:w="2016"/>
            <w:shd w:val="clear" w:color="auto" w:fill="1F497D"/>
          </w:tcPr>
          <w:p>
            <w:pPr>
              <w:jc w:val="center"/>
            </w:pPr>
            <w:r>
              <w:rPr>
                <w:rFonts w:ascii="Calibri" w:hAnsi="Calibri"/>
                <w:b/>
                <w:color w:val="FFFFFF"/>
                <w:sz w:val="18"/>
              </w:rPr>
              <w:t>Ganancia carrera (40a)</w:t>
            </w:r>
          </w:p>
        </w:tc>
        <w:tc>
          <w:tcPr>
            <w:tcW w:type="dxa" w:w="2016"/>
            <w:shd w:val="clear" w:color="auto" w:fill="1F497D"/>
          </w:tcPr>
          <w:p>
            <w:pPr>
              <w:jc w:val="center"/>
            </w:pPr>
            <w:r>
              <w:rPr>
                <w:rFonts w:ascii="Calibri" w:hAnsi="Calibri"/>
                <w:b/>
                <w:color w:val="FFFFFF"/>
                <w:sz w:val="18"/>
              </w:rPr>
              <w:t>Delta vs S1</w:t>
            </w:r>
          </w:p>
        </w:tc>
      </w:tr>
      <w:tr>
        <w:tc>
          <w:tcPr>
            <w:tcW w:type="dxa" w:w="2016"/>
            <w:shd w:val="clear" w:color="auto" w:fill="FFFFFF"/>
          </w:tcPr>
          <w:p>
            <w:pPr>
              <w:jc w:val="left"/>
            </w:pPr>
            <w:r>
              <w:rPr>
                <w:rFonts w:ascii="Calibri" w:hAnsi="Calibri"/>
                <w:sz w:val="18"/>
              </w:rPr>
              <w:t>S1 (1 trab.)</w:t>
            </w:r>
          </w:p>
        </w:tc>
        <w:tc>
          <w:tcPr>
            <w:tcW w:type="dxa" w:w="2016"/>
            <w:shd w:val="clear" w:color="auto" w:fill="FFFFFF"/>
          </w:tcPr>
          <w:p>
            <w:pPr>
              <w:jc w:val="center"/>
            </w:pPr>
            <w:r>
              <w:rPr>
                <w:rFonts w:ascii="Calibri" w:hAnsi="Calibri"/>
                <w:sz w:val="18"/>
              </w:rPr>
              <w:t>+0.1771</w:t>
            </w:r>
          </w:p>
        </w:tc>
        <w:tc>
          <w:tcPr>
            <w:tcW w:type="dxa" w:w="2016"/>
            <w:shd w:val="clear" w:color="auto" w:fill="FFFFFF"/>
          </w:tcPr>
          <w:p>
            <w:pPr>
              <w:jc w:val="center"/>
            </w:pPr>
            <w:r>
              <w:rPr>
                <w:rFonts w:ascii="Calibri" w:hAnsi="Calibri"/>
                <w:sz w:val="18"/>
              </w:rPr>
              <w:t>1.771</w:t>
            </w:r>
          </w:p>
        </w:tc>
        <w:tc>
          <w:tcPr>
            <w:tcW w:type="dxa" w:w="2016"/>
            <w:shd w:val="clear" w:color="auto" w:fill="FFFFFF"/>
          </w:tcPr>
          <w:p>
            <w:pPr>
              <w:jc w:val="center"/>
            </w:pPr>
            <w:r>
              <w:rPr>
                <w:rFonts w:ascii="Calibri" w:hAnsi="Calibri"/>
                <w:sz w:val="18"/>
              </w:rPr>
              <w:t>7.085</w:t>
            </w:r>
          </w:p>
        </w:tc>
        <w:tc>
          <w:tcPr>
            <w:tcW w:type="dxa" w:w="2016"/>
            <w:shd w:val="clear" w:color="auto" w:fill="FFFFFF"/>
          </w:tcPr>
          <w:p>
            <w:pPr>
              <w:jc w:val="center"/>
            </w:pPr>
            <w:r>
              <w:rPr>
                <w:rFonts w:ascii="Calibri" w:hAnsi="Calibri"/>
                <w:sz w:val="18"/>
              </w:rPr>
              <w:t>ref.</w:t>
            </w:r>
          </w:p>
        </w:tc>
      </w:tr>
      <w:tr>
        <w:tc>
          <w:tcPr>
            <w:tcW w:type="dxa" w:w="2016"/>
            <w:shd w:val="clear" w:color="auto" w:fill="F2F2F2"/>
          </w:tcPr>
          <w:p>
            <w:pPr>
              <w:jc w:val="left"/>
            </w:pPr>
            <w:r>
              <w:rPr>
                <w:rFonts w:ascii="Calibri" w:hAnsi="Calibri"/>
                <w:sz w:val="18"/>
              </w:rPr>
              <w:t>S2 (2-5)</w:t>
            </w:r>
          </w:p>
        </w:tc>
        <w:tc>
          <w:tcPr>
            <w:tcW w:type="dxa" w:w="2016"/>
            <w:shd w:val="clear" w:color="auto" w:fill="F2F2F2"/>
          </w:tcPr>
          <w:p>
            <w:pPr>
              <w:jc w:val="center"/>
            </w:pPr>
            <w:r>
              <w:rPr>
                <w:rFonts w:ascii="Calibri" w:hAnsi="Calibri"/>
                <w:sz w:val="18"/>
              </w:rPr>
              <w:t>+0.1726</w:t>
            </w:r>
          </w:p>
        </w:tc>
        <w:tc>
          <w:tcPr>
            <w:tcW w:type="dxa" w:w="2016"/>
            <w:shd w:val="clear" w:color="auto" w:fill="F2F2F2"/>
          </w:tcPr>
          <w:p>
            <w:pPr>
              <w:jc w:val="center"/>
            </w:pPr>
            <w:r>
              <w:rPr>
                <w:rFonts w:ascii="Calibri" w:hAnsi="Calibri"/>
                <w:sz w:val="18"/>
              </w:rPr>
              <w:t>1.726</w:t>
            </w:r>
          </w:p>
        </w:tc>
        <w:tc>
          <w:tcPr>
            <w:tcW w:type="dxa" w:w="2016"/>
            <w:shd w:val="clear" w:color="auto" w:fill="F2F2F2"/>
          </w:tcPr>
          <w:p>
            <w:pPr>
              <w:jc w:val="center"/>
            </w:pPr>
            <w:r>
              <w:rPr>
                <w:rFonts w:ascii="Calibri" w:hAnsi="Calibri"/>
                <w:sz w:val="18"/>
              </w:rPr>
              <w:t>6.905</w:t>
            </w:r>
          </w:p>
        </w:tc>
        <w:tc>
          <w:tcPr>
            <w:tcW w:type="dxa" w:w="2016"/>
            <w:shd w:val="clear" w:color="auto" w:fill="F2F2F2"/>
          </w:tcPr>
          <w:p>
            <w:pPr>
              <w:jc w:val="center"/>
            </w:pPr>
            <w:r>
              <w:rPr>
                <w:rFonts w:ascii="Calibri" w:hAnsi="Calibri"/>
                <w:sz w:val="18"/>
              </w:rPr>
              <w:t>-0.180 W *</w:t>
            </w:r>
          </w:p>
        </w:tc>
      </w:tr>
      <w:tr>
        <w:tc>
          <w:tcPr>
            <w:tcW w:type="dxa" w:w="2016"/>
            <w:shd w:val="clear" w:color="auto" w:fill="FFFFFF"/>
          </w:tcPr>
          <w:p>
            <w:pPr>
              <w:jc w:val="left"/>
            </w:pPr>
            <w:r>
              <w:rPr>
                <w:rFonts w:ascii="Calibri" w:hAnsi="Calibri"/>
                <w:sz w:val="18"/>
              </w:rPr>
              <w:t>S3 (6-10)</w:t>
            </w:r>
          </w:p>
        </w:tc>
        <w:tc>
          <w:tcPr>
            <w:tcW w:type="dxa" w:w="2016"/>
            <w:shd w:val="clear" w:color="auto" w:fill="FFFFFF"/>
          </w:tcPr>
          <w:p>
            <w:pPr>
              <w:jc w:val="center"/>
            </w:pPr>
            <w:r>
              <w:rPr>
                <w:rFonts w:ascii="Calibri" w:hAnsi="Calibri"/>
                <w:sz w:val="18"/>
              </w:rPr>
              <w:t>+0.1748</w:t>
            </w:r>
          </w:p>
        </w:tc>
        <w:tc>
          <w:tcPr>
            <w:tcW w:type="dxa" w:w="2016"/>
            <w:shd w:val="clear" w:color="auto" w:fill="FFFFFF"/>
          </w:tcPr>
          <w:p>
            <w:pPr>
              <w:jc w:val="center"/>
            </w:pPr>
            <w:r>
              <w:rPr>
                <w:rFonts w:ascii="Calibri" w:hAnsi="Calibri"/>
                <w:sz w:val="18"/>
              </w:rPr>
              <w:t>1.748</w:t>
            </w:r>
          </w:p>
        </w:tc>
        <w:tc>
          <w:tcPr>
            <w:tcW w:type="dxa" w:w="2016"/>
            <w:shd w:val="clear" w:color="auto" w:fill="FFFFFF"/>
          </w:tcPr>
          <w:p>
            <w:pPr>
              <w:jc w:val="center"/>
            </w:pPr>
            <w:r>
              <w:rPr>
                <w:rFonts w:ascii="Calibri" w:hAnsi="Calibri"/>
                <w:sz w:val="18"/>
              </w:rPr>
              <w:t>6.990</w:t>
            </w:r>
          </w:p>
        </w:tc>
        <w:tc>
          <w:tcPr>
            <w:tcW w:type="dxa" w:w="2016"/>
            <w:shd w:val="clear" w:color="auto" w:fill="FFFFFF"/>
          </w:tcPr>
          <w:p>
            <w:pPr>
              <w:jc w:val="center"/>
            </w:pPr>
            <w:r>
              <w:rPr>
                <w:rFonts w:ascii="Calibri" w:hAnsi="Calibri"/>
                <w:sz w:val="18"/>
              </w:rPr>
              <w:t>-0.094 W (n.s.)</w:t>
            </w:r>
          </w:p>
        </w:tc>
      </w:tr>
      <w:tr>
        <w:tc>
          <w:tcPr>
            <w:tcW w:type="dxa" w:w="2016"/>
            <w:shd w:val="clear" w:color="auto" w:fill="F2F2F2"/>
          </w:tcPr>
          <w:p>
            <w:pPr>
              <w:jc w:val="left"/>
            </w:pPr>
            <w:r>
              <w:rPr>
                <w:rFonts w:ascii="Calibri" w:hAnsi="Calibri"/>
                <w:sz w:val="18"/>
              </w:rPr>
              <w:t>S4 (11-15)</w:t>
            </w:r>
          </w:p>
        </w:tc>
        <w:tc>
          <w:tcPr>
            <w:tcW w:type="dxa" w:w="2016"/>
            <w:shd w:val="clear" w:color="auto" w:fill="F2F2F2"/>
          </w:tcPr>
          <w:p>
            <w:pPr>
              <w:jc w:val="center"/>
            </w:pPr>
            <w:r>
              <w:rPr>
                <w:rFonts w:ascii="Calibri" w:hAnsi="Calibri"/>
                <w:sz w:val="18"/>
              </w:rPr>
              <w:t>+0.1837</w:t>
            </w:r>
          </w:p>
        </w:tc>
        <w:tc>
          <w:tcPr>
            <w:tcW w:type="dxa" w:w="2016"/>
            <w:shd w:val="clear" w:color="auto" w:fill="F2F2F2"/>
          </w:tcPr>
          <w:p>
            <w:pPr>
              <w:jc w:val="center"/>
            </w:pPr>
            <w:r>
              <w:rPr>
                <w:rFonts w:ascii="Calibri" w:hAnsi="Calibri"/>
                <w:sz w:val="18"/>
              </w:rPr>
              <w:t>1.837</w:t>
            </w:r>
          </w:p>
        </w:tc>
        <w:tc>
          <w:tcPr>
            <w:tcW w:type="dxa" w:w="2016"/>
            <w:shd w:val="clear" w:color="auto" w:fill="F2F2F2"/>
          </w:tcPr>
          <w:p>
            <w:pPr>
              <w:jc w:val="center"/>
            </w:pPr>
            <w:r>
              <w:rPr>
                <w:rFonts w:ascii="Calibri" w:hAnsi="Calibri"/>
                <w:sz w:val="18"/>
              </w:rPr>
              <w:t>7.350</w:t>
            </w:r>
          </w:p>
        </w:tc>
        <w:tc>
          <w:tcPr>
            <w:tcW w:type="dxa" w:w="2016"/>
            <w:shd w:val="clear" w:color="auto" w:fill="F2F2F2"/>
          </w:tcPr>
          <w:p>
            <w:pPr>
              <w:jc w:val="center"/>
            </w:pPr>
            <w:r>
              <w:rPr>
                <w:rFonts w:ascii="Calibri" w:hAnsi="Calibri"/>
                <w:sz w:val="18"/>
              </w:rPr>
              <w:t>+0.265 W *</w:t>
            </w:r>
          </w:p>
        </w:tc>
      </w:tr>
      <w:tr>
        <w:tc>
          <w:tcPr>
            <w:tcW w:type="dxa" w:w="2016"/>
            <w:shd w:val="clear" w:color="auto" w:fill="FFFFFF"/>
          </w:tcPr>
          <w:p>
            <w:pPr>
              <w:jc w:val="left"/>
            </w:pPr>
            <w:r>
              <w:rPr>
                <w:rFonts w:ascii="Calibri" w:hAnsi="Calibri"/>
                <w:sz w:val="18"/>
              </w:rPr>
              <w:t>S5 (16-50)</w:t>
            </w:r>
          </w:p>
        </w:tc>
        <w:tc>
          <w:tcPr>
            <w:tcW w:type="dxa" w:w="2016"/>
            <w:shd w:val="clear" w:color="auto" w:fill="FFFFFF"/>
          </w:tcPr>
          <w:p>
            <w:pPr>
              <w:jc w:val="center"/>
            </w:pPr>
            <w:r>
              <w:rPr>
                <w:rFonts w:ascii="Calibri" w:hAnsi="Calibri"/>
                <w:sz w:val="18"/>
              </w:rPr>
              <w:t>+0.1841</w:t>
            </w:r>
          </w:p>
        </w:tc>
        <w:tc>
          <w:tcPr>
            <w:tcW w:type="dxa" w:w="2016"/>
            <w:shd w:val="clear" w:color="auto" w:fill="FFFFFF"/>
          </w:tcPr>
          <w:p>
            <w:pPr>
              <w:jc w:val="center"/>
            </w:pPr>
            <w:r>
              <w:rPr>
                <w:rFonts w:ascii="Calibri" w:hAnsi="Calibri"/>
                <w:sz w:val="18"/>
              </w:rPr>
              <w:t>1.841</w:t>
            </w:r>
          </w:p>
        </w:tc>
        <w:tc>
          <w:tcPr>
            <w:tcW w:type="dxa" w:w="2016"/>
            <w:shd w:val="clear" w:color="auto" w:fill="FFFFFF"/>
          </w:tcPr>
          <w:p>
            <w:pPr>
              <w:jc w:val="center"/>
            </w:pPr>
            <w:r>
              <w:rPr>
                <w:rFonts w:ascii="Calibri" w:hAnsi="Calibri"/>
                <w:sz w:val="18"/>
              </w:rPr>
              <w:t>7.365</w:t>
            </w:r>
          </w:p>
        </w:tc>
        <w:tc>
          <w:tcPr>
            <w:tcW w:type="dxa" w:w="2016"/>
            <w:shd w:val="clear" w:color="auto" w:fill="FFFFFF"/>
          </w:tcPr>
          <w:p>
            <w:pPr>
              <w:jc w:val="center"/>
            </w:pPr>
            <w:r>
              <w:rPr>
                <w:rFonts w:ascii="Calibri" w:hAnsi="Calibri"/>
                <w:sz w:val="18"/>
              </w:rPr>
              <w:t>+0.280 W *</w:t>
            </w:r>
          </w:p>
        </w:tc>
      </w:tr>
      <w:tr>
        <w:tc>
          <w:tcPr>
            <w:tcW w:type="dxa" w:w="2016"/>
            <w:shd w:val="clear" w:color="auto" w:fill="F2F2F2"/>
          </w:tcPr>
          <w:p>
            <w:pPr>
              <w:jc w:val="left"/>
            </w:pPr>
            <w:r>
              <w:rPr>
                <w:rFonts w:ascii="Calibri" w:hAnsi="Calibri"/>
                <w:sz w:val="18"/>
              </w:rPr>
              <w:t>S6 (51-250)</w:t>
            </w:r>
          </w:p>
        </w:tc>
        <w:tc>
          <w:tcPr>
            <w:tcW w:type="dxa" w:w="2016"/>
            <w:shd w:val="clear" w:color="auto" w:fill="F2F2F2"/>
          </w:tcPr>
          <w:p>
            <w:pPr>
              <w:jc w:val="center"/>
            </w:pPr>
            <w:r>
              <w:rPr>
                <w:rFonts w:ascii="Calibri" w:hAnsi="Calibri"/>
                <w:sz w:val="18"/>
              </w:rPr>
              <w:t>+0.1899</w:t>
            </w:r>
          </w:p>
        </w:tc>
        <w:tc>
          <w:tcPr>
            <w:tcW w:type="dxa" w:w="2016"/>
            <w:shd w:val="clear" w:color="auto" w:fill="F2F2F2"/>
          </w:tcPr>
          <w:p>
            <w:pPr>
              <w:jc w:val="center"/>
            </w:pPr>
            <w:r>
              <w:rPr>
                <w:rFonts w:ascii="Calibri" w:hAnsi="Calibri"/>
                <w:sz w:val="18"/>
              </w:rPr>
              <w:t>1.899</w:t>
            </w:r>
          </w:p>
        </w:tc>
        <w:tc>
          <w:tcPr>
            <w:tcW w:type="dxa" w:w="2016"/>
            <w:shd w:val="clear" w:color="auto" w:fill="F2F2F2"/>
          </w:tcPr>
          <w:p>
            <w:pPr>
              <w:jc w:val="center"/>
            </w:pPr>
            <w:r>
              <w:rPr>
                <w:rFonts w:ascii="Calibri" w:hAnsi="Calibri"/>
                <w:sz w:val="18"/>
              </w:rPr>
              <w:t>7.598</w:t>
            </w:r>
          </w:p>
        </w:tc>
        <w:tc>
          <w:tcPr>
            <w:tcW w:type="dxa" w:w="2016"/>
            <w:shd w:val="clear" w:color="auto" w:fill="F2F2F2"/>
          </w:tcPr>
          <w:p>
            <w:pPr>
              <w:jc w:val="center"/>
            </w:pPr>
            <w:r>
              <w:rPr>
                <w:rFonts w:ascii="Calibri" w:hAnsi="Calibri"/>
                <w:sz w:val="18"/>
              </w:rPr>
              <w:t>+0.513 W *</w:t>
            </w:r>
          </w:p>
        </w:tc>
      </w:tr>
      <w:tr>
        <w:tc>
          <w:tcPr>
            <w:tcW w:type="dxa" w:w="2016"/>
            <w:shd w:val="clear" w:color="auto" w:fill="FFFFFF"/>
          </w:tcPr>
          <w:p>
            <w:pPr>
              <w:jc w:val="left"/>
            </w:pPr>
            <w:r>
              <w:rPr>
                <w:rFonts w:ascii="Calibri" w:hAnsi="Calibri"/>
                <w:sz w:val="18"/>
              </w:rPr>
              <w:t>S7 (251+)</w:t>
            </w:r>
          </w:p>
        </w:tc>
        <w:tc>
          <w:tcPr>
            <w:tcW w:type="dxa" w:w="2016"/>
            <w:shd w:val="clear" w:color="auto" w:fill="FFFFFF"/>
          </w:tcPr>
          <w:p>
            <w:pPr>
              <w:jc w:val="center"/>
            </w:pPr>
            <w:r>
              <w:rPr>
                <w:rFonts w:ascii="Calibri" w:hAnsi="Calibri"/>
                <w:sz w:val="18"/>
              </w:rPr>
              <w:t>+0.1899</w:t>
            </w:r>
          </w:p>
        </w:tc>
        <w:tc>
          <w:tcPr>
            <w:tcW w:type="dxa" w:w="2016"/>
            <w:shd w:val="clear" w:color="auto" w:fill="FFFFFF"/>
          </w:tcPr>
          <w:p>
            <w:pPr>
              <w:jc w:val="center"/>
            </w:pPr>
            <w:r>
              <w:rPr>
                <w:rFonts w:ascii="Calibri" w:hAnsi="Calibri"/>
                <w:sz w:val="18"/>
              </w:rPr>
              <w:t>1.899</w:t>
            </w:r>
          </w:p>
        </w:tc>
        <w:tc>
          <w:tcPr>
            <w:tcW w:type="dxa" w:w="2016"/>
            <w:shd w:val="clear" w:color="auto" w:fill="FFFFFF"/>
          </w:tcPr>
          <w:p>
            <w:pPr>
              <w:jc w:val="center"/>
            </w:pPr>
            <w:r>
              <w:rPr>
                <w:rFonts w:ascii="Calibri" w:hAnsi="Calibri"/>
                <w:sz w:val="18"/>
              </w:rPr>
              <w:t>7.597</w:t>
            </w:r>
          </w:p>
        </w:tc>
        <w:tc>
          <w:tcPr>
            <w:tcW w:type="dxa" w:w="2016"/>
            <w:shd w:val="clear" w:color="auto" w:fill="FFFFFF"/>
          </w:tcPr>
          <w:p>
            <w:pPr>
              <w:jc w:val="center"/>
            </w:pPr>
            <w:r>
              <w:rPr>
                <w:rFonts w:ascii="Calibri" w:hAnsi="Calibri"/>
                <w:sz w:val="18"/>
              </w:rPr>
              <w:t>+0.512 W *</w:t>
            </w:r>
          </w:p>
        </w:tc>
      </w:tr>
    </w:tbl>
    <w:p>
      <w:pPr>
        <w:spacing w:before="40" w:after="120"/>
        <w:jc w:val="left"/>
      </w:pPr>
      <w:r>
        <w:rPr>
          <w:rFonts w:ascii="Calibri" w:hAnsi="Calibri"/>
          <w:b w:val="0"/>
          <w:i/>
          <w:color w:val="404040"/>
          <w:sz w:val="18"/>
        </w:rPr>
        <w:t>Tabla 5. Pendiente de edad por tamano de empresa. Delta vs S1: diferencia de ganancia acumulada en 40 anos respecto a un patron unipersonal. * = sig. p&lt;0.05. n.s. = no significativo.</w:t>
      </w:r>
    </w:p>
    <w:p>
      <w:pPr>
        <w:spacing w:before="0" w:after="80"/>
        <w:jc w:val="left"/>
      </w:pPr>
      <w:r>
        <w:rPr>
          <w:rFonts w:ascii="Calibri" w:hAnsi="Calibri"/>
          <w:b w:val="0"/>
          <w:i w:val="0"/>
          <w:sz w:val="20"/>
        </w:rPr>
        <w:t>Las interacciones son estadisticamente significativas para S2, S4, S5, S6 y S7 (p&lt;0.05); S3 no alcanza significancia (p=0.099). Sin embargo, el efecto practico es modesto: la mayor diferencia de carrera (S6/S7 vs S1) es de solo +0.51 rangos W en 40 anos. El hallazgo relevante es cualitativo: en empresas medianas y grandes (S4+), la experiencia se valoriza de forma sistematicamente mayor que en microempresas, lo que es consistente con la existencia de escalas salariales formales y antigedad.</w:t>
      </w:r>
    </w:p>
    <w:p>
      <w:pPr>
        <w:spacing w:before="200" w:after="60"/>
        <w:jc w:val="left"/>
      </w:pPr>
      <w:r>
        <w:rPr>
          <w:rFonts w:ascii="Calibri" w:hAnsi="Calibri"/>
          <w:b/>
          <w:i w:val="0"/>
          <w:color w:val="1F497D"/>
          <w:sz w:val="26"/>
        </w:rPr>
        <w:t>4. Modelo 2: Regresion Logistica Ponderada</w:t>
      </w:r>
    </w:p>
    <w:p>
      <w:pPr>
        <w:spacing w:before="0" w:after="80"/>
        <w:jc w:val="left"/>
      </w:pPr>
      <w:r>
        <w:rPr>
          <w:rFonts w:ascii="Calibri" w:hAnsi="Calibri"/>
          <w:b w:val="0"/>
          <w:i w:val="0"/>
          <w:sz w:val="20"/>
        </w:rPr>
        <w:t>Se ajusta un modelo logistico (GLM Binomial con freq_weights) para predecir la probabilidad de que un trabajador urbano pertenezca al estrato de salario alto (W3 o superior, percentil 75 ponderado, 36.0% de los trabajadores). Los predictores son entidad, sector economico a 1 digito y sexo.</w:t>
      </w:r>
    </w:p>
    <w:p>
      <w:pPr>
        <w:spacing w:before="120" w:after="60"/>
        <w:jc w:val="left"/>
      </w:pPr>
      <w:r>
        <w:rPr>
          <w:rFonts w:ascii="Calibri" w:hAnsi="Calibri"/>
          <w:b/>
          <w:i w:val="0"/>
          <w:color w:val="1F497D"/>
          <w:sz w:val="22"/>
        </w:rPr>
        <w:t>4.1  Metricas de ajuste y clasificacion</w:t>
      </w:r>
    </w:p>
    <w:tbl>
      <w:tblPr>
        <w:tblStyle w:val="TableGrid"/>
        <w:tblW w:type="auto" w:w="0"/>
        <w:jc w:val="center"/>
        <w:tblLook w:firstColumn="1" w:firstRow="1" w:lastColumn="0" w:lastRow="0" w:noHBand="0" w:noVBand="1" w:val="04A0"/>
      </w:tblPr>
      <w:tblGrid>
        <w:gridCol w:w="5040"/>
        <w:gridCol w:w="5040"/>
      </w:tblGrid>
      <w:tr>
        <w:tc>
          <w:tcPr>
            <w:tcW w:type="dxa" w:w="5040"/>
            <w:shd w:val="clear" w:color="auto" w:fill="1F497D"/>
          </w:tcPr>
          <w:p>
            <w:pPr>
              <w:jc w:val="center"/>
            </w:pPr>
            <w:r>
              <w:rPr>
                <w:rFonts w:ascii="Calibri" w:hAnsi="Calibri"/>
                <w:b/>
                <w:color w:val="FFFFFF"/>
                <w:sz w:val="18"/>
              </w:rPr>
              <w:t>Metrica</w:t>
            </w:r>
          </w:p>
        </w:tc>
        <w:tc>
          <w:tcPr>
            <w:tcW w:type="dxa" w:w="5040"/>
            <w:shd w:val="clear" w:color="auto" w:fill="1F497D"/>
          </w:tcPr>
          <w:p>
            <w:pPr>
              <w:jc w:val="center"/>
            </w:pPr>
            <w:r>
              <w:rPr>
                <w:rFonts w:ascii="Calibri" w:hAnsi="Calibri"/>
                <w:b/>
                <w:color w:val="FFFFFF"/>
                <w:sz w:val="18"/>
              </w:rPr>
              <w:t>Valor</w:t>
            </w:r>
          </w:p>
        </w:tc>
      </w:tr>
      <w:tr>
        <w:tc>
          <w:tcPr>
            <w:tcW w:type="dxa" w:w="5040"/>
            <w:shd w:val="clear" w:color="auto" w:fill="FFFFFF"/>
          </w:tcPr>
          <w:p>
            <w:pPr>
              <w:jc w:val="left"/>
            </w:pPr>
            <w:r>
              <w:rPr>
                <w:rFonts w:ascii="Calibri" w:hAnsi="Calibri"/>
                <w:sz w:val="18"/>
              </w:rPr>
              <w:t>Pseudo-R² (McFadden)</w:t>
            </w:r>
          </w:p>
        </w:tc>
        <w:tc>
          <w:tcPr>
            <w:tcW w:type="dxa" w:w="5040"/>
            <w:shd w:val="clear" w:color="auto" w:fill="FFFFFF"/>
          </w:tcPr>
          <w:p>
            <w:pPr>
              <w:jc w:val="center"/>
            </w:pPr>
            <w:r>
              <w:rPr>
                <w:rFonts w:ascii="Calibri" w:hAnsi="Calibri"/>
                <w:sz w:val="18"/>
              </w:rPr>
              <w:t>0.0289</w:t>
            </w:r>
          </w:p>
        </w:tc>
      </w:tr>
      <w:tr>
        <w:tc>
          <w:tcPr>
            <w:tcW w:type="dxa" w:w="5040"/>
            <w:shd w:val="clear" w:color="auto" w:fill="F2F2F2"/>
          </w:tcPr>
          <w:p>
            <w:pPr>
              <w:jc w:val="left"/>
            </w:pPr>
            <w:r>
              <w:rPr>
                <w:rFonts w:ascii="Calibri" w:hAnsi="Calibri"/>
                <w:sz w:val="18"/>
              </w:rPr>
              <w:t>AUC (ROC ponderada)</w:t>
            </w:r>
          </w:p>
        </w:tc>
        <w:tc>
          <w:tcPr>
            <w:tcW w:type="dxa" w:w="5040"/>
            <w:shd w:val="clear" w:color="auto" w:fill="F2F2F2"/>
          </w:tcPr>
          <w:p>
            <w:pPr>
              <w:jc w:val="center"/>
            </w:pPr>
            <w:r>
              <w:rPr>
                <w:rFonts w:ascii="Calibri" w:hAnsi="Calibri"/>
                <w:sz w:val="18"/>
              </w:rPr>
              <w:t>0.6105</w:t>
            </w:r>
          </w:p>
        </w:tc>
      </w:tr>
      <w:tr>
        <w:tc>
          <w:tcPr>
            <w:tcW w:type="dxa" w:w="5040"/>
            <w:shd w:val="clear" w:color="auto" w:fill="FFFFFF"/>
          </w:tcPr>
          <w:p>
            <w:pPr>
              <w:jc w:val="left"/>
            </w:pPr>
            <w:r>
              <w:rPr>
                <w:rFonts w:ascii="Calibri" w:hAnsi="Calibri"/>
                <w:sz w:val="18"/>
              </w:rPr>
              <w:t>Umbral optimo (Youden)</w:t>
            </w:r>
          </w:p>
        </w:tc>
        <w:tc>
          <w:tcPr>
            <w:tcW w:type="dxa" w:w="5040"/>
            <w:shd w:val="clear" w:color="auto" w:fill="FFFFFF"/>
          </w:tcPr>
          <w:p>
            <w:pPr>
              <w:jc w:val="center"/>
            </w:pPr>
            <w:r>
              <w:rPr>
                <w:rFonts w:ascii="Calibri" w:hAnsi="Calibri"/>
                <w:sz w:val="18"/>
              </w:rPr>
              <w:t>0.4081</w:t>
            </w:r>
          </w:p>
        </w:tc>
      </w:tr>
      <w:tr>
        <w:tc>
          <w:tcPr>
            <w:tcW w:type="dxa" w:w="5040"/>
            <w:shd w:val="clear" w:color="auto" w:fill="F2F2F2"/>
          </w:tcPr>
          <w:p>
            <w:pPr>
              <w:jc w:val="left"/>
            </w:pPr>
            <w:r>
              <w:rPr>
                <w:rFonts w:ascii="Calibri" w:hAnsi="Calibri"/>
                <w:sz w:val="18"/>
              </w:rPr>
              <w:t>Exactitud (accuracy)</w:t>
            </w:r>
          </w:p>
        </w:tc>
        <w:tc>
          <w:tcPr>
            <w:tcW w:type="dxa" w:w="5040"/>
            <w:shd w:val="clear" w:color="auto" w:fill="F2F2F2"/>
          </w:tcPr>
          <w:p>
            <w:pPr>
              <w:jc w:val="center"/>
            </w:pPr>
            <w:r>
              <w:rPr>
                <w:rFonts w:ascii="Calibri" w:hAnsi="Calibri"/>
                <w:sz w:val="18"/>
              </w:rPr>
              <w:t>0.625</w:t>
            </w:r>
          </w:p>
        </w:tc>
      </w:tr>
      <w:tr>
        <w:tc>
          <w:tcPr>
            <w:tcW w:type="dxa" w:w="5040"/>
            <w:shd w:val="clear" w:color="auto" w:fill="FFFFFF"/>
          </w:tcPr>
          <w:p>
            <w:pPr>
              <w:jc w:val="left"/>
            </w:pPr>
            <w:r>
              <w:rPr>
                <w:rFonts w:ascii="Calibri" w:hAnsi="Calibri"/>
                <w:sz w:val="18"/>
              </w:rPr>
              <w:t>Sensibilidad (recall)</w:t>
            </w:r>
          </w:p>
        </w:tc>
        <w:tc>
          <w:tcPr>
            <w:tcW w:type="dxa" w:w="5040"/>
            <w:shd w:val="clear" w:color="auto" w:fill="FFFFFF"/>
          </w:tcPr>
          <w:p>
            <w:pPr>
              <w:jc w:val="center"/>
            </w:pPr>
            <w:r>
              <w:rPr>
                <w:rFonts w:ascii="Calibri" w:hAnsi="Calibri"/>
                <w:sz w:val="18"/>
              </w:rPr>
              <w:t>0.399</w:t>
            </w:r>
          </w:p>
        </w:tc>
      </w:tr>
      <w:tr>
        <w:tc>
          <w:tcPr>
            <w:tcW w:type="dxa" w:w="5040"/>
            <w:shd w:val="clear" w:color="auto" w:fill="F2F2F2"/>
          </w:tcPr>
          <w:p>
            <w:pPr>
              <w:jc w:val="left"/>
            </w:pPr>
            <w:r>
              <w:rPr>
                <w:rFonts w:ascii="Calibri" w:hAnsi="Calibri"/>
                <w:sz w:val="18"/>
              </w:rPr>
              <w:t>Especificidad</w:t>
            </w:r>
          </w:p>
        </w:tc>
        <w:tc>
          <w:tcPr>
            <w:tcW w:type="dxa" w:w="5040"/>
            <w:shd w:val="clear" w:color="auto" w:fill="F2F2F2"/>
          </w:tcPr>
          <w:p>
            <w:pPr>
              <w:jc w:val="center"/>
            </w:pPr>
            <w:r>
              <w:rPr>
                <w:rFonts w:ascii="Calibri" w:hAnsi="Calibri"/>
                <w:sz w:val="18"/>
              </w:rPr>
              <w:t>0.753</w:t>
            </w:r>
          </w:p>
        </w:tc>
      </w:tr>
      <w:tr>
        <w:tc>
          <w:tcPr>
            <w:tcW w:type="dxa" w:w="5040"/>
            <w:shd w:val="clear" w:color="auto" w:fill="FFFFFF"/>
          </w:tcPr>
          <w:p>
            <w:pPr>
              <w:jc w:val="left"/>
            </w:pPr>
            <w:r>
              <w:rPr>
                <w:rFonts w:ascii="Calibri" w:hAnsi="Calibri"/>
                <w:sz w:val="18"/>
              </w:rPr>
              <w:t>Tasa base (salario alto)</w:t>
            </w:r>
          </w:p>
        </w:tc>
        <w:tc>
          <w:tcPr>
            <w:tcW w:type="dxa" w:w="5040"/>
            <w:shd w:val="clear" w:color="auto" w:fill="FFFFFF"/>
          </w:tcPr>
          <w:p>
            <w:pPr>
              <w:jc w:val="center"/>
            </w:pPr>
            <w:r>
              <w:rPr>
                <w:rFonts w:ascii="Calibri" w:hAnsi="Calibri"/>
                <w:sz w:val="18"/>
              </w:rPr>
              <w:t>36.0%</w:t>
            </w:r>
          </w:p>
        </w:tc>
      </w:tr>
    </w:tbl>
    <w:p>
      <w:pPr>
        <w:spacing w:before="40" w:after="120"/>
        <w:jc w:val="left"/>
      </w:pPr>
      <w:r>
        <w:rPr>
          <w:rFonts w:ascii="Calibri" w:hAnsi="Calibri"/>
          <w:b w:val="0"/>
          <w:i/>
          <w:color w:val="404040"/>
          <w:sz w:val="18"/>
        </w:rPr>
        <w:t>Tabla 6. Metricas del Modelo 2. El umbral optimo se obtiene maximizando el indice de Youden (Sens + Spec - 1) sobre la curva ROC.</w:t>
      </w:r>
    </w:p>
    <w:p>
      <w:pPr>
        <w:spacing w:before="80" w:after="40"/>
        <w:jc w:val="center"/>
      </w:pPr>
      <w:r>
        <w:drawing>
          <wp:inline xmlns:a="http://schemas.openxmlformats.org/drawingml/2006/main" xmlns:pic="http://schemas.openxmlformats.org/drawingml/2006/picture">
            <wp:extent cx="5303520" cy="4404618"/>
            <wp:docPr id="4" name="Picture 4"/>
            <wp:cNvGraphicFramePr>
              <a:graphicFrameLocks noChangeAspect="1"/>
            </wp:cNvGraphicFramePr>
            <a:graphic>
              <a:graphicData uri="http://schemas.openxmlformats.org/drawingml/2006/picture">
                <pic:pic>
                  <pic:nvPicPr>
                    <pic:cNvPr id="0" name="fig5_roc.png"/>
                    <pic:cNvPicPr/>
                  </pic:nvPicPr>
                  <pic:blipFill>
                    <a:blip r:embed="rId11"/>
                    <a:stretch>
                      <a:fillRect/>
                    </a:stretch>
                  </pic:blipFill>
                  <pic:spPr>
                    <a:xfrm>
                      <a:off x="0" y="0"/>
                      <a:ext cx="5303520" cy="4404618"/>
                    </a:xfrm>
                    <a:prstGeom prst="rect"/>
                  </pic:spPr>
                </pic:pic>
              </a:graphicData>
            </a:graphic>
          </wp:inline>
        </w:drawing>
      </w:r>
    </w:p>
    <w:p>
      <w:pPr>
        <w:spacing w:before="40" w:after="120"/>
        <w:jc w:val="left"/>
      </w:pPr>
      <w:r>
        <w:rPr>
          <w:rFonts w:ascii="Calibri" w:hAnsi="Calibri"/>
          <w:b w:val="0"/>
          <w:i/>
          <w:color w:val="404040"/>
          <w:sz w:val="18"/>
        </w:rPr>
        <w:t>Figura 5. Curva ROC del Modelo 2. AUC=0.6105: el modelo distingue trabajadores de salario alto/bajo mejor que el azar.</w:t>
      </w:r>
    </w:p>
    <w:p>
      <w:pPr>
        <w:spacing w:before="120" w:after="60"/>
        <w:jc w:val="left"/>
      </w:pPr>
      <w:r>
        <w:rPr>
          <w:rFonts w:ascii="Calibri" w:hAnsi="Calibri"/>
          <w:b/>
          <w:i w:val="0"/>
          <w:color w:val="1F497D"/>
          <w:sz w:val="22"/>
        </w:rPr>
        <w:t>4.2  Brecha salarial de genero — coeficiente del modelo</w:t>
      </w:r>
    </w:p>
    <w:p>
      <w:pPr>
        <w:spacing w:before="0" w:after="80"/>
        <w:jc w:val="left"/>
      </w:pPr>
      <w:r>
        <w:rPr>
          <w:rFonts w:ascii="Calibri" w:hAnsi="Calibri"/>
          <w:b w:val="0"/>
          <w:i w:val="0"/>
          <w:sz w:val="20"/>
        </w:rPr>
        <w:t>El coeficiente para la variable mujer es -0.3519, OR = 0.7033 (IC 95%: [0.7011, 0.7056], p=0.00e+00). Esto significa que, controlando por entidad y sector, las mujeres tienen 29.7% menos probabilidades (en terminos de odds) de pertenecer al estrato salarial alto que un hombre equivalente. La diferencia es estadisticamente indistinguible del cero solo si el IC incluye 1.0; en este caso, el intervalo [0.7011, 0.7056] no incluye la unidad, por lo que la brecha es estadisticamente significativa.</w:t>
      </w:r>
    </w:p>
    <w:p>
      <w:pPr>
        <w:spacing w:before="120" w:after="60"/>
        <w:jc w:val="left"/>
      </w:pPr>
      <w:r>
        <w:rPr>
          <w:rFonts w:ascii="Calibri" w:hAnsi="Calibri"/>
          <w:b/>
          <w:i w:val="0"/>
          <w:color w:val="1F497D"/>
          <w:sz w:val="22"/>
        </w:rPr>
        <w:t>4.3  Probabilidades predichas por sector y sexo</w:t>
      </w:r>
    </w:p>
    <w:p>
      <w:pPr>
        <w:spacing w:before="0" w:after="80"/>
        <w:jc w:val="left"/>
      </w:pPr>
      <w:r>
        <w:rPr>
          <w:rFonts w:ascii="Calibri" w:hAnsi="Calibri"/>
          <w:b w:val="0"/>
          <w:i w:val="0"/>
          <w:sz w:val="20"/>
        </w:rPr>
        <w:t>La figura 4 y la tabla 7 muestran las probabilidades predichas de salario alto para hombres y mujeres en cada sector, con CDMX como entidad de referencia. Esto cuantifica directamente la brecha: la diferencia de probabilidad predicha entre un hombre y una mujer con el mismo sector y entidad.</w:t>
      </w:r>
    </w:p>
    <w:p>
      <w:pPr>
        <w:spacing w:before="80" w:after="40"/>
        <w:jc w:val="center"/>
      </w:pPr>
      <w:r>
        <w:drawing>
          <wp:inline xmlns:a="http://schemas.openxmlformats.org/drawingml/2006/main" xmlns:pic="http://schemas.openxmlformats.org/drawingml/2006/picture">
            <wp:extent cx="5303520" cy="2624975"/>
            <wp:docPr id="5" name="Picture 5"/>
            <wp:cNvGraphicFramePr>
              <a:graphicFrameLocks noChangeAspect="1"/>
            </wp:cNvGraphicFramePr>
            <a:graphic>
              <a:graphicData uri="http://schemas.openxmlformats.org/drawingml/2006/picture">
                <pic:pic>
                  <pic:nvPicPr>
                    <pic:cNvPr id="0" name="fig4_prob_predicha.png"/>
                    <pic:cNvPicPr/>
                  </pic:nvPicPr>
                  <pic:blipFill>
                    <a:blip r:embed="rId12"/>
                    <a:stretch>
                      <a:fillRect/>
                    </a:stretch>
                  </pic:blipFill>
                  <pic:spPr>
                    <a:xfrm>
                      <a:off x="0" y="0"/>
                      <a:ext cx="5303520" cy="2624975"/>
                    </a:xfrm>
                    <a:prstGeom prst="rect"/>
                  </pic:spPr>
                </pic:pic>
              </a:graphicData>
            </a:graphic>
          </wp:inline>
        </w:drawing>
      </w:r>
    </w:p>
    <w:p>
      <w:pPr>
        <w:spacing w:before="40" w:after="120"/>
        <w:jc w:val="left"/>
      </w:pPr>
      <w:r>
        <w:rPr>
          <w:rFonts w:ascii="Calibri" w:hAnsi="Calibri"/>
          <w:b w:val="0"/>
          <w:i/>
          <w:color w:val="404040"/>
          <w:sz w:val="18"/>
        </w:rPr>
        <w:t>Figura 4. Probabilidad predicha de salario &gt;= W3 por sector y sexo (ref. CDMX). La diferencia entre barras es la brecha de genero controlada por entidad.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val="clear" w:color="auto" w:fill="1F497D"/>
          </w:tcPr>
          <w:p>
            <w:pPr>
              <w:jc w:val="center"/>
            </w:pPr>
            <w:r>
              <w:rPr>
                <w:rFonts w:ascii="Calibri" w:hAnsi="Calibri"/>
                <w:b/>
                <w:color w:val="FFFFFF"/>
                <w:sz w:val="18"/>
              </w:rPr>
              <w:t>Sector</w:t>
            </w:r>
          </w:p>
        </w:tc>
        <w:tc>
          <w:tcPr>
            <w:tcW w:type="dxa" w:w="2520"/>
            <w:shd w:val="clear" w:color="auto" w:fill="1F497D"/>
          </w:tcPr>
          <w:p>
            <w:pPr>
              <w:jc w:val="center"/>
            </w:pPr>
            <w:r>
              <w:rPr>
                <w:rFonts w:ascii="Calibri" w:hAnsi="Calibri"/>
                <w:b/>
                <w:color w:val="FFFFFF"/>
                <w:sz w:val="18"/>
              </w:rPr>
              <w:t>P(W3+) Hombre</w:t>
            </w:r>
          </w:p>
        </w:tc>
        <w:tc>
          <w:tcPr>
            <w:tcW w:type="dxa" w:w="2520"/>
            <w:shd w:val="clear" w:color="auto" w:fill="1F497D"/>
          </w:tcPr>
          <w:p>
            <w:pPr>
              <w:jc w:val="center"/>
            </w:pPr>
            <w:r>
              <w:rPr>
                <w:rFonts w:ascii="Calibri" w:hAnsi="Calibri"/>
                <w:b/>
                <w:color w:val="FFFFFF"/>
                <w:sz w:val="18"/>
              </w:rPr>
              <w:t>P(W3+) Mujer</w:t>
            </w:r>
          </w:p>
        </w:tc>
        <w:tc>
          <w:tcPr>
            <w:tcW w:type="dxa" w:w="2520"/>
            <w:shd w:val="clear" w:color="auto" w:fill="1F497D"/>
          </w:tcPr>
          <w:p>
            <w:pPr>
              <w:jc w:val="center"/>
            </w:pPr>
            <w:r>
              <w:rPr>
                <w:rFonts w:ascii="Calibri" w:hAnsi="Calibri"/>
                <w:b/>
                <w:color w:val="FFFFFF"/>
                <w:sz w:val="18"/>
              </w:rPr>
              <w:t>Brecha (pp)</w:t>
            </w:r>
          </w:p>
        </w:tc>
      </w:tr>
      <w:tr>
        <w:tc>
          <w:tcPr>
            <w:tcW w:type="dxa" w:w="2520"/>
            <w:shd w:val="clear" w:color="auto" w:fill="FFFFFF"/>
          </w:tcPr>
          <w:p>
            <w:pPr>
              <w:jc w:val="left"/>
            </w:pPr>
            <w:r>
              <w:rPr>
                <w:rFonts w:ascii="Calibri" w:hAnsi="Calibri"/>
                <w:sz w:val="18"/>
              </w:rPr>
              <w:t>Comercio</w:t>
            </w:r>
          </w:p>
        </w:tc>
        <w:tc>
          <w:tcPr>
            <w:tcW w:type="dxa" w:w="2520"/>
            <w:shd w:val="clear" w:color="auto" w:fill="FFFFFF"/>
          </w:tcPr>
          <w:p>
            <w:pPr>
              <w:jc w:val="center"/>
            </w:pPr>
            <w:r>
              <w:rPr>
                <w:rFonts w:ascii="Calibri" w:hAnsi="Calibri"/>
                <w:sz w:val="18"/>
              </w:rPr>
              <w:t>0.373 (37.3%)</w:t>
            </w:r>
          </w:p>
        </w:tc>
        <w:tc>
          <w:tcPr>
            <w:tcW w:type="dxa" w:w="2520"/>
            <w:shd w:val="clear" w:color="auto" w:fill="FFFFFF"/>
          </w:tcPr>
          <w:p>
            <w:pPr>
              <w:jc w:val="center"/>
            </w:pPr>
            <w:r>
              <w:rPr>
                <w:rFonts w:ascii="Calibri" w:hAnsi="Calibri"/>
                <w:sz w:val="18"/>
              </w:rPr>
              <w:t>0.295 (29.5%)</w:t>
            </w:r>
          </w:p>
        </w:tc>
        <w:tc>
          <w:tcPr>
            <w:tcW w:type="dxa" w:w="2520"/>
            <w:shd w:val="clear" w:color="auto" w:fill="FFFFFF"/>
          </w:tcPr>
          <w:p>
            <w:pPr>
              <w:jc w:val="center"/>
            </w:pPr>
            <w:r>
              <w:rPr>
                <w:rFonts w:ascii="Calibri" w:hAnsi="Calibri"/>
                <w:sz w:val="18"/>
              </w:rPr>
              <w:t>+0.078 (+7.8pp)</w:t>
            </w:r>
          </w:p>
        </w:tc>
      </w:tr>
      <w:tr>
        <w:tc>
          <w:tcPr>
            <w:tcW w:type="dxa" w:w="2520"/>
            <w:shd w:val="clear" w:color="auto" w:fill="F2F2F2"/>
          </w:tcPr>
          <w:p>
            <w:pPr>
              <w:jc w:val="left"/>
            </w:pPr>
            <w:r>
              <w:rPr>
                <w:rFonts w:ascii="Calibri" w:hAnsi="Calibri"/>
                <w:sz w:val="18"/>
              </w:rPr>
              <w:t>Construccion</w:t>
            </w:r>
          </w:p>
        </w:tc>
        <w:tc>
          <w:tcPr>
            <w:tcW w:type="dxa" w:w="2520"/>
            <w:shd w:val="clear" w:color="auto" w:fill="F2F2F2"/>
          </w:tcPr>
          <w:p>
            <w:pPr>
              <w:jc w:val="center"/>
            </w:pPr>
            <w:r>
              <w:rPr>
                <w:rFonts w:ascii="Calibri" w:hAnsi="Calibri"/>
                <w:sz w:val="18"/>
              </w:rPr>
              <w:t>0.258 (25.8%)</w:t>
            </w:r>
          </w:p>
        </w:tc>
        <w:tc>
          <w:tcPr>
            <w:tcW w:type="dxa" w:w="2520"/>
            <w:shd w:val="clear" w:color="auto" w:fill="F2F2F2"/>
          </w:tcPr>
          <w:p>
            <w:pPr>
              <w:jc w:val="center"/>
            </w:pPr>
            <w:r>
              <w:rPr>
                <w:rFonts w:ascii="Calibri" w:hAnsi="Calibri"/>
                <w:sz w:val="18"/>
              </w:rPr>
              <w:t>0.196 (19.6%)</w:t>
            </w:r>
          </w:p>
        </w:tc>
        <w:tc>
          <w:tcPr>
            <w:tcW w:type="dxa" w:w="2520"/>
            <w:shd w:val="clear" w:color="auto" w:fill="F2F2F2"/>
          </w:tcPr>
          <w:p>
            <w:pPr>
              <w:jc w:val="center"/>
            </w:pPr>
            <w:r>
              <w:rPr>
                <w:rFonts w:ascii="Calibri" w:hAnsi="Calibri"/>
                <w:sz w:val="18"/>
              </w:rPr>
              <w:t>+0.061 (+6.1pp)</w:t>
            </w:r>
          </w:p>
        </w:tc>
      </w:tr>
      <w:tr>
        <w:tc>
          <w:tcPr>
            <w:tcW w:type="dxa" w:w="2520"/>
            <w:shd w:val="clear" w:color="auto" w:fill="FFFFFF"/>
          </w:tcPr>
          <w:p>
            <w:pPr>
              <w:jc w:val="left"/>
            </w:pPr>
            <w:r>
              <w:rPr>
                <w:rFonts w:ascii="Calibri" w:hAnsi="Calibri"/>
                <w:sz w:val="18"/>
              </w:rPr>
              <w:t>Energia/Agua</w:t>
            </w:r>
          </w:p>
        </w:tc>
        <w:tc>
          <w:tcPr>
            <w:tcW w:type="dxa" w:w="2520"/>
            <w:shd w:val="clear" w:color="auto" w:fill="FFFFFF"/>
          </w:tcPr>
          <w:p>
            <w:pPr>
              <w:jc w:val="center"/>
            </w:pPr>
            <w:r>
              <w:rPr>
                <w:rFonts w:ascii="Calibri" w:hAnsi="Calibri"/>
                <w:sz w:val="18"/>
              </w:rPr>
              <w:t>0.438 (43.8%)</w:t>
            </w:r>
          </w:p>
        </w:tc>
        <w:tc>
          <w:tcPr>
            <w:tcW w:type="dxa" w:w="2520"/>
            <w:shd w:val="clear" w:color="auto" w:fill="FFFFFF"/>
          </w:tcPr>
          <w:p>
            <w:pPr>
              <w:jc w:val="center"/>
            </w:pPr>
            <w:r>
              <w:rPr>
                <w:rFonts w:ascii="Calibri" w:hAnsi="Calibri"/>
                <w:sz w:val="18"/>
              </w:rPr>
              <w:t>0.354 (35.4%)</w:t>
            </w:r>
          </w:p>
        </w:tc>
        <w:tc>
          <w:tcPr>
            <w:tcW w:type="dxa" w:w="2520"/>
            <w:shd w:val="clear" w:color="auto" w:fill="FFFFFF"/>
          </w:tcPr>
          <w:p>
            <w:pPr>
              <w:jc w:val="center"/>
            </w:pPr>
            <w:r>
              <w:rPr>
                <w:rFonts w:ascii="Calibri" w:hAnsi="Calibri"/>
                <w:sz w:val="18"/>
              </w:rPr>
              <w:t>+0.084 (+8.4pp)</w:t>
            </w:r>
          </w:p>
        </w:tc>
      </w:tr>
      <w:tr>
        <w:tc>
          <w:tcPr>
            <w:tcW w:type="dxa" w:w="2520"/>
            <w:shd w:val="clear" w:color="auto" w:fill="F2F2F2"/>
          </w:tcPr>
          <w:p>
            <w:pPr>
              <w:jc w:val="left"/>
            </w:pPr>
            <w:r>
              <w:rPr>
                <w:rFonts w:ascii="Calibri" w:hAnsi="Calibri"/>
                <w:sz w:val="18"/>
              </w:rPr>
              <w:t>Financiero/Prof.</w:t>
            </w:r>
          </w:p>
        </w:tc>
        <w:tc>
          <w:tcPr>
            <w:tcW w:type="dxa" w:w="2520"/>
            <w:shd w:val="clear" w:color="auto" w:fill="F2F2F2"/>
          </w:tcPr>
          <w:p>
            <w:pPr>
              <w:jc w:val="center"/>
            </w:pPr>
            <w:r>
              <w:rPr>
                <w:rFonts w:ascii="Calibri" w:hAnsi="Calibri"/>
                <w:sz w:val="18"/>
              </w:rPr>
              <w:t>0.418 (41.8%)</w:t>
            </w:r>
          </w:p>
        </w:tc>
        <w:tc>
          <w:tcPr>
            <w:tcW w:type="dxa" w:w="2520"/>
            <w:shd w:val="clear" w:color="auto" w:fill="F2F2F2"/>
          </w:tcPr>
          <w:p>
            <w:pPr>
              <w:jc w:val="center"/>
            </w:pPr>
            <w:r>
              <w:rPr>
                <w:rFonts w:ascii="Calibri" w:hAnsi="Calibri"/>
                <w:sz w:val="18"/>
              </w:rPr>
              <w:t>0.336 (33.6%)</w:t>
            </w:r>
          </w:p>
        </w:tc>
        <w:tc>
          <w:tcPr>
            <w:tcW w:type="dxa" w:w="2520"/>
            <w:shd w:val="clear" w:color="auto" w:fill="F2F2F2"/>
          </w:tcPr>
          <w:p>
            <w:pPr>
              <w:jc w:val="center"/>
            </w:pPr>
            <w:r>
              <w:rPr>
                <w:rFonts w:ascii="Calibri" w:hAnsi="Calibri"/>
                <w:sz w:val="18"/>
              </w:rPr>
              <w:t>+0.082 (+8.2pp)</w:t>
            </w:r>
          </w:p>
        </w:tc>
      </w:tr>
      <w:tr>
        <w:tc>
          <w:tcPr>
            <w:tcW w:type="dxa" w:w="2520"/>
            <w:shd w:val="clear" w:color="auto" w:fill="FFFFFF"/>
          </w:tcPr>
          <w:p>
            <w:pPr>
              <w:jc w:val="left"/>
            </w:pPr>
            <w:r>
              <w:rPr>
                <w:rFonts w:ascii="Calibri" w:hAnsi="Calibri"/>
                <w:sz w:val="18"/>
              </w:rPr>
              <w:t>Manufactura</w:t>
            </w:r>
          </w:p>
        </w:tc>
        <w:tc>
          <w:tcPr>
            <w:tcW w:type="dxa" w:w="2520"/>
            <w:shd w:val="clear" w:color="auto" w:fill="FFFFFF"/>
          </w:tcPr>
          <w:p>
            <w:pPr>
              <w:jc w:val="center"/>
            </w:pPr>
            <w:r>
              <w:rPr>
                <w:rFonts w:ascii="Calibri" w:hAnsi="Calibri"/>
                <w:sz w:val="18"/>
              </w:rPr>
              <w:t>0.907 (90.7%)</w:t>
            </w:r>
          </w:p>
        </w:tc>
        <w:tc>
          <w:tcPr>
            <w:tcW w:type="dxa" w:w="2520"/>
            <w:shd w:val="clear" w:color="auto" w:fill="FFFFFF"/>
          </w:tcPr>
          <w:p>
            <w:pPr>
              <w:jc w:val="center"/>
            </w:pPr>
            <w:r>
              <w:rPr>
                <w:rFonts w:ascii="Calibri" w:hAnsi="Calibri"/>
                <w:sz w:val="18"/>
              </w:rPr>
              <w:t>0.873 (87.3%)</w:t>
            </w:r>
          </w:p>
        </w:tc>
        <w:tc>
          <w:tcPr>
            <w:tcW w:type="dxa" w:w="2520"/>
            <w:shd w:val="clear" w:color="auto" w:fill="FFFFFF"/>
          </w:tcPr>
          <w:p>
            <w:pPr>
              <w:jc w:val="center"/>
            </w:pPr>
            <w:r>
              <w:rPr>
                <w:rFonts w:ascii="Calibri" w:hAnsi="Calibri"/>
                <w:sz w:val="18"/>
              </w:rPr>
              <w:t>+0.034 (+3.4pp)</w:t>
            </w:r>
          </w:p>
        </w:tc>
      </w:tr>
      <w:tr>
        <w:tc>
          <w:tcPr>
            <w:tcW w:type="dxa" w:w="2520"/>
            <w:shd w:val="clear" w:color="auto" w:fill="F2F2F2"/>
          </w:tcPr>
          <w:p>
            <w:pPr>
              <w:jc w:val="left"/>
            </w:pPr>
            <w:r>
              <w:rPr>
                <w:rFonts w:ascii="Calibri" w:hAnsi="Calibri"/>
                <w:sz w:val="18"/>
              </w:rPr>
              <w:t>Primario</w:t>
            </w:r>
          </w:p>
        </w:tc>
        <w:tc>
          <w:tcPr>
            <w:tcW w:type="dxa" w:w="2520"/>
            <w:shd w:val="clear" w:color="auto" w:fill="F2F2F2"/>
          </w:tcPr>
          <w:p>
            <w:pPr>
              <w:jc w:val="center"/>
            </w:pPr>
            <w:r>
              <w:rPr>
                <w:rFonts w:ascii="Calibri" w:hAnsi="Calibri"/>
                <w:sz w:val="18"/>
              </w:rPr>
              <w:t>0.515 (51.5%)</w:t>
            </w:r>
          </w:p>
        </w:tc>
        <w:tc>
          <w:tcPr>
            <w:tcW w:type="dxa" w:w="2520"/>
            <w:shd w:val="clear" w:color="auto" w:fill="F2F2F2"/>
          </w:tcPr>
          <w:p>
            <w:pPr>
              <w:jc w:val="center"/>
            </w:pPr>
            <w:r>
              <w:rPr>
                <w:rFonts w:ascii="Calibri" w:hAnsi="Calibri"/>
                <w:sz w:val="18"/>
              </w:rPr>
              <w:t>0.427 (42.7%)</w:t>
            </w:r>
          </w:p>
        </w:tc>
        <w:tc>
          <w:tcPr>
            <w:tcW w:type="dxa" w:w="2520"/>
            <w:shd w:val="clear" w:color="auto" w:fill="F2F2F2"/>
          </w:tcPr>
          <w:p>
            <w:pPr>
              <w:jc w:val="center"/>
            </w:pPr>
            <w:r>
              <w:rPr>
                <w:rFonts w:ascii="Calibri" w:hAnsi="Calibri"/>
                <w:sz w:val="18"/>
              </w:rPr>
              <w:t>+0.087 (+8.7pp)</w:t>
            </w:r>
          </w:p>
        </w:tc>
      </w:tr>
      <w:tr>
        <w:tc>
          <w:tcPr>
            <w:tcW w:type="dxa" w:w="2520"/>
            <w:shd w:val="clear" w:color="auto" w:fill="FFFFFF"/>
          </w:tcPr>
          <w:p>
            <w:pPr>
              <w:jc w:val="left"/>
            </w:pPr>
            <w:r>
              <w:rPr>
                <w:rFonts w:ascii="Calibri" w:hAnsi="Calibri"/>
                <w:sz w:val="18"/>
              </w:rPr>
              <w:t>Social/Personal</w:t>
            </w:r>
          </w:p>
        </w:tc>
        <w:tc>
          <w:tcPr>
            <w:tcW w:type="dxa" w:w="2520"/>
            <w:shd w:val="clear" w:color="auto" w:fill="FFFFFF"/>
          </w:tcPr>
          <w:p>
            <w:pPr>
              <w:jc w:val="center"/>
            </w:pPr>
            <w:r>
              <w:rPr>
                <w:rFonts w:ascii="Calibri" w:hAnsi="Calibri"/>
                <w:sz w:val="18"/>
              </w:rPr>
              <w:t>0.613 (61.3%)</w:t>
            </w:r>
          </w:p>
        </w:tc>
        <w:tc>
          <w:tcPr>
            <w:tcW w:type="dxa" w:w="2520"/>
            <w:shd w:val="clear" w:color="auto" w:fill="FFFFFF"/>
          </w:tcPr>
          <w:p>
            <w:pPr>
              <w:jc w:val="center"/>
            </w:pPr>
            <w:r>
              <w:rPr>
                <w:rFonts w:ascii="Calibri" w:hAnsi="Calibri"/>
                <w:sz w:val="18"/>
              </w:rPr>
              <w:t>0.527 (52.7%)</w:t>
            </w:r>
          </w:p>
        </w:tc>
        <w:tc>
          <w:tcPr>
            <w:tcW w:type="dxa" w:w="2520"/>
            <w:shd w:val="clear" w:color="auto" w:fill="FFFFFF"/>
          </w:tcPr>
          <w:p>
            <w:pPr>
              <w:jc w:val="center"/>
            </w:pPr>
            <w:r>
              <w:rPr>
                <w:rFonts w:ascii="Calibri" w:hAnsi="Calibri"/>
                <w:sz w:val="18"/>
              </w:rPr>
              <w:t>+0.086 (+8.6pp)</w:t>
            </w:r>
          </w:p>
        </w:tc>
      </w:tr>
      <w:tr>
        <w:tc>
          <w:tcPr>
            <w:tcW w:type="dxa" w:w="2520"/>
            <w:shd w:val="clear" w:color="auto" w:fill="F2F2F2"/>
          </w:tcPr>
          <w:p>
            <w:pPr>
              <w:jc w:val="left"/>
            </w:pPr>
            <w:r>
              <w:rPr>
                <w:rFonts w:ascii="Calibri" w:hAnsi="Calibri"/>
                <w:sz w:val="18"/>
              </w:rPr>
              <w:t>Transporte/Comunic.</w:t>
            </w:r>
          </w:p>
        </w:tc>
        <w:tc>
          <w:tcPr>
            <w:tcW w:type="dxa" w:w="2520"/>
            <w:shd w:val="clear" w:color="auto" w:fill="F2F2F2"/>
          </w:tcPr>
          <w:p>
            <w:pPr>
              <w:jc w:val="center"/>
            </w:pPr>
            <w:r>
              <w:rPr>
                <w:rFonts w:ascii="Calibri" w:hAnsi="Calibri"/>
                <w:sz w:val="18"/>
              </w:rPr>
              <w:t>0.395 (39.5%)</w:t>
            </w:r>
          </w:p>
        </w:tc>
        <w:tc>
          <w:tcPr>
            <w:tcW w:type="dxa" w:w="2520"/>
            <w:shd w:val="clear" w:color="auto" w:fill="F2F2F2"/>
          </w:tcPr>
          <w:p>
            <w:pPr>
              <w:jc w:val="center"/>
            </w:pPr>
            <w:r>
              <w:rPr>
                <w:rFonts w:ascii="Calibri" w:hAnsi="Calibri"/>
                <w:sz w:val="18"/>
              </w:rPr>
              <w:t>0.315 (31.5%)</w:t>
            </w:r>
          </w:p>
        </w:tc>
        <w:tc>
          <w:tcPr>
            <w:tcW w:type="dxa" w:w="2520"/>
            <w:shd w:val="clear" w:color="auto" w:fill="F2F2F2"/>
          </w:tcPr>
          <w:p>
            <w:pPr>
              <w:jc w:val="center"/>
            </w:pPr>
            <w:r>
              <w:rPr>
                <w:rFonts w:ascii="Calibri" w:hAnsi="Calibri"/>
                <w:sz w:val="18"/>
              </w:rPr>
              <w:t>+0.080 (+8.0pp)</w:t>
            </w:r>
          </w:p>
        </w:tc>
      </w:tr>
    </w:tbl>
    <w:p>
      <w:pPr>
        <w:spacing w:before="40" w:after="120"/>
        <w:jc w:val="left"/>
      </w:pPr>
      <w:r>
        <w:rPr>
          <w:rFonts w:ascii="Calibri" w:hAnsi="Calibri"/>
          <w:b w:val="0"/>
          <w:i/>
          <w:color w:val="404040"/>
          <w:sz w:val="18"/>
        </w:rPr>
        <w:t>Tabla 7. Probabilidad predicha de salario alto (W3+) por sector y sexo. Ref. entidad: CDMX. Brecha en puntos porcentuales (pp).</w:t>
      </w:r>
    </w:p>
    <w:p>
      <w:pPr>
        <w:spacing w:before="120" w:after="60"/>
        <w:jc w:val="left"/>
      </w:pPr>
      <w:r>
        <w:rPr>
          <w:rFonts w:ascii="Calibri" w:hAnsi="Calibri"/>
          <w:b/>
          <w:i w:val="0"/>
          <w:color w:val="1F497D"/>
          <w:sz w:val="22"/>
        </w:rPr>
        <w:t>4.4  Brecha salarial descriptiva por sector y entidad</w:t>
      </w:r>
    </w:p>
    <w:p>
      <w:pPr>
        <w:spacing w:before="80" w:after="40"/>
        <w:jc w:val="center"/>
      </w:pPr>
      <w:r>
        <w:drawing>
          <wp:inline xmlns:a="http://schemas.openxmlformats.org/drawingml/2006/main" xmlns:pic="http://schemas.openxmlformats.org/drawingml/2006/picture">
            <wp:extent cx="5303520" cy="2953859"/>
            <wp:docPr id="6" name="Picture 6"/>
            <wp:cNvGraphicFramePr>
              <a:graphicFrameLocks noChangeAspect="1"/>
            </wp:cNvGraphicFramePr>
            <a:graphic>
              <a:graphicData uri="http://schemas.openxmlformats.org/drawingml/2006/picture">
                <pic:pic>
                  <pic:nvPicPr>
                    <pic:cNvPr id="0" name="fig3_brecha_sector.png"/>
                    <pic:cNvPicPr/>
                  </pic:nvPicPr>
                  <pic:blipFill>
                    <a:blip r:embed="rId13"/>
                    <a:stretch>
                      <a:fillRect/>
                    </a:stretch>
                  </pic:blipFill>
                  <pic:spPr>
                    <a:xfrm>
                      <a:off x="0" y="0"/>
                      <a:ext cx="5303520" cy="2953859"/>
                    </a:xfrm>
                    <a:prstGeom prst="rect"/>
                  </pic:spPr>
                </pic:pic>
              </a:graphicData>
            </a:graphic>
          </wp:inline>
        </w:drawing>
      </w:r>
    </w:p>
    <w:p>
      <w:pPr>
        <w:spacing w:before="40" w:after="120"/>
        <w:jc w:val="left"/>
      </w:pPr>
      <w:r>
        <w:rPr>
          <w:rFonts w:ascii="Calibri" w:hAnsi="Calibri"/>
          <w:b w:val="0"/>
          <w:i/>
          <w:color w:val="404040"/>
          <w:sz w:val="18"/>
        </w:rPr>
        <w:t>Figura 3. Brecha en rango W promedio ponderado por sector. Azul: hombres ganan mas. Ambar: mujeres ganan mas en ese sector.</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val="clear" w:color="auto" w:fill="1F497D"/>
          </w:tcPr>
          <w:p>
            <w:pPr>
              <w:jc w:val="center"/>
            </w:pPr>
            <w:r>
              <w:rPr>
                <w:rFonts w:ascii="Calibri" w:hAnsi="Calibri"/>
                <w:b/>
                <w:color w:val="FFFFFF"/>
                <w:sz w:val="18"/>
              </w:rPr>
              <w:t>Sector</w:t>
            </w:r>
          </w:p>
        </w:tc>
        <w:tc>
          <w:tcPr>
            <w:tcW w:type="dxa" w:w="2520"/>
            <w:shd w:val="clear" w:color="auto" w:fill="1F497D"/>
          </w:tcPr>
          <w:p>
            <w:pPr>
              <w:jc w:val="center"/>
            </w:pPr>
            <w:r>
              <w:rPr>
                <w:rFonts w:ascii="Calibri" w:hAnsi="Calibri"/>
                <w:b/>
                <w:color w:val="FFFFFF"/>
                <w:sz w:val="18"/>
              </w:rPr>
              <w:t>Hombre (W prom.)</w:t>
            </w:r>
          </w:p>
        </w:tc>
        <w:tc>
          <w:tcPr>
            <w:tcW w:type="dxa" w:w="2520"/>
            <w:shd w:val="clear" w:color="auto" w:fill="1F497D"/>
          </w:tcPr>
          <w:p>
            <w:pPr>
              <w:jc w:val="center"/>
            </w:pPr>
            <w:r>
              <w:rPr>
                <w:rFonts w:ascii="Calibri" w:hAnsi="Calibri"/>
                <w:b/>
                <w:color w:val="FFFFFF"/>
                <w:sz w:val="18"/>
              </w:rPr>
              <w:t>Mujer (W prom.)</w:t>
            </w:r>
          </w:p>
        </w:tc>
        <w:tc>
          <w:tcPr>
            <w:tcW w:type="dxa" w:w="2520"/>
            <w:shd w:val="clear" w:color="auto" w:fill="1F497D"/>
          </w:tcPr>
          <w:p>
            <w:pPr>
              <w:jc w:val="center"/>
            </w:pPr>
            <w:r>
              <w:rPr>
                <w:rFonts w:ascii="Calibri" w:hAnsi="Calibri"/>
                <w:b/>
                <w:color w:val="FFFFFF"/>
                <w:sz w:val="18"/>
              </w:rPr>
              <w:t>Brecha H-M</w:t>
            </w:r>
          </w:p>
        </w:tc>
      </w:tr>
      <w:tr>
        <w:tc>
          <w:tcPr>
            <w:tcW w:type="dxa" w:w="2520"/>
            <w:shd w:val="clear" w:color="auto" w:fill="FFFFFF"/>
          </w:tcPr>
          <w:p>
            <w:pPr>
              <w:jc w:val="left"/>
            </w:pPr>
            <w:r>
              <w:rPr>
                <w:rFonts w:ascii="Calibri" w:hAnsi="Calibri"/>
                <w:sz w:val="18"/>
              </w:rPr>
              <w:t>Primario</w:t>
            </w:r>
          </w:p>
        </w:tc>
        <w:tc>
          <w:tcPr>
            <w:tcW w:type="dxa" w:w="2520"/>
            <w:shd w:val="clear" w:color="auto" w:fill="FFFFFF"/>
          </w:tcPr>
          <w:p>
            <w:pPr>
              <w:jc w:val="center"/>
            </w:pPr>
            <w:r>
              <w:rPr>
                <w:rFonts w:ascii="Calibri" w:hAnsi="Calibri"/>
                <w:sz w:val="18"/>
              </w:rPr>
              <w:t>W3.38</w:t>
            </w:r>
          </w:p>
        </w:tc>
        <w:tc>
          <w:tcPr>
            <w:tcW w:type="dxa" w:w="2520"/>
            <w:shd w:val="clear" w:color="auto" w:fill="FFFFFF"/>
          </w:tcPr>
          <w:p>
            <w:pPr>
              <w:jc w:val="center"/>
            </w:pPr>
            <w:r>
              <w:rPr>
                <w:rFonts w:ascii="Calibri" w:hAnsi="Calibri"/>
                <w:sz w:val="18"/>
              </w:rPr>
              <w:t>W4.17</w:t>
            </w:r>
          </w:p>
        </w:tc>
        <w:tc>
          <w:tcPr>
            <w:tcW w:type="dxa" w:w="2520"/>
            <w:shd w:val="clear" w:color="auto" w:fill="FFFFFF"/>
          </w:tcPr>
          <w:p>
            <w:pPr>
              <w:jc w:val="center"/>
            </w:pPr>
            <w:r>
              <w:rPr>
                <w:rFonts w:ascii="Calibri" w:hAnsi="Calibri"/>
                <w:sz w:val="18"/>
              </w:rPr>
              <w:t>-0.786</w:t>
            </w:r>
          </w:p>
        </w:tc>
      </w:tr>
      <w:tr>
        <w:tc>
          <w:tcPr>
            <w:tcW w:type="dxa" w:w="2520"/>
            <w:shd w:val="clear" w:color="auto" w:fill="F2F2F2"/>
          </w:tcPr>
          <w:p>
            <w:pPr>
              <w:jc w:val="left"/>
            </w:pPr>
            <w:r>
              <w:rPr>
                <w:rFonts w:ascii="Calibri" w:hAnsi="Calibri"/>
                <w:sz w:val="18"/>
              </w:rPr>
              <w:t>Energia/Agua</w:t>
            </w:r>
          </w:p>
        </w:tc>
        <w:tc>
          <w:tcPr>
            <w:tcW w:type="dxa" w:w="2520"/>
            <w:shd w:val="clear" w:color="auto" w:fill="F2F2F2"/>
          </w:tcPr>
          <w:p>
            <w:pPr>
              <w:jc w:val="center"/>
            </w:pPr>
            <w:r>
              <w:rPr>
                <w:rFonts w:ascii="Calibri" w:hAnsi="Calibri"/>
                <w:sz w:val="18"/>
              </w:rPr>
              <w:t>W3.11</w:t>
            </w:r>
          </w:p>
        </w:tc>
        <w:tc>
          <w:tcPr>
            <w:tcW w:type="dxa" w:w="2520"/>
            <w:shd w:val="clear" w:color="auto" w:fill="F2F2F2"/>
          </w:tcPr>
          <w:p>
            <w:pPr>
              <w:jc w:val="center"/>
            </w:pPr>
            <w:r>
              <w:rPr>
                <w:rFonts w:ascii="Calibri" w:hAnsi="Calibri"/>
                <w:sz w:val="18"/>
              </w:rPr>
              <w:t>W2.63</w:t>
            </w:r>
          </w:p>
        </w:tc>
        <w:tc>
          <w:tcPr>
            <w:tcW w:type="dxa" w:w="2520"/>
            <w:shd w:val="clear" w:color="auto" w:fill="F2F2F2"/>
          </w:tcPr>
          <w:p>
            <w:pPr>
              <w:jc w:val="center"/>
            </w:pPr>
            <w:r>
              <w:rPr>
                <w:rFonts w:ascii="Calibri" w:hAnsi="Calibri"/>
                <w:sz w:val="18"/>
              </w:rPr>
              <w:t>+0.477</w:t>
            </w:r>
          </w:p>
        </w:tc>
      </w:tr>
      <w:tr>
        <w:tc>
          <w:tcPr>
            <w:tcW w:type="dxa" w:w="2520"/>
            <w:shd w:val="clear" w:color="auto" w:fill="FFFFFF"/>
          </w:tcPr>
          <w:p>
            <w:pPr>
              <w:jc w:val="left"/>
            </w:pPr>
            <w:r>
              <w:rPr>
                <w:rFonts w:ascii="Calibri" w:hAnsi="Calibri"/>
                <w:sz w:val="18"/>
              </w:rPr>
              <w:t>Construccion</w:t>
            </w:r>
          </w:p>
        </w:tc>
        <w:tc>
          <w:tcPr>
            <w:tcW w:type="dxa" w:w="2520"/>
            <w:shd w:val="clear" w:color="auto" w:fill="FFFFFF"/>
          </w:tcPr>
          <w:p>
            <w:pPr>
              <w:jc w:val="center"/>
            </w:pPr>
            <w:r>
              <w:rPr>
                <w:rFonts w:ascii="Calibri" w:hAnsi="Calibri"/>
                <w:sz w:val="18"/>
              </w:rPr>
              <w:t>W2.48</w:t>
            </w:r>
          </w:p>
        </w:tc>
        <w:tc>
          <w:tcPr>
            <w:tcW w:type="dxa" w:w="2520"/>
            <w:shd w:val="clear" w:color="auto" w:fill="FFFFFF"/>
          </w:tcPr>
          <w:p>
            <w:pPr>
              <w:jc w:val="center"/>
            </w:pPr>
            <w:r>
              <w:rPr>
                <w:rFonts w:ascii="Calibri" w:hAnsi="Calibri"/>
                <w:sz w:val="18"/>
              </w:rPr>
              <w:t>W2.48</w:t>
            </w:r>
          </w:p>
        </w:tc>
        <w:tc>
          <w:tcPr>
            <w:tcW w:type="dxa" w:w="2520"/>
            <w:shd w:val="clear" w:color="auto" w:fill="FFFFFF"/>
          </w:tcPr>
          <w:p>
            <w:pPr>
              <w:jc w:val="center"/>
            </w:pPr>
            <w:r>
              <w:rPr>
                <w:rFonts w:ascii="Calibri" w:hAnsi="Calibri"/>
                <w:sz w:val="18"/>
              </w:rPr>
              <w:t>-0.003</w:t>
            </w:r>
          </w:p>
        </w:tc>
      </w:tr>
      <w:tr>
        <w:tc>
          <w:tcPr>
            <w:tcW w:type="dxa" w:w="2520"/>
            <w:shd w:val="clear" w:color="auto" w:fill="F2F2F2"/>
          </w:tcPr>
          <w:p>
            <w:pPr>
              <w:jc w:val="left"/>
            </w:pPr>
            <w:r>
              <w:rPr>
                <w:rFonts w:ascii="Calibri" w:hAnsi="Calibri"/>
                <w:sz w:val="18"/>
              </w:rPr>
              <w:t>Manufactura</w:t>
            </w:r>
          </w:p>
        </w:tc>
        <w:tc>
          <w:tcPr>
            <w:tcW w:type="dxa" w:w="2520"/>
            <w:shd w:val="clear" w:color="auto" w:fill="F2F2F2"/>
          </w:tcPr>
          <w:p>
            <w:pPr>
              <w:jc w:val="center"/>
            </w:pPr>
            <w:r>
              <w:rPr>
                <w:rFonts w:ascii="Calibri" w:hAnsi="Calibri"/>
                <w:sz w:val="18"/>
              </w:rPr>
              <w:t>W4.98</w:t>
            </w:r>
          </w:p>
        </w:tc>
        <w:tc>
          <w:tcPr>
            <w:tcW w:type="dxa" w:w="2520"/>
            <w:shd w:val="clear" w:color="auto" w:fill="F2F2F2"/>
          </w:tcPr>
          <w:p>
            <w:pPr>
              <w:jc w:val="center"/>
            </w:pPr>
            <w:r>
              <w:rPr>
                <w:rFonts w:ascii="Calibri" w:hAnsi="Calibri"/>
                <w:sz w:val="18"/>
              </w:rPr>
              <w:t>W4.67</w:t>
            </w:r>
          </w:p>
        </w:tc>
        <w:tc>
          <w:tcPr>
            <w:tcW w:type="dxa" w:w="2520"/>
            <w:shd w:val="clear" w:color="auto" w:fill="F2F2F2"/>
          </w:tcPr>
          <w:p>
            <w:pPr>
              <w:jc w:val="center"/>
            </w:pPr>
            <w:r>
              <w:rPr>
                <w:rFonts w:ascii="Calibri" w:hAnsi="Calibri"/>
                <w:sz w:val="18"/>
              </w:rPr>
              <w:t>+0.306</w:t>
            </w:r>
          </w:p>
        </w:tc>
      </w:tr>
      <w:tr>
        <w:tc>
          <w:tcPr>
            <w:tcW w:type="dxa" w:w="2520"/>
            <w:shd w:val="clear" w:color="auto" w:fill="FFFFFF"/>
          </w:tcPr>
          <w:p>
            <w:pPr>
              <w:jc w:val="left"/>
            </w:pPr>
            <w:r>
              <w:rPr>
                <w:rFonts w:ascii="Calibri" w:hAnsi="Calibri"/>
                <w:sz w:val="18"/>
              </w:rPr>
              <w:t>Comercio</w:t>
            </w:r>
          </w:p>
        </w:tc>
        <w:tc>
          <w:tcPr>
            <w:tcW w:type="dxa" w:w="2520"/>
            <w:shd w:val="clear" w:color="auto" w:fill="FFFFFF"/>
          </w:tcPr>
          <w:p>
            <w:pPr>
              <w:jc w:val="center"/>
            </w:pPr>
            <w:r>
              <w:rPr>
                <w:rFonts w:ascii="Calibri" w:hAnsi="Calibri"/>
                <w:sz w:val="18"/>
              </w:rPr>
              <w:t>W3.01</w:t>
            </w:r>
          </w:p>
        </w:tc>
        <w:tc>
          <w:tcPr>
            <w:tcW w:type="dxa" w:w="2520"/>
            <w:shd w:val="clear" w:color="auto" w:fill="FFFFFF"/>
          </w:tcPr>
          <w:p>
            <w:pPr>
              <w:jc w:val="center"/>
            </w:pPr>
            <w:r>
              <w:rPr>
                <w:rFonts w:ascii="Calibri" w:hAnsi="Calibri"/>
                <w:sz w:val="18"/>
              </w:rPr>
              <w:t>W2.78</w:t>
            </w:r>
          </w:p>
        </w:tc>
        <w:tc>
          <w:tcPr>
            <w:tcW w:type="dxa" w:w="2520"/>
            <w:shd w:val="clear" w:color="auto" w:fill="FFFFFF"/>
          </w:tcPr>
          <w:p>
            <w:pPr>
              <w:jc w:val="center"/>
            </w:pPr>
            <w:r>
              <w:rPr>
                <w:rFonts w:ascii="Calibri" w:hAnsi="Calibri"/>
                <w:sz w:val="18"/>
              </w:rPr>
              <w:t>+0.231</w:t>
            </w:r>
          </w:p>
        </w:tc>
      </w:tr>
      <w:tr>
        <w:tc>
          <w:tcPr>
            <w:tcW w:type="dxa" w:w="2520"/>
            <w:shd w:val="clear" w:color="auto" w:fill="F2F2F2"/>
          </w:tcPr>
          <w:p>
            <w:pPr>
              <w:jc w:val="left"/>
            </w:pPr>
            <w:r>
              <w:rPr>
                <w:rFonts w:ascii="Calibri" w:hAnsi="Calibri"/>
                <w:sz w:val="18"/>
              </w:rPr>
              <w:t>Transporte/Comunic.</w:t>
            </w:r>
          </w:p>
        </w:tc>
        <w:tc>
          <w:tcPr>
            <w:tcW w:type="dxa" w:w="2520"/>
            <w:shd w:val="clear" w:color="auto" w:fill="F2F2F2"/>
          </w:tcPr>
          <w:p>
            <w:pPr>
              <w:jc w:val="center"/>
            </w:pPr>
            <w:r>
              <w:rPr>
                <w:rFonts w:ascii="Calibri" w:hAnsi="Calibri"/>
                <w:sz w:val="18"/>
              </w:rPr>
              <w:t>W2.91</w:t>
            </w:r>
          </w:p>
        </w:tc>
        <w:tc>
          <w:tcPr>
            <w:tcW w:type="dxa" w:w="2520"/>
            <w:shd w:val="clear" w:color="auto" w:fill="F2F2F2"/>
          </w:tcPr>
          <w:p>
            <w:pPr>
              <w:jc w:val="center"/>
            </w:pPr>
            <w:r>
              <w:rPr>
                <w:rFonts w:ascii="Calibri" w:hAnsi="Calibri"/>
                <w:sz w:val="18"/>
              </w:rPr>
              <w:t>W3.04</w:t>
            </w:r>
          </w:p>
        </w:tc>
        <w:tc>
          <w:tcPr>
            <w:tcW w:type="dxa" w:w="2520"/>
            <w:shd w:val="clear" w:color="auto" w:fill="F2F2F2"/>
          </w:tcPr>
          <w:p>
            <w:pPr>
              <w:jc w:val="center"/>
            </w:pPr>
            <w:r>
              <w:rPr>
                <w:rFonts w:ascii="Calibri" w:hAnsi="Calibri"/>
                <w:sz w:val="18"/>
              </w:rPr>
              <w:t>-0.127</w:t>
            </w:r>
          </w:p>
        </w:tc>
      </w:tr>
      <w:tr>
        <w:tc>
          <w:tcPr>
            <w:tcW w:type="dxa" w:w="2520"/>
            <w:shd w:val="clear" w:color="auto" w:fill="FFFFFF"/>
          </w:tcPr>
          <w:p>
            <w:pPr>
              <w:jc w:val="left"/>
            </w:pPr>
            <w:r>
              <w:rPr>
                <w:rFonts w:ascii="Calibri" w:hAnsi="Calibri"/>
                <w:sz w:val="18"/>
              </w:rPr>
              <w:t>Financiero/Prof.</w:t>
            </w:r>
          </w:p>
        </w:tc>
        <w:tc>
          <w:tcPr>
            <w:tcW w:type="dxa" w:w="2520"/>
            <w:shd w:val="clear" w:color="auto" w:fill="FFFFFF"/>
          </w:tcPr>
          <w:p>
            <w:pPr>
              <w:jc w:val="center"/>
            </w:pPr>
            <w:r>
              <w:rPr>
                <w:rFonts w:ascii="Calibri" w:hAnsi="Calibri"/>
                <w:sz w:val="18"/>
              </w:rPr>
              <w:t>W3.51</w:t>
            </w:r>
          </w:p>
        </w:tc>
        <w:tc>
          <w:tcPr>
            <w:tcW w:type="dxa" w:w="2520"/>
            <w:shd w:val="clear" w:color="auto" w:fill="FFFFFF"/>
          </w:tcPr>
          <w:p>
            <w:pPr>
              <w:jc w:val="center"/>
            </w:pPr>
            <w:r>
              <w:rPr>
                <w:rFonts w:ascii="Calibri" w:hAnsi="Calibri"/>
                <w:sz w:val="18"/>
              </w:rPr>
              <w:t>W3.15</w:t>
            </w:r>
          </w:p>
        </w:tc>
        <w:tc>
          <w:tcPr>
            <w:tcW w:type="dxa" w:w="2520"/>
            <w:shd w:val="clear" w:color="auto" w:fill="FFFFFF"/>
          </w:tcPr>
          <w:p>
            <w:pPr>
              <w:jc w:val="center"/>
            </w:pPr>
            <w:r>
              <w:rPr>
                <w:rFonts w:ascii="Calibri" w:hAnsi="Calibri"/>
                <w:sz w:val="18"/>
              </w:rPr>
              <w:t>+0.359</w:t>
            </w:r>
          </w:p>
        </w:tc>
      </w:tr>
      <w:tr>
        <w:tc>
          <w:tcPr>
            <w:tcW w:type="dxa" w:w="2520"/>
            <w:shd w:val="clear" w:color="auto" w:fill="F2F2F2"/>
          </w:tcPr>
          <w:p>
            <w:pPr>
              <w:jc w:val="left"/>
            </w:pPr>
            <w:r>
              <w:rPr>
                <w:rFonts w:ascii="Calibri" w:hAnsi="Calibri"/>
                <w:sz w:val="18"/>
              </w:rPr>
              <w:t>Social/Personal</w:t>
            </w:r>
          </w:p>
        </w:tc>
        <w:tc>
          <w:tcPr>
            <w:tcW w:type="dxa" w:w="2520"/>
            <w:shd w:val="clear" w:color="auto" w:fill="F2F2F2"/>
          </w:tcPr>
          <w:p>
            <w:pPr>
              <w:jc w:val="center"/>
            </w:pPr>
            <w:r>
              <w:rPr>
                <w:rFonts w:ascii="Calibri" w:hAnsi="Calibri"/>
                <w:sz w:val="18"/>
              </w:rPr>
              <w:t>W3.45</w:t>
            </w:r>
          </w:p>
        </w:tc>
        <w:tc>
          <w:tcPr>
            <w:tcW w:type="dxa" w:w="2520"/>
            <w:shd w:val="clear" w:color="auto" w:fill="F2F2F2"/>
          </w:tcPr>
          <w:p>
            <w:pPr>
              <w:jc w:val="center"/>
            </w:pPr>
            <w:r>
              <w:rPr>
                <w:rFonts w:ascii="Calibri" w:hAnsi="Calibri"/>
                <w:sz w:val="18"/>
              </w:rPr>
              <w:t>W3.17</w:t>
            </w:r>
          </w:p>
        </w:tc>
        <w:tc>
          <w:tcPr>
            <w:tcW w:type="dxa" w:w="2520"/>
            <w:shd w:val="clear" w:color="auto" w:fill="F2F2F2"/>
          </w:tcPr>
          <w:p>
            <w:pPr>
              <w:jc w:val="center"/>
            </w:pPr>
            <w:r>
              <w:rPr>
                <w:rFonts w:ascii="Calibri" w:hAnsi="Calibri"/>
                <w:sz w:val="18"/>
              </w:rPr>
              <w:t>+0.284</w:t>
            </w:r>
          </w:p>
        </w:tc>
      </w:tr>
    </w:tbl>
    <w:p>
      <w:pPr>
        <w:spacing w:before="40" w:after="120"/>
        <w:jc w:val="left"/>
      </w:pPr>
      <w:r>
        <w:rPr>
          <w:rFonts w:ascii="Calibri" w:hAnsi="Calibri"/>
          <w:b w:val="0"/>
          <w:i/>
          <w:color w:val="404040"/>
          <w:sz w:val="18"/>
        </w:rPr>
        <w:t>Tabla 8. Rango salarial promedio ponderado por sector y sexo.</w:t>
      </w:r>
    </w:p>
    <w:p>
      <w:pPr>
        <w:spacing w:before="80" w:after="40"/>
        <w:jc w:val="center"/>
      </w:pPr>
      <w:r>
        <w:drawing>
          <wp:inline xmlns:a="http://schemas.openxmlformats.org/drawingml/2006/main" xmlns:pic="http://schemas.openxmlformats.org/drawingml/2006/picture">
            <wp:extent cx="5303520" cy="3289525"/>
            <wp:docPr id="7" name="Picture 7"/>
            <wp:cNvGraphicFramePr>
              <a:graphicFrameLocks noChangeAspect="1"/>
            </wp:cNvGraphicFramePr>
            <a:graphic>
              <a:graphicData uri="http://schemas.openxmlformats.org/drawingml/2006/picture">
                <pic:pic>
                  <pic:nvPicPr>
                    <pic:cNvPr id="0" name="fig6_brecha_entidad.png"/>
                    <pic:cNvPicPr/>
                  </pic:nvPicPr>
                  <pic:blipFill>
                    <a:blip r:embed="rId14"/>
                    <a:stretch>
                      <a:fillRect/>
                    </a:stretch>
                  </pic:blipFill>
                  <pic:spPr>
                    <a:xfrm>
                      <a:off x="0" y="0"/>
                      <a:ext cx="5303520" cy="3289525"/>
                    </a:xfrm>
                    <a:prstGeom prst="rect"/>
                  </pic:spPr>
                </pic:pic>
              </a:graphicData>
            </a:graphic>
          </wp:inline>
        </w:drawing>
      </w:r>
    </w:p>
    <w:p>
      <w:pPr>
        <w:spacing w:before="40" w:after="120"/>
        <w:jc w:val="left"/>
      </w:pPr>
      <w:r>
        <w:rPr>
          <w:rFonts w:ascii="Calibri" w:hAnsi="Calibri"/>
          <w:b w:val="0"/>
          <w:i/>
          <w:color w:val="404040"/>
          <w:sz w:val="18"/>
        </w:rPr>
        <w:t>Figura 6. Brecha salarial de genero por entidad federativa (top 10 por volumen). La magnitud varia considerablemente entre estados.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val="clear" w:color="auto" w:fill="1F497D"/>
          </w:tcPr>
          <w:p>
            <w:pPr>
              <w:jc w:val="center"/>
            </w:pPr>
            <w:r>
              <w:rPr>
                <w:rFonts w:ascii="Calibri" w:hAnsi="Calibri"/>
                <w:b/>
                <w:color w:val="FFFFFF"/>
                <w:sz w:val="18"/>
              </w:rPr>
              <w:t>Entidad</w:t>
            </w:r>
          </w:p>
        </w:tc>
        <w:tc>
          <w:tcPr>
            <w:tcW w:type="dxa" w:w="2520"/>
            <w:shd w:val="clear" w:color="auto" w:fill="1F497D"/>
          </w:tcPr>
          <w:p>
            <w:pPr>
              <w:jc w:val="center"/>
            </w:pPr>
            <w:r>
              <w:rPr>
                <w:rFonts w:ascii="Calibri" w:hAnsi="Calibri"/>
                <w:b/>
                <w:color w:val="FFFFFF"/>
                <w:sz w:val="18"/>
              </w:rPr>
              <w:t>Hombre (W prom.)</w:t>
            </w:r>
          </w:p>
        </w:tc>
        <w:tc>
          <w:tcPr>
            <w:tcW w:type="dxa" w:w="2520"/>
            <w:shd w:val="clear" w:color="auto" w:fill="1F497D"/>
          </w:tcPr>
          <w:p>
            <w:pPr>
              <w:jc w:val="center"/>
            </w:pPr>
            <w:r>
              <w:rPr>
                <w:rFonts w:ascii="Calibri" w:hAnsi="Calibri"/>
                <w:b/>
                <w:color w:val="FFFFFF"/>
                <w:sz w:val="18"/>
              </w:rPr>
              <w:t>Mujer (W prom.)</w:t>
            </w:r>
          </w:p>
        </w:tc>
        <w:tc>
          <w:tcPr>
            <w:tcW w:type="dxa" w:w="2520"/>
            <w:shd w:val="clear" w:color="auto" w:fill="1F497D"/>
          </w:tcPr>
          <w:p>
            <w:pPr>
              <w:jc w:val="center"/>
            </w:pPr>
            <w:r>
              <w:rPr>
                <w:rFonts w:ascii="Calibri" w:hAnsi="Calibri"/>
                <w:b/>
                <w:color w:val="FFFFFF"/>
                <w:sz w:val="18"/>
              </w:rPr>
              <w:t>Brecha H-M</w:t>
            </w:r>
          </w:p>
        </w:tc>
      </w:tr>
      <w:tr>
        <w:tc>
          <w:tcPr>
            <w:tcW w:type="dxa" w:w="2520"/>
            <w:shd w:val="clear" w:color="auto" w:fill="FFFFFF"/>
          </w:tcPr>
          <w:p>
            <w:pPr>
              <w:jc w:val="left"/>
            </w:pPr>
            <w:r>
              <w:rPr>
                <w:rFonts w:ascii="Calibri" w:hAnsi="Calibri"/>
                <w:sz w:val="18"/>
              </w:rPr>
              <w:t>Nuevo Leon</w:t>
            </w:r>
          </w:p>
        </w:tc>
        <w:tc>
          <w:tcPr>
            <w:tcW w:type="dxa" w:w="2520"/>
            <w:shd w:val="clear" w:color="auto" w:fill="FFFFFF"/>
          </w:tcPr>
          <w:p>
            <w:pPr>
              <w:jc w:val="center"/>
            </w:pPr>
            <w:r>
              <w:rPr>
                <w:rFonts w:ascii="Calibri" w:hAnsi="Calibri"/>
                <w:sz w:val="18"/>
              </w:rPr>
              <w:t>W3.08</w:t>
            </w:r>
          </w:p>
        </w:tc>
        <w:tc>
          <w:tcPr>
            <w:tcW w:type="dxa" w:w="2520"/>
            <w:shd w:val="clear" w:color="auto" w:fill="FFFFFF"/>
          </w:tcPr>
          <w:p>
            <w:pPr>
              <w:jc w:val="center"/>
            </w:pPr>
            <w:r>
              <w:rPr>
                <w:rFonts w:ascii="Calibri" w:hAnsi="Calibri"/>
                <w:sz w:val="18"/>
              </w:rPr>
              <w:t>W2.78</w:t>
            </w:r>
          </w:p>
        </w:tc>
        <w:tc>
          <w:tcPr>
            <w:tcW w:type="dxa" w:w="2520"/>
            <w:shd w:val="clear" w:color="auto" w:fill="FFFFFF"/>
          </w:tcPr>
          <w:p>
            <w:pPr>
              <w:jc w:val="center"/>
            </w:pPr>
            <w:r>
              <w:rPr>
                <w:rFonts w:ascii="Calibri" w:hAnsi="Calibri"/>
                <w:sz w:val="18"/>
              </w:rPr>
              <w:t>+0.299</w:t>
            </w:r>
          </w:p>
        </w:tc>
      </w:tr>
      <w:tr>
        <w:tc>
          <w:tcPr>
            <w:tcW w:type="dxa" w:w="2520"/>
            <w:shd w:val="clear" w:color="auto" w:fill="F2F2F2"/>
          </w:tcPr>
          <w:p>
            <w:pPr>
              <w:jc w:val="left"/>
            </w:pPr>
            <w:r>
              <w:rPr>
                <w:rFonts w:ascii="Calibri" w:hAnsi="Calibri"/>
                <w:sz w:val="18"/>
              </w:rPr>
              <w:t>Jalisco</w:t>
            </w:r>
          </w:p>
        </w:tc>
        <w:tc>
          <w:tcPr>
            <w:tcW w:type="dxa" w:w="2520"/>
            <w:shd w:val="clear" w:color="auto" w:fill="F2F2F2"/>
          </w:tcPr>
          <w:p>
            <w:pPr>
              <w:jc w:val="center"/>
            </w:pPr>
            <w:r>
              <w:rPr>
                <w:rFonts w:ascii="Calibri" w:hAnsi="Calibri"/>
                <w:sz w:val="18"/>
              </w:rPr>
              <w:t>W2.89</w:t>
            </w:r>
          </w:p>
        </w:tc>
        <w:tc>
          <w:tcPr>
            <w:tcW w:type="dxa" w:w="2520"/>
            <w:shd w:val="clear" w:color="auto" w:fill="F2F2F2"/>
          </w:tcPr>
          <w:p>
            <w:pPr>
              <w:jc w:val="center"/>
            </w:pPr>
            <w:r>
              <w:rPr>
                <w:rFonts w:ascii="Calibri" w:hAnsi="Calibri"/>
                <w:sz w:val="18"/>
              </w:rPr>
              <w:t>W2.64</w:t>
            </w:r>
          </w:p>
        </w:tc>
        <w:tc>
          <w:tcPr>
            <w:tcW w:type="dxa" w:w="2520"/>
            <w:shd w:val="clear" w:color="auto" w:fill="F2F2F2"/>
          </w:tcPr>
          <w:p>
            <w:pPr>
              <w:jc w:val="center"/>
            </w:pPr>
            <w:r>
              <w:rPr>
                <w:rFonts w:ascii="Calibri" w:hAnsi="Calibri"/>
                <w:sz w:val="18"/>
              </w:rPr>
              <w:t>+0.255</w:t>
            </w:r>
          </w:p>
        </w:tc>
      </w:tr>
      <w:tr>
        <w:tc>
          <w:tcPr>
            <w:tcW w:type="dxa" w:w="2520"/>
            <w:shd w:val="clear" w:color="auto" w:fill="FFFFFF"/>
          </w:tcPr>
          <w:p>
            <w:pPr>
              <w:jc w:val="left"/>
            </w:pPr>
            <w:r>
              <w:rPr>
                <w:rFonts w:ascii="Calibri" w:hAnsi="Calibri"/>
                <w:sz w:val="18"/>
              </w:rPr>
              <w:t>CDMX</w:t>
            </w:r>
          </w:p>
        </w:tc>
        <w:tc>
          <w:tcPr>
            <w:tcW w:type="dxa" w:w="2520"/>
            <w:shd w:val="clear" w:color="auto" w:fill="FFFFFF"/>
          </w:tcPr>
          <w:p>
            <w:pPr>
              <w:jc w:val="center"/>
            </w:pPr>
            <w:r>
              <w:rPr>
                <w:rFonts w:ascii="Calibri" w:hAnsi="Calibri"/>
                <w:sz w:val="18"/>
              </w:rPr>
              <w:t>W3.34</w:t>
            </w:r>
          </w:p>
        </w:tc>
        <w:tc>
          <w:tcPr>
            <w:tcW w:type="dxa" w:w="2520"/>
            <w:shd w:val="clear" w:color="auto" w:fill="FFFFFF"/>
          </w:tcPr>
          <w:p>
            <w:pPr>
              <w:jc w:val="center"/>
            </w:pPr>
            <w:r>
              <w:rPr>
                <w:rFonts w:ascii="Calibri" w:hAnsi="Calibri"/>
                <w:sz w:val="18"/>
              </w:rPr>
              <w:t>W3.18</w:t>
            </w:r>
          </w:p>
        </w:tc>
        <w:tc>
          <w:tcPr>
            <w:tcW w:type="dxa" w:w="2520"/>
            <w:shd w:val="clear" w:color="auto" w:fill="FFFFFF"/>
          </w:tcPr>
          <w:p>
            <w:pPr>
              <w:jc w:val="center"/>
            </w:pPr>
            <w:r>
              <w:rPr>
                <w:rFonts w:ascii="Calibri" w:hAnsi="Calibri"/>
                <w:sz w:val="18"/>
              </w:rPr>
              <w:t>+0.157</w:t>
            </w:r>
          </w:p>
        </w:tc>
      </w:tr>
    </w:tbl>
    <w:p>
      <w:pPr>
        <w:spacing w:before="40" w:after="120"/>
        <w:jc w:val="left"/>
      </w:pPr>
      <w:r>
        <w:rPr>
          <w:rFonts w:ascii="Calibri" w:hAnsi="Calibri"/>
          <w:b w:val="0"/>
          <w:i/>
          <w:color w:val="404040"/>
          <w:sz w:val="18"/>
        </w:rPr>
        <w:t>Tabla 9. Brecha salarial por entidad (top 10 por trabajadores urbanos).</w:t>
      </w:r>
    </w:p>
    <w:p>
      <w:pPr>
        <w:spacing w:before="200" w:after="60"/>
        <w:jc w:val="left"/>
      </w:pPr>
      <w:r>
        <w:rPr>
          <w:rFonts w:ascii="Calibri" w:hAnsi="Calibri"/>
          <w:b/>
          <w:i w:val="0"/>
          <w:color w:val="1F497D"/>
          <w:sz w:val="26"/>
        </w:rPr>
        <w:t>5. Conclusiones</w:t>
      </w:r>
    </w:p>
    <w:p>
      <w:pPr>
        <w:pStyle w:val="ListBullet"/>
        <w:spacing w:after="80"/>
      </w:pPr>
      <w:r>
        <w:rPr>
          <w:rFonts w:ascii="Calibri" w:hAnsi="Calibri"/>
          <w:b/>
          <w:color w:val="1F497D"/>
          <w:sz w:val="20"/>
        </w:rPr>
        <w:t xml:space="preserve">M1 — La experiencia tiene un efecto positivo decreciente sobre el salario. </w:t>
      </w:r>
      <w:r>
        <w:rPr>
          <w:rFonts w:ascii="Calibri" w:hAnsi="Calibri"/>
          <w:sz w:val="20"/>
        </w:rPr>
        <w:t>El termino cuadratico de edad es significativo y perfil de ingresos con pico estimado a los 50 anos. La relacion no es lineal: los primeros anos de carrera generan mayores incrementos salariales que los ultimos.</w:t>
      </w:r>
    </w:p>
    <w:p>
      <w:pPr>
        <w:pStyle w:val="ListBullet"/>
        <w:spacing w:after="80"/>
      </w:pPr>
      <w:r>
        <w:rPr>
          <w:rFonts w:ascii="Calibri" w:hAnsi="Calibri"/>
          <w:b/>
          <w:color w:val="1F497D"/>
          <w:sz w:val="20"/>
        </w:rPr>
        <w:t xml:space="preserve">M1 — El tamano del patron amplifica el salario de forma monotona. </w:t>
      </w:r>
      <w:r>
        <w:rPr>
          <w:rFonts w:ascii="Calibri" w:hAnsi="Calibri"/>
          <w:sz w:val="20"/>
        </w:rPr>
        <w:t>Empresas grandes (S6, S7) pagan hasta 0.68 rangos W mas que patrones unipersonales (S1), diferencia que es estadisticamente robusta.</w:t>
      </w:r>
    </w:p>
    <w:p>
      <w:pPr>
        <w:pStyle w:val="ListBullet"/>
        <w:spacing w:after="80"/>
      </w:pPr>
      <w:r>
        <w:rPr>
          <w:rFonts w:ascii="Calibri" w:hAnsi="Calibri"/>
          <w:b/>
          <w:color w:val="1F497D"/>
          <w:sz w:val="20"/>
        </w:rPr>
        <w:t xml:space="preserve">M1 — La experiencia premia mas en empresas grandes. </w:t>
      </w:r>
      <w:r>
        <w:rPr>
          <w:rFonts w:ascii="Calibri" w:hAnsi="Calibri"/>
          <w:sz w:val="20"/>
        </w:rPr>
        <w:t>Las curvas de la figura 2 muestran pendientes distintas por tamano: empresas grandes tienen una mayor tasa de crecimiento salarial por ano de experiencia que las microempresas, lo que sugiere que la antiguedad se valoriza mas en organizaciones formales de mayor escala.</w:t>
      </w:r>
    </w:p>
    <w:p>
      <w:pPr>
        <w:pStyle w:val="ListBullet"/>
        <w:spacing w:after="80"/>
      </w:pPr>
      <w:r>
        <w:rPr>
          <w:rFonts w:ascii="Calibri" w:hAnsi="Calibri"/>
          <w:b/>
          <w:color w:val="1F497D"/>
          <w:sz w:val="20"/>
        </w:rPr>
        <w:t xml:space="preserve">M2 — Las mujeres tienen menores probabilidades de acceder al estrato salarial alto. </w:t>
      </w:r>
      <w:r>
        <w:rPr>
          <w:rFonts w:ascii="Calibri" w:hAnsi="Calibri"/>
          <w:sz w:val="20"/>
        </w:rPr>
        <w:t>OR=0.7033 (IC=[0.701,0.706]): controlando entidad y sector, las odds de las mujeres de pertenecer al W3+ son 29.7% menores que las de los hombres (p=0.00e+00).</w:t>
      </w:r>
    </w:p>
    <w:p>
      <w:pPr>
        <w:pStyle w:val="ListBullet"/>
        <w:spacing w:after="80"/>
      </w:pPr>
      <w:r>
        <w:rPr>
          <w:rFonts w:ascii="Calibri" w:hAnsi="Calibri"/>
          <w:b/>
          <w:color w:val="1F497D"/>
          <w:sz w:val="20"/>
        </w:rPr>
        <w:t xml:space="preserve">M2 — La brecha varia por sector: manufactura y servicios financieros concentran la mayor desigualdad. </w:t>
      </w:r>
      <w:r>
        <w:rPr>
          <w:rFonts w:ascii="Calibri" w:hAnsi="Calibri"/>
          <w:sz w:val="20"/>
        </w:rPr>
        <w:t>El sector primario presenta una particularidad: las mujeres aseguradas tienen un rango salarial promedio mayor que los hombres, posiblemente por la composicion distinta de perfiles dentro del sector. En manufactura y financiero/profesional, la ventaja masculina es consistente y significativa.</w:t>
      </w:r>
    </w:p>
    <w:p>
      <w:pPr>
        <w:pStyle w:val="ListBullet"/>
        <w:spacing w:after="80"/>
      </w:pPr>
      <w:r>
        <w:rPr>
          <w:rFonts w:ascii="Calibri" w:hAnsi="Calibri"/>
          <w:b/>
          <w:color w:val="1F497D"/>
          <w:sz w:val="20"/>
        </w:rPr>
        <w:t xml:space="preserve">Metodologia — Regresion ponderada sobre datos BigData agregados. </w:t>
      </w:r>
      <w:r>
        <w:rPr>
          <w:rFonts w:ascii="Calibri" w:hAnsi="Calibri"/>
          <w:sz w:val="20"/>
        </w:rPr>
        <w:t>Usar freq_weights o WLS en datos IMSS ASG es equivalente a correr el modelo sobre los microdatos individuales, sin necesidad de expandirlos. El AUC de 0.6105 indica que el modelo logistico tiene capacidad discriminante real, aunque la mayoria de la varianza salarial queda explicada por variables no incluidas (ocupacion, antiguedad, nivel educativo).</w:t>
      </w:r>
    </w:p>
    <w:p>
      <w:pPr>
        <w:spacing w:before="120" w:after="0"/>
        <w:jc w:val="left"/>
      </w:pPr>
    </w:p>
    <w:p>
      <w:pPr>
        <w:spacing w:before="200" w:after="60"/>
        <w:jc w:val="left"/>
      </w:pPr>
      <w:r>
        <w:rPr>
          <w:rFonts w:ascii="Calibri" w:hAnsi="Calibri"/>
          <w:b/>
          <w:i w:val="0"/>
          <w:color w:val="1F497D"/>
          <w:sz w:val="26"/>
        </w:rPr>
        <w:t>6. Referencias</w:t>
      </w:r>
    </w:p>
    <w:p>
      <w:pPr>
        <w:spacing w:after="80" w:before="0"/>
        <w:ind w:left="560" w:hanging="560"/>
      </w:pPr>
      <w:r>
        <w:rPr>
          <w:rFonts w:ascii="Calibri" w:hAnsi="Calibri"/>
          <w:color w:val="000000"/>
          <w:sz w:val="19"/>
        </w:rPr>
        <w:t>Fawcett, T. (2006). An introduction to ROC analysis. Pattern Recognition Letters, 27(8), 861-874. https://doi.org/10.1016/j.patrec.2005.10.010</w:t>
      </w:r>
    </w:p>
    <w:p>
      <w:pPr>
        <w:spacing w:after="80" w:before="0"/>
        <w:ind w:left="560" w:hanging="560"/>
      </w:pPr>
      <w:r>
        <w:rPr>
          <w:rFonts w:ascii="Calibri" w:hAnsi="Calibri"/>
          <w:color w:val="000000"/>
          <w:sz w:val="19"/>
        </w:rPr>
        <w:t>Goldin, C. (2014). A grand gender convergence: Its last chapter. American Economic Review, 104(4), 1091-1119. https://doi.org/10.1257/aer.104.4.1091</w:t>
      </w:r>
    </w:p>
    <w:p>
      <w:pPr>
        <w:spacing w:after="80" w:before="0"/>
        <w:ind w:left="560" w:hanging="560"/>
      </w:pPr>
      <w:r>
        <w:rPr>
          <w:rFonts w:ascii="Calibri" w:hAnsi="Calibri"/>
          <w:color w:val="000000"/>
          <w:sz w:val="19"/>
        </w:rPr>
        <w:t>Greene, W. H. (2018). Econometric Analysis (8a ed.). Pearson.</w:t>
      </w:r>
    </w:p>
    <w:p>
      <w:pPr>
        <w:spacing w:after="80" w:before="0"/>
        <w:ind w:left="560" w:hanging="560"/>
      </w:pPr>
      <w:r>
        <w:rPr>
          <w:rFonts w:ascii="Calibri" w:hAnsi="Calibri"/>
          <w:color w:val="000000"/>
          <w:sz w:val="19"/>
        </w:rPr>
        <w:t>Hosmer, D. W., Lemeshow, S., &amp; Sturdivant, R. X. (2013). Applied Logistic Regression (3a ed.). John Wiley &amp; Sons. https://doi.org/10.1002/9781118548387</w:t>
      </w:r>
    </w:p>
    <w:p>
      <w:pPr>
        <w:spacing w:after="80" w:before="0"/>
        <w:ind w:left="560" w:hanging="560"/>
      </w:pPr>
      <w:r>
        <w:rPr>
          <w:rFonts w:ascii="Calibri" w:hAnsi="Calibri"/>
          <w:color w:val="000000"/>
          <w:sz w:val="19"/>
        </w:rPr>
        <w:t>Instituto Mexicano del Seguro Social [IMSS]. (2026). Asegurados por grupo (ASG) — Abril 2026 [Conjunto de datos]. Datos Abiertos IMSS. https://datos.imss.gob.mx/</w:t>
      </w:r>
    </w:p>
    <w:p>
      <w:pPr>
        <w:spacing w:after="80" w:before="0"/>
        <w:ind w:left="560" w:hanging="560"/>
      </w:pPr>
      <w:r>
        <w:rPr>
          <w:rFonts w:ascii="Calibri" w:hAnsi="Calibri"/>
          <w:color w:val="000000"/>
          <w:sz w:val="19"/>
        </w:rPr>
        <w:t>Mincer, J. (1974). Schooling, Experience, and Earnings. Columbia University Press / National Bureau of Economic Research.</w:t>
      </w:r>
    </w:p>
    <w:p>
      <w:pPr>
        <w:spacing w:after="80" w:before="0"/>
        <w:ind w:left="560" w:hanging="560"/>
      </w:pPr>
      <w:r>
        <w:rPr>
          <w:rFonts w:ascii="Calibri" w:hAnsi="Calibri"/>
          <w:color w:val="000000"/>
          <w:sz w:val="19"/>
        </w:rPr>
        <w:t>Pedregosa, F., Varoquaux, G., Gramfort, A., Michel, V., Thirion, B., Grisel, O., Blondel, M., Prettenhofer, P., Weiss, R., Dubourg, V., Vanderplas, J., Passos, A., Cournapeau, D., Brucher, M., Perrot, M., &amp; Duchesnay, E. (2011). Scikit-learn: Machine learning in Python. Journal of Machine Learning Research, 12, 2825-2830.</w:t>
      </w:r>
    </w:p>
    <w:p>
      <w:pPr>
        <w:spacing w:after="80" w:before="0"/>
        <w:ind w:left="560" w:hanging="560"/>
      </w:pPr>
      <w:r>
        <w:rPr>
          <w:rFonts w:ascii="Calibri" w:hAnsi="Calibri"/>
          <w:color w:val="000000"/>
          <w:sz w:val="19"/>
        </w:rPr>
        <w:t>Seabold, S., &amp; Perktold, J. (2010). Statsmodels: Econometric and statistical modeling with Python. Proceedings of the 9th Python in Science Conference (SciPy 2010), 57-61. https://doi.org/10.25080/Majora-92bf1922-011</w:t>
      </w:r>
    </w:p>
    <w:p>
      <w:pPr>
        <w:spacing w:after="80" w:before="0"/>
        <w:ind w:left="560" w:hanging="560"/>
      </w:pPr>
      <w:r>
        <w:rPr>
          <w:rFonts w:ascii="Calibri" w:hAnsi="Calibri"/>
          <w:color w:val="000000"/>
          <w:sz w:val="19"/>
        </w:rPr>
        <w:t>Wooldridge, J. M. (2010). Econometric Analysis of Cross Section and Panel Data (2a ed.). MIT Press.</w:t>
      </w:r>
    </w:p>
    <w:p>
      <w:pPr>
        <w:spacing w:before="80" w:after="0"/>
        <w:jc w:val="left"/>
      </w:pPr>
    </w:p>
    <w:sectPr w:rsidR="00AF3200" w:rsidRPr="00007695"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7530049">
    <w:abstractNumId w:val="8"/>
  </w:num>
  <w:num w:numId="2" w16cid:durableId="1310212181">
    <w:abstractNumId w:val="6"/>
  </w:num>
  <w:num w:numId="3" w16cid:durableId="558058756">
    <w:abstractNumId w:val="5"/>
  </w:num>
  <w:num w:numId="4" w16cid:durableId="489903587">
    <w:abstractNumId w:val="4"/>
  </w:num>
  <w:num w:numId="5" w16cid:durableId="1102262365">
    <w:abstractNumId w:val="7"/>
  </w:num>
  <w:num w:numId="6" w16cid:durableId="989672095">
    <w:abstractNumId w:val="3"/>
  </w:num>
  <w:num w:numId="7" w16cid:durableId="1585993332">
    <w:abstractNumId w:val="2"/>
  </w:num>
  <w:num w:numId="8" w16cid:durableId="2106534006">
    <w:abstractNumId w:val="1"/>
  </w:num>
  <w:num w:numId="9" w16cid:durableId="1420712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695"/>
    <w:rsid w:val="00034616"/>
    <w:rsid w:val="0006063C"/>
    <w:rsid w:val="0015074B"/>
    <w:rsid w:val="0029639D"/>
    <w:rsid w:val="00326F90"/>
    <w:rsid w:val="009E558E"/>
    <w:rsid w:val="00AA1D8D"/>
    <w:rsid w:val="00AF3200"/>
    <w:rsid w:val="00B47730"/>
    <w:rsid w:val="00CB0664"/>
    <w:rsid w:val="00FC693F"/>
    <w:rsid w:val="00FE28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68670E"/>
  <w14:defaultImageDpi w14:val="300"/>
  <w15:docId w15:val="{D823B7BF-B6F4-4107-8632-C84224FD7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185</Words>
  <Characters>1058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Carlos Pulido Rosas</cp:lastModifiedBy>
  <cp:revision>2</cp:revision>
  <dcterms:created xsi:type="dcterms:W3CDTF">2026-04-13T08:30:00Z</dcterms:created>
  <dcterms:modified xsi:type="dcterms:W3CDTF">2026-04-13T08:30:00Z</dcterms:modified>
  <cp:category/>
</cp:coreProperties>
</file>