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F497D"/>
          <w:sz w:val="26"/>
        </w:rPr>
        <w:t>UNIVERSIDAD DE GUADALAJARA</w:t>
      </w:r>
    </w:p>
    <w:p>
      <w:pPr>
        <w:jc w:val="center"/>
      </w:pPr>
      <w:r>
        <w:rPr>
          <w:b w:val="0"/>
          <w:color w:val="1F497D"/>
          <w:sz w:val="22"/>
        </w:rPr>
        <w:t>Centro Universitario de Ciencias Economico Administrativas</w:t>
      </w:r>
    </w:p>
    <w:p>
      <w:pPr>
        <w:jc w:val="center"/>
      </w:pPr>
      <w:r>
        <w:rPr>
          <w:b w:val="0"/>
          <w:sz w:val="22"/>
        </w:rPr>
        <w:t>Maestria en Ciencias de los Datos</w:t>
      </w:r>
    </w:p>
    <w:p/>
    <w:p/>
    <w:p>
      <w:pPr>
        <w:jc w:val="center"/>
      </w:pPr>
      <w:r>
        <w:rPr>
          <w:b/>
          <w:color w:val="1F497D"/>
          <w:sz w:val="40"/>
        </w:rPr>
        <w:t>PROYECTO FINAL</w:t>
      </w:r>
    </w:p>
    <w:p>
      <w:pPr>
        <w:jc w:val="center"/>
      </w:pPr>
      <w:r>
        <w:rPr>
          <w:b/>
          <w:color w:val="D48C00"/>
          <w:sz w:val="32"/>
        </w:rPr>
        <w:t>Programacion II</w:t>
      </w:r>
    </w:p>
    <w:p>
      <w:pPr>
        <w:jc w:val="center"/>
      </w:pPr>
      <w:r>
        <w:rPr>
          <w:b w:val="0"/>
          <w:sz w:val="24"/>
        </w:rPr>
        <w:t>Integracion de SQL, Mineria de Datos y Machine Learning</w:t>
        <w:br/>
        <w:t>aplicado a datos reales de ENOE y O*NET</w:t>
      </w:r>
    </w:p>
    <w:p/>
    <w:p/>
    <w:p>
      <w:pPr>
        <w:jc w:val="center"/>
      </w:pPr>
      <w:r>
        <w:rPr>
          <w:b w:val="0"/>
          <w:sz w:val="22"/>
        </w:rPr>
        <w:t>Ciclo Escolar: 2026-A</w:t>
      </w:r>
    </w:p>
    <w:p>
      <w:pPr>
        <w:jc w:val="center"/>
      </w:pPr>
      <w:r>
        <w:rPr>
          <w:b w:val="0"/>
          <w:sz w:val="22"/>
        </w:rPr>
        <w:t>Alumno: Carlos Pulido Rosas</w:t>
      </w:r>
    </w:p>
    <w:p>
      <w:pPr>
        <w:jc w:val="center"/>
      </w:pPr>
      <w:r>
        <w:rPr>
          <w:b w:val="0"/>
          <w:sz w:val="22"/>
        </w:rPr>
        <w:t>Tema de tesis: Riesgo de Automatizacion Laboral en Jalisco por IA</w:t>
      </w:r>
    </w:p>
    <w:p>
      <w:pPr>
        <w:jc w:val="center"/>
      </w:pPr>
      <w:r>
        <w:rPr>
          <w:b w:val="0"/>
          <w:sz w:val="22"/>
        </w:rPr>
        <w:t>Fecha de entrega: 17 de mayo de 2026</w:t>
      </w:r>
    </w:p>
    <w:p>
      <w:pPr>
        <w:jc w:val="center"/>
      </w:pPr>
      <w:r>
        <w:rPr>
          <w:b w:val="0"/>
          <w:sz w:val="22"/>
        </w:rPr>
        <w:t>Modalidad: Individual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1. Resumen Ejecutivo</w:t>
      </w:r>
    </w:p>
    <w:p>
      <w:pPr>
        <w:spacing w:after="120"/>
      </w:pPr>
      <w:r>
        <w:t>Este proyecto demuestra un pipeline completo de ciencia de datos aplicado al problema de investigacion de tesis: predecir el riesgo de automatizacion laboral en Jalisco, Mexico, utilizando datos reales de la Encuesta Nacional de Ocupacion y Empleo (ENOE Q3 2024, entidad 14) y los descriptores de tareas por ocupacion del repositorio O*NET 28.3 (U.S. Department of Labor, 2024).</w:t>
      </w:r>
    </w:p>
    <w:p>
      <w:pPr>
        <w:spacing w:after="120"/>
      </w:pPr>
      <w:r>
        <w:t>Las tecnologias integradas son: SQL Server (base de datos ai_automation_risk_jalisco) con esquema relacional de dos tablas, Orange Data Mining 3 para exploracion visual, y Python con scikit-learn para modelado predictivo. El hallazgo principal es que el perfil sociolaboral del trabajador (educacion, ingreso, sector, formalidad e IRA) explica el 36% de la varianza en el riesgo de automatizacion (R²=0.36), mientras que K-Means (k=3) identifica tres grupos accionables con perfiles diferenciados.</w:t>
      </w:r>
    </w:p>
    <w:p>
      <w:pPr>
        <w:spacing w:after="120"/>
      </w:pPr>
      <w:r>
        <w:t>El Indice de Rentabilidad de la Automatizacion (IRA = salario_anual / activo_fijo_amortizado_5_anios) revela la paradoja de la agricultura en Jalisco: es el sector con mayor riesgo tecnico (0.758) Y mayor incentivo economico (IRA=5.07), pero permanece manual debido a factores geograficos e institucionales — confirmando la hipotesis H2 de la tesis (Acemoglu &amp; Restrepo, 2018).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2. Descripcion del Conjunto de Datos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2.1 Fuentes de datos</w:t>
      </w:r>
    </w:p>
    <w:p>
      <w:pPr>
        <w:spacing w:after="120"/>
      </w:pPr>
      <w:r>
        <w:t>El proyecto integra dos fuentes de datos oficiales complementarias:</w:t>
      </w:r>
    </w:p>
    <w:p>
      <w:pPr>
        <w:pStyle w:val="ListBullet"/>
      </w:pPr>
      <w:r>
        <w:t>O*NET 28.3 (U.S. Department of Labor, 2024): descriptores de tareas para 1,016 ocupaciones SOC. Se procesaron los archivos Work Activities.txt y Abilities.txt para calcular RTI, demanda cognitiva, interaccion social, creatividad y destreza manual por grupo SINCO. Descarga directa desde onetcenter.org (Tab-Delimited Text, 12.6 MB).</w:t>
      </w:r>
    </w:p>
    <w:p>
      <w:pPr>
        <w:pStyle w:val="ListBullet"/>
      </w:pPr>
      <w:r>
        <w:t>ENOE Q3 2024 — Entidad 14 (Jalisco): archivo ENOE_SDEMT324.csv del INEGI (423,118 registros nacionales). Se filtro por ent=14 obteniendo 13,839 trabajadores en Jalisco. Variables clave: c_ocu11c (SINCO 11 categorias), ingocup, anios_esc, eda, seg_soc, emple7c, rama_est2. Muestra final: 2,000.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2.2 Crosswalk SOC → SINCO</w:t>
      </w:r>
    </w:p>
    <w:p>
      <w:pPr>
        <w:spacing w:after="120"/>
      </w:pPr>
      <w:r>
        <w:t>El puente entre O*NET (SOC) y ENOE (SINCO) se construyo via el crosswalk ESCO→O*NET (8,627 mapeos ISCO-08→SOC) publicado por onetcenter.org. SINCO 2011 utilizado en ENOE esta basado en ISCO-08, por lo que el primer digito del codigo SINCO corresponde al grupo mayor ISCO-08, que a su vez tiene equivalente SOC en el crosswalk. Esto produce scores O*NET promedio por grupo SINCO mayor (10 grupos).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2.3 Diagrama Entidad-Relacion</w:t>
      </w:r>
    </w:p>
    <w:p>
      <w:pPr>
        <w:spacing w:after="120"/>
      </w:pPr>
      <w:r>
        <w:t>El esquema relacional consta de dos tablas relacionadas via clave foranea:</w:t>
      </w:r>
    </w:p>
    <w:p>
      <w:pPr>
        <w:spacing w:after="120"/>
      </w:pPr>
      <w:r>
        <w:t>ocupaciones_onet (sinco_code PK) &lt;—— trabajadores (sinco_code FK)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color w:val="1F497D"/>
              </w:rPr>
              <w:t>Variable</w:t>
            </w:r>
          </w:p>
        </w:tc>
        <w:tc>
          <w:tcPr>
            <w:tcW w:type="dxa" w:w="2520"/>
          </w:tcPr>
          <w:p>
            <w:r>
              <w:rPr>
                <w:b/>
                <w:color w:val="1F497D"/>
              </w:rPr>
              <w:t>Tabla</w:t>
            </w:r>
          </w:p>
        </w:tc>
        <w:tc>
          <w:tcPr>
            <w:tcW w:type="dxa" w:w="2520"/>
          </w:tcPr>
          <w:p>
            <w:r>
              <w:rPr>
                <w:b/>
                <w:color w:val="1F497D"/>
              </w:rPr>
              <w:t>Tipo</w:t>
            </w:r>
          </w:p>
        </w:tc>
        <w:tc>
          <w:tcPr>
            <w:tcW w:type="dxa" w:w="2520"/>
          </w:tcPr>
          <w:p>
            <w:r>
              <w:rPr>
                <w:b/>
                <w:color w:val="1F497D"/>
              </w:rPr>
              <w:t>Descripcion</w:t>
            </w:r>
          </w:p>
        </w:tc>
      </w:tr>
      <w:tr>
        <w:tc>
          <w:tcPr>
            <w:tcW w:type="dxa" w:w="2520"/>
          </w:tcPr>
          <w:p>
            <w:r>
              <w:t>sinco_code</w:t>
            </w:r>
          </w:p>
        </w:tc>
        <w:tc>
          <w:tcPr>
            <w:tcW w:type="dxa" w:w="2520"/>
          </w:tcPr>
          <w:p>
            <w:r>
              <w:t>ocupaciones_onet</w:t>
            </w:r>
          </w:p>
        </w:tc>
        <w:tc>
          <w:tcPr>
            <w:tcW w:type="dxa" w:w="2520"/>
          </w:tcPr>
          <w:p>
            <w:r>
              <w:t>INT PK</w:t>
            </w:r>
          </w:p>
        </w:tc>
        <w:tc>
          <w:tcPr>
            <w:tcW w:type="dxa" w:w="2520"/>
          </w:tcPr>
          <w:p>
            <w:r>
              <w:t>Grupo SINCO (1-9)</w:t>
            </w:r>
          </w:p>
        </w:tc>
      </w:tr>
      <w:tr>
        <w:tc>
          <w:tcPr>
            <w:tcW w:type="dxa" w:w="2520"/>
          </w:tcPr>
          <w:p>
            <w:r>
              <w:t>frey_osborne_score</w:t>
            </w:r>
          </w:p>
        </w:tc>
        <w:tc>
          <w:tcPr>
            <w:tcW w:type="dxa" w:w="2520"/>
          </w:tcPr>
          <w:p>
            <w:r>
              <w:t>ocupaciones_onet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Score base O*NET</w:t>
            </w:r>
          </w:p>
        </w:tc>
      </w:tr>
      <w:tr>
        <w:tc>
          <w:tcPr>
            <w:tcW w:type="dxa" w:w="2520"/>
          </w:tcPr>
          <w:p>
            <w:r>
              <w:t>rti</w:t>
            </w:r>
          </w:p>
        </w:tc>
        <w:tc>
          <w:tcPr>
            <w:tcW w:type="dxa" w:w="2520"/>
          </w:tcPr>
          <w:p>
            <w:r>
              <w:t>ocupaciones_onet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Indice de rutinizacion</w:t>
            </w:r>
          </w:p>
        </w:tc>
      </w:tr>
      <w:tr>
        <w:tc>
          <w:tcPr>
            <w:tcW w:type="dxa" w:w="2520"/>
          </w:tcPr>
          <w:p>
            <w:r>
              <w:t>cognitive_demand</w:t>
            </w:r>
          </w:p>
        </w:tc>
        <w:tc>
          <w:tcPr>
            <w:tcW w:type="dxa" w:w="2520"/>
          </w:tcPr>
          <w:p>
            <w:r>
              <w:t>ocupaciones_onet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Demanda cognitiva (0-100)</w:t>
            </w:r>
          </w:p>
        </w:tc>
      </w:tr>
      <w:tr>
        <w:tc>
          <w:tcPr>
            <w:tcW w:type="dxa" w:w="2520"/>
          </w:tcPr>
          <w:p>
            <w:r>
              <w:t>social_interaction</w:t>
            </w:r>
          </w:p>
        </w:tc>
        <w:tc>
          <w:tcPr>
            <w:tcW w:type="dxa" w:w="2520"/>
          </w:tcPr>
          <w:p>
            <w:r>
              <w:t>ocupaciones_onet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Interaccion social (0-100)</w:t>
            </w:r>
          </w:p>
        </w:tc>
      </w:tr>
      <w:tr>
        <w:tc>
          <w:tcPr>
            <w:tcW w:type="dxa" w:w="2520"/>
          </w:tcPr>
          <w:p>
            <w:r>
              <w:t>automation_risk</w:t>
            </w:r>
          </w:p>
        </w:tc>
        <w:tc>
          <w:tcPr>
            <w:tcW w:type="dxa" w:w="2520"/>
          </w:tcPr>
          <w:p>
            <w:r>
              <w:t>ocupaciones_onet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Riesgo base (0-1)</w:t>
            </w:r>
          </w:p>
        </w:tc>
      </w:tr>
      <w:tr>
        <w:tc>
          <w:tcPr>
            <w:tcW w:type="dxa" w:w="2520"/>
          </w:tcPr>
          <w:p>
            <w:r>
              <w:t>id_trabajador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INT PK IDENTITY</w:t>
            </w:r>
          </w:p>
        </w:tc>
        <w:tc>
          <w:tcPr>
            <w:tcW w:type="dxa" w:w="2520"/>
          </w:tcPr>
          <w:p>
            <w:r>
              <w:t>Llave primaria</w:t>
            </w:r>
          </w:p>
        </w:tc>
      </w:tr>
      <w:tr>
        <w:tc>
          <w:tcPr>
            <w:tcW w:type="dxa" w:w="2520"/>
          </w:tcPr>
          <w:p>
            <w:r>
              <w:t>sinco_code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INT FK</w:t>
            </w:r>
          </w:p>
        </w:tc>
        <w:tc>
          <w:tcPr>
            <w:tcW w:type="dxa" w:w="2520"/>
          </w:tcPr>
          <w:p>
            <w:r>
              <w:t>Referencia a ocupaciones_onet</w:t>
            </w:r>
          </w:p>
        </w:tc>
      </w:tr>
      <w:tr>
        <w:tc>
          <w:tcPr>
            <w:tcW w:type="dxa" w:w="2520"/>
          </w:tcPr>
          <w:p>
            <w:r>
              <w:t>escoacum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INT CHECK(1-6)</w:t>
            </w:r>
          </w:p>
        </w:tc>
        <w:tc>
          <w:tcPr>
            <w:tcW w:type="dxa" w:w="2520"/>
          </w:tcPr>
          <w:p>
            <w:r>
              <w:t>Nivel educativo (ENOE)</w:t>
            </w:r>
          </w:p>
        </w:tc>
      </w:tr>
      <w:tr>
        <w:tc>
          <w:tcPr>
            <w:tcW w:type="dxa" w:w="2520"/>
          </w:tcPr>
          <w:p>
            <w:r>
              <w:t>ingocup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Ingreso mensual MXN (ENOE)</w:t>
            </w:r>
          </w:p>
        </w:tc>
      </w:tr>
      <w:tr>
        <w:tc>
          <w:tcPr>
            <w:tcW w:type="dxa" w:w="2520"/>
          </w:tcPr>
          <w:p>
            <w:r>
              <w:t>scian_sector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NVARCHAR</w:t>
            </w:r>
          </w:p>
        </w:tc>
        <w:tc>
          <w:tcPr>
            <w:tcW w:type="dxa" w:w="2520"/>
          </w:tcPr>
          <w:p>
            <w:r>
              <w:t>Sector economico SCIAN</w:t>
            </w:r>
          </w:p>
        </w:tc>
      </w:tr>
      <w:tr>
        <w:tc>
          <w:tcPr>
            <w:tcW w:type="dxa" w:w="2520"/>
          </w:tcPr>
          <w:p>
            <w:r>
              <w:t>formalidad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NVARCHAR</w:t>
            </w:r>
          </w:p>
        </w:tc>
        <w:tc>
          <w:tcPr>
            <w:tcW w:type="dxa" w:w="2520"/>
          </w:tcPr>
          <w:p>
            <w:r>
              <w:t>Formal/Informal (seg_soc)</w:t>
            </w:r>
          </w:p>
        </w:tc>
      </w:tr>
      <w:tr>
        <w:tc>
          <w:tcPr>
            <w:tcW w:type="dxa" w:w="2520"/>
          </w:tcPr>
          <w:p>
            <w:r>
              <w:t>edad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INT CHECK(15-70)</w:t>
            </w:r>
          </w:p>
        </w:tc>
        <w:tc>
          <w:tcPr>
            <w:tcW w:type="dxa" w:w="2520"/>
          </w:tcPr>
          <w:p>
            <w:r>
              <w:t>Edad del trabajador</w:t>
            </w:r>
          </w:p>
        </w:tc>
      </w:tr>
      <w:tr>
        <w:tc>
          <w:tcPr>
            <w:tcW w:type="dxa" w:w="2520"/>
          </w:tcPr>
          <w:p>
            <w:r>
              <w:t>ira</w:t>
            </w:r>
          </w:p>
        </w:tc>
        <w:tc>
          <w:tcPr>
            <w:tcW w:type="dxa" w:w="2520"/>
          </w:tcPr>
          <w:p>
            <w:r>
              <w:t>trabajadores</w:t>
            </w:r>
          </w:p>
        </w:tc>
        <w:tc>
          <w:tcPr>
            <w:tcW w:type="dxa" w:w="2520"/>
          </w:tcPr>
          <w:p>
            <w:r>
              <w:t>FLOAT</w:t>
            </w:r>
          </w:p>
        </w:tc>
        <w:tc>
          <w:tcPr>
            <w:tcW w:type="dxa" w:w="2520"/>
          </w:tcPr>
          <w:p>
            <w:r>
              <w:t>Indice Rentabilidad Automatizacion</w:t>
            </w:r>
          </w:p>
        </w:tc>
      </w:tr>
    </w:tbl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3. Etapa SQL: Esquema, JOINs y Vista Analitica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3.1 Esquema relacional (01_esquema.sql)</w:t>
      </w:r>
    </w:p>
    <w:p>
      <w:pPr>
        <w:spacing w:after="120"/>
      </w:pPr>
      <w:r>
        <w:t>El esquema fue implementado en SQL Server (base de datos ai_automation_risk_jalisco, localhost:1433, Windows Authentication). Cada tabla incluye PRIMARY KEY explicita, FOREIGN KEY con integridad referencial, restricciones CHECK para validar rangos (frey_osborne_score BETWEEN 0 AND 1, escoacum BETWEEN 1 AND 6, edad BETWEEN 15 AND 70) y tipos de datos correctamente declarados. La relacion es: trabajadores.sinco_code REFERENCES ocupaciones_onet.sinco_code.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3.2 Carga masiva de datos (02_insercion.py)</w:t>
      </w:r>
    </w:p>
    <w:p>
      <w:pPr>
        <w:spacing w:after="120"/>
      </w:pPr>
      <w:r>
        <w:t>Script Python con pyodbc (Windows Authentication). Lee onet_scores.csv (scores reales O*NET calculados de Work Activities + Abilities) y enoe_jalisco.csv (2,000 trabajadores reales ENOE Q3 2024 Jalisco). Calcula IRA por sector usando valores de referencia de Censos Economicos INEGI 2019 (activo_fijo_amortizado_5_anios). Inserta 8 ocupaciones y 2,000 trabajadores.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3.3 Consultas JOIN (03_joins_views.sql)</w:t>
      </w:r>
    </w:p>
    <w:p>
      <w:pPr>
        <w:spacing w:after="120"/>
      </w:pPr>
      <w:r>
        <w:t>JOIN 1 — INNER JOIN: cobertura de datos O*NET</w:t>
      </w:r>
    </w:p>
    <w:p>
      <w:pPr>
        <w:spacing w:after="120"/>
      </w:pPr>
      <w:r>
        <w:t>Pregunta: ¿Que porcentaje de trabajadores en Jalisco tiene datos O*NET disponibles? Resultado: 2,000/2,000 mapeados (100% en muestra). En el universo SINCO completo, el ~18% de ocupaciones del sector informal y agropecuario carece de crosswalk SOC completo — sesgo de cobertura documentado en la tesis.</w:t>
      </w:r>
    </w:p>
    <w:p>
      <w:pPr>
        <w:spacing w:after="120"/>
      </w:pPr>
      <w:r>
        <w:t>JOIN 2 — LEFT JOIN: brechas de cobertura</w:t>
      </w:r>
    </w:p>
    <w:p>
      <w:pPr>
        <w:spacing w:after="120"/>
      </w:pPr>
      <w:r>
        <w:t>Pregunta: ¿Que ocupaciones quedan sin datos O*NET? Los trabajadores con codigos SINCO de nivel 4 detallado en sectores informales no tienen equivalente SOC — son precisamente los mas vulnerables a la automatizacion y los mas sub-representados en los modelos de Frey &amp; Osborne (2017).</w:t>
      </w:r>
    </w:p>
    <w:p>
      <w:pPr>
        <w:spacing w:after="120"/>
      </w:pPr>
      <w:r>
        <w:t>JOIN 3 — INNER JOIN + GROUP BY + HAVING: riesgo promedio por sector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color w:val="1F497D"/>
              </w:rPr>
              <w:t>Sector</w:t>
            </w:r>
          </w:p>
        </w:tc>
        <w:tc>
          <w:tcPr>
            <w:tcW w:type="dxa" w:w="2520"/>
          </w:tcPr>
          <w:p>
            <w:r>
              <w:rPr>
                <w:b/>
                <w:color w:val="1F497D"/>
              </w:rPr>
              <w:t>N Trabajadores</w:t>
            </w:r>
          </w:p>
        </w:tc>
        <w:tc>
          <w:tcPr>
            <w:tcW w:type="dxa" w:w="2520"/>
          </w:tcPr>
          <w:p>
            <w:r>
              <w:rPr>
                <w:b/>
                <w:color w:val="1F497D"/>
              </w:rPr>
              <w:t>Riesgo Promedio</w:t>
            </w:r>
          </w:p>
        </w:tc>
        <w:tc>
          <w:tcPr>
            <w:tcW w:type="dxa" w:w="2520"/>
          </w:tcPr>
          <w:p>
            <w:r>
              <w:rPr>
                <w:b/>
                <w:color w:val="1F497D"/>
              </w:rPr>
              <w:t>IRA Promedio</w:t>
            </w:r>
          </w:p>
        </w:tc>
      </w:tr>
      <w:tr>
        <w:tc>
          <w:tcPr>
            <w:tcW w:type="dxa" w:w="2520"/>
          </w:tcPr>
          <w:p>
            <w:r>
              <w:t>Agricultura</w:t>
            </w:r>
          </w:p>
        </w:tc>
        <w:tc>
          <w:tcPr>
            <w:tcW w:type="dxa" w:w="2520"/>
          </w:tcPr>
          <w:p>
            <w:r>
              <w:t>58</w:t>
            </w:r>
          </w:p>
        </w:tc>
        <w:tc>
          <w:tcPr>
            <w:tcW w:type="dxa" w:w="2520"/>
          </w:tcPr>
          <w:p>
            <w:r>
              <w:t>0.758</w:t>
            </w:r>
          </w:p>
        </w:tc>
        <w:tc>
          <w:tcPr>
            <w:tcW w:type="dxa" w:w="2520"/>
          </w:tcPr>
          <w:p>
            <w:r>
              <w:t>5.073</w:t>
            </w:r>
          </w:p>
        </w:tc>
      </w:tr>
      <w:tr>
        <w:tc>
          <w:tcPr>
            <w:tcW w:type="dxa" w:w="2520"/>
          </w:tcPr>
          <w:p>
            <w:r>
              <w:t>Manufactura</w:t>
            </w:r>
          </w:p>
        </w:tc>
        <w:tc>
          <w:tcPr>
            <w:tcW w:type="dxa" w:w="2520"/>
          </w:tcPr>
          <w:p>
            <w:r>
              <w:t>215</w:t>
            </w:r>
          </w:p>
        </w:tc>
        <w:tc>
          <w:tcPr>
            <w:tcW w:type="dxa" w:w="2520"/>
          </w:tcPr>
          <w:p>
            <w:r>
              <w:t>0.666</w:t>
            </w:r>
          </w:p>
        </w:tc>
        <w:tc>
          <w:tcPr>
            <w:tcW w:type="dxa" w:w="2520"/>
          </w:tcPr>
          <w:p>
            <w:r>
              <w:t>1.267</w:t>
            </w:r>
          </w:p>
        </w:tc>
      </w:tr>
      <w:tr>
        <w:tc>
          <w:tcPr>
            <w:tcW w:type="dxa" w:w="2520"/>
          </w:tcPr>
          <w:p>
            <w:r>
              <w:t>Construccion</w:t>
            </w:r>
          </w:p>
        </w:tc>
        <w:tc>
          <w:tcPr>
            <w:tcW w:type="dxa" w:w="2520"/>
          </w:tcPr>
          <w:p>
            <w:r>
              <w:t>181</w:t>
            </w:r>
          </w:p>
        </w:tc>
        <w:tc>
          <w:tcPr>
            <w:tcW w:type="dxa" w:w="2520"/>
          </w:tcPr>
          <w:p>
            <w:r>
              <w:t>0.563</w:t>
            </w:r>
          </w:p>
        </w:tc>
        <w:tc>
          <w:tcPr>
            <w:tcW w:type="dxa" w:w="2520"/>
          </w:tcPr>
          <w:p>
            <w:r>
              <w:t>2.418</w:t>
            </w:r>
          </w:p>
        </w:tc>
      </w:tr>
      <w:tr>
        <w:tc>
          <w:tcPr>
            <w:tcW w:type="dxa" w:w="2520"/>
          </w:tcPr>
          <w:p>
            <w:r>
              <w:t>Comercio</w:t>
            </w:r>
          </w:p>
        </w:tc>
        <w:tc>
          <w:tcPr>
            <w:tcW w:type="dxa" w:w="2520"/>
          </w:tcPr>
          <w:p>
            <w:r>
              <w:t>74</w:t>
            </w:r>
          </w:p>
        </w:tc>
        <w:tc>
          <w:tcPr>
            <w:tcW w:type="dxa" w:w="2520"/>
          </w:tcPr>
          <w:p>
            <w:r>
              <w:t>0.499</w:t>
            </w:r>
          </w:p>
        </w:tc>
        <w:tc>
          <w:tcPr>
            <w:tcW w:type="dxa" w:w="2520"/>
          </w:tcPr>
          <w:p>
            <w:r>
              <w:t>3.015</w:t>
            </w:r>
          </w:p>
        </w:tc>
      </w:tr>
      <w:tr>
        <w:tc>
          <w:tcPr>
            <w:tcW w:type="dxa" w:w="2520"/>
          </w:tcPr>
          <w:p>
            <w:r>
              <w:t>Servicios</w:t>
            </w:r>
          </w:p>
        </w:tc>
        <w:tc>
          <w:tcPr>
            <w:tcW w:type="dxa" w:w="2520"/>
          </w:tcPr>
          <w:p>
            <w:r>
              <w:t>1,331</w:t>
            </w:r>
          </w:p>
        </w:tc>
        <w:tc>
          <w:tcPr>
            <w:tcW w:type="dxa" w:w="2520"/>
          </w:tcPr>
          <w:p>
            <w:r>
              <w:t>0.438</w:t>
            </w:r>
          </w:p>
        </w:tc>
        <w:tc>
          <w:tcPr>
            <w:tcW w:type="dxa" w:w="2520"/>
          </w:tcPr>
          <w:p>
            <w:r>
              <w:t>3.854</w:t>
            </w:r>
          </w:p>
        </w:tc>
      </w:tr>
      <w:tr>
        <w:tc>
          <w:tcPr>
            <w:tcW w:type="dxa" w:w="2520"/>
          </w:tcPr>
          <w:p>
            <w:r>
              <w:t>Educacion</w:t>
            </w:r>
          </w:p>
        </w:tc>
        <w:tc>
          <w:tcPr>
            <w:tcW w:type="dxa" w:w="2520"/>
          </w:tcPr>
          <w:p>
            <w:r>
              <w:t>109</w:t>
            </w:r>
          </w:p>
        </w:tc>
        <w:tc>
          <w:tcPr>
            <w:tcW w:type="dxa" w:w="2520"/>
          </w:tcPr>
          <w:p>
            <w:r>
              <w:t>0.322</w:t>
            </w:r>
          </w:p>
        </w:tc>
        <w:tc>
          <w:tcPr>
            <w:tcW w:type="dxa" w:w="2520"/>
          </w:tcPr>
          <w:p>
            <w:r>
              <w:t>4.830</w:t>
            </w:r>
          </w:p>
        </w:tc>
      </w:tr>
      <w:tr>
        <w:tc>
          <w:tcPr>
            <w:tcW w:type="dxa" w:w="2520"/>
          </w:tcPr>
          <w:p>
            <w:r>
              <w:t>Salud</w:t>
            </w:r>
          </w:p>
        </w:tc>
        <w:tc>
          <w:tcPr>
            <w:tcW w:type="dxa" w:w="2520"/>
          </w:tcPr>
          <w:p>
            <w:r>
              <w:t>32</w:t>
            </w:r>
          </w:p>
        </w:tc>
        <w:tc>
          <w:tcPr>
            <w:tcW w:type="dxa" w:w="2520"/>
          </w:tcPr>
          <w:p>
            <w:r>
              <w:t>0.235</w:t>
            </w:r>
          </w:p>
        </w:tc>
        <w:tc>
          <w:tcPr>
            <w:tcW w:type="dxa" w:w="2520"/>
          </w:tcPr>
          <w:p>
            <w:r>
              <w:t>1.393</w:t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D48C00"/>
          <w:sz w:val="24"/>
        </w:rPr>
        <w:t>3.4 Vista analitica: vista_riesgo_jalisco</w:t>
      </w:r>
    </w:p>
    <w:p>
      <w:pPr>
        <w:spacing w:after="120"/>
      </w:pPr>
      <w:r>
        <w:t>La vista implementa un CTE (sector_factors) que aplica ajustes contextuales al riesgo, RTI, demanda cognitiva e interaccion social por sector. El mismo grupo SINCO tiene distinto perfil segun el contexto sectorial: un artesano en manufactura enfrenta mas rutinizacion que uno en servicios. Adicionalmente integra micro-ajustes por nivel educativo e ingreso (trabajadores con menor escolaridad y menor ingreso reciben incremento marginal). Incluye campo calculado riesgo_categoria (Alto/Medio/Bajo) via CASE WHEN con umbrales 0.70 y 0.40, e IRA como indicador de incentivo economico.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4. Etapa Orange Data Mining: 3 Flujos</w:t>
      </w:r>
    </w:p>
    <w:p>
      <w:pPr>
        <w:spacing w:after="120"/>
      </w:pPr>
      <w:r>
        <w:t>Orange Data Mining 3 se conecto directamente a la vista vista_riesgo_jalisco en la base de datos ai_automation_risk_jalisco mediante el widget SQL Table (ODBC Driver 17 for SQL Server, Windows Authentication).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4.1 Flujo 1 — Analisis Exploratorio y Distribuciones</w:t>
      </w:r>
    </w:p>
    <w:p>
      <w:pPr>
        <w:pStyle w:val="ListBullet"/>
      </w:pPr>
      <w:r>
        <w:t>Widgets: SQL Table → Data Table → Feature Statistics → Distributions → Box Plot → Scatter Plot</w:t>
      </w:r>
    </w:p>
    <w:p>
      <w:pPr>
        <w:pStyle w:val="ListBullet"/>
      </w:pPr>
      <w:r>
        <w:t>Hallazgo: distribucion de automation_risk aproximadamente bimodal. Manufactura y Agricultura concentran scores altos (0.65-0.76); Educacion y Salud concentran scores bajos (0.23-0.32).</w:t>
      </w:r>
    </w:p>
    <w:p>
      <w:pPr>
        <w:pStyle w:val="ListBullet"/>
      </w:pPr>
      <w:r>
        <w:t>Box Plot por nivel educativo: escolaridad=1 (sin escolaridad) riesgo ~0.65 vs escolaridad=6 (posgrado) riesgo ~0.28 — educacion como factor protector.</w:t>
      </w:r>
    </w:p>
    <w:p>
      <w:pPr>
        <w:pStyle w:val="ListBullet"/>
      </w:pPr>
      <w:r>
        <w:t>Scatter Plot ingreso vs riesgo: relacion inversa visible, mayor dispersion en ingresos bajos.</w:t>
      </w:r>
    </w:p>
    <w:p>
      <w:pPr>
        <w:spacing w:after="120"/>
      </w:pPr>
      <w:r>
        <w:t>[Insertar capturas: histograma de automation_risk, box plot por escolaridad, scatter ingreso-riesgo]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4.2 Flujo 2 — Correlaciones y Agrupaciones</w:t>
      </w:r>
    </w:p>
    <w:p>
      <w:pPr>
        <w:pStyle w:val="ListBullet"/>
      </w:pPr>
      <w:r>
        <w:t>Widgets: SQL Table → Correlations → Heat Map → k-Means (k=3 exploratorio) → Mosaic Display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color w:val="1F497D"/>
              </w:rPr>
              <w:t>Variable</w:t>
            </w:r>
          </w:p>
        </w:tc>
        <w:tc>
          <w:tcPr>
            <w:tcW w:type="dxa" w:w="3360"/>
          </w:tcPr>
          <w:p>
            <w:r>
              <w:rPr>
                <w:b/>
                <w:color w:val="1F497D"/>
              </w:rPr>
              <w:t>r con automation_risk</w:t>
            </w:r>
          </w:p>
        </w:tc>
        <w:tc>
          <w:tcPr>
            <w:tcW w:type="dxa" w:w="3360"/>
          </w:tcPr>
          <w:p>
            <w:r>
              <w:rPr>
                <w:b/>
                <w:color w:val="1F497D"/>
              </w:rPr>
              <w:t>Interpretacion</w:t>
            </w:r>
          </w:p>
        </w:tc>
      </w:tr>
      <w:tr>
        <w:tc>
          <w:tcPr>
            <w:tcW w:type="dxa" w:w="3360"/>
          </w:tcPr>
          <w:p>
            <w:r>
              <w:t>rti</w:t>
            </w:r>
          </w:p>
        </w:tc>
        <w:tc>
          <w:tcPr>
            <w:tcW w:type="dxa" w:w="3360"/>
          </w:tcPr>
          <w:p>
            <w:r>
              <w:t>+0.85</w:t>
            </w:r>
          </w:p>
        </w:tc>
        <w:tc>
          <w:tcPr>
            <w:tcW w:type="dxa" w:w="3360"/>
          </w:tcPr>
          <w:p>
            <w:r>
              <w:t>Mayor rutinizacion = mayor riesgo (teorico y empirico)</w:t>
            </w:r>
          </w:p>
        </w:tc>
      </w:tr>
      <w:tr>
        <w:tc>
          <w:tcPr>
            <w:tcW w:type="dxa" w:w="3360"/>
          </w:tcPr>
          <w:p>
            <w:r>
              <w:t>cognitive_demand</w:t>
            </w:r>
          </w:p>
        </w:tc>
        <w:tc>
          <w:tcPr>
            <w:tcW w:type="dxa" w:w="3360"/>
          </w:tcPr>
          <w:p>
            <w:r>
              <w:t>-0.77</w:t>
            </w:r>
          </w:p>
        </w:tc>
        <w:tc>
          <w:tcPr>
            <w:tcW w:type="dxa" w:w="3360"/>
          </w:tcPr>
          <w:p>
            <w:r>
              <w:t>Mayor demanda cognitiva = menor riesgo</w:t>
            </w:r>
          </w:p>
        </w:tc>
      </w:tr>
      <w:tr>
        <w:tc>
          <w:tcPr>
            <w:tcW w:type="dxa" w:w="3360"/>
          </w:tcPr>
          <w:p>
            <w:r>
              <w:t>social_interaction</w:t>
            </w:r>
          </w:p>
        </w:tc>
        <w:tc>
          <w:tcPr>
            <w:tcW w:type="dxa" w:w="3360"/>
          </w:tcPr>
          <w:p>
            <w:r>
              <w:t>-0.76</w:t>
            </w:r>
          </w:p>
        </w:tc>
        <w:tc>
          <w:tcPr>
            <w:tcW w:type="dxa" w:w="3360"/>
          </w:tcPr>
          <w:p>
            <w:r>
              <w:t>Mayor interaccion social = menor riesgo</w:t>
            </w:r>
          </w:p>
        </w:tc>
      </w:tr>
      <w:tr>
        <w:tc>
          <w:tcPr>
            <w:tcW w:type="dxa" w:w="3360"/>
          </w:tcPr>
          <w:p>
            <w:r>
              <w:t>nivel_educativo</w:t>
            </w:r>
          </w:p>
        </w:tc>
        <w:tc>
          <w:tcPr>
            <w:tcW w:type="dxa" w:w="3360"/>
          </w:tcPr>
          <w:p>
            <w:r>
              <w:t>-0.35</w:t>
            </w:r>
          </w:p>
        </w:tc>
        <w:tc>
          <w:tcPr>
            <w:tcW w:type="dxa" w:w="3360"/>
          </w:tcPr>
          <w:p>
            <w:r>
              <w:t>Escolaridad como factor protector parcial</w:t>
            </w:r>
          </w:p>
        </w:tc>
      </w:tr>
      <w:tr>
        <w:tc>
          <w:tcPr>
            <w:tcW w:type="dxa" w:w="3360"/>
          </w:tcPr>
          <w:p>
            <w:r>
              <w:t>ingreso_mensual</w:t>
            </w:r>
          </w:p>
        </w:tc>
        <w:tc>
          <w:tcPr>
            <w:tcW w:type="dxa" w:w="3360"/>
          </w:tcPr>
          <w:p>
            <w:r>
              <w:t>-0.21</w:t>
            </w:r>
          </w:p>
        </w:tc>
        <w:tc>
          <w:tcPr>
            <w:tcW w:type="dxa" w:w="3360"/>
          </w:tcPr>
          <w:p>
            <w:r>
              <w:t>Mayor ingreso asociado a menor riesgo</w:t>
            </w:r>
          </w:p>
        </w:tc>
      </w:tr>
      <w:tr>
        <w:tc>
          <w:tcPr>
            <w:tcW w:type="dxa" w:w="3360"/>
          </w:tcPr>
          <w:p>
            <w:r>
              <w:t>ira</w:t>
            </w:r>
          </w:p>
        </w:tc>
        <w:tc>
          <w:tcPr>
            <w:tcW w:type="dxa" w:w="3360"/>
          </w:tcPr>
          <w:p>
            <w:r>
              <w:t>-0.40</w:t>
            </w:r>
          </w:p>
        </w:tc>
        <w:tc>
          <w:tcPr>
            <w:tcW w:type="dxa" w:w="3360"/>
          </w:tcPr>
          <w:p>
            <w:r>
              <w:t>IRA modera: alto incentivo en sectores manuales</w:t>
            </w:r>
          </w:p>
        </w:tc>
      </w:tr>
    </w:tbl>
    <w:p/>
    <w:p>
      <w:pPr>
        <w:pStyle w:val="ListBullet"/>
      </w:pPr>
      <w:r>
        <w:t>Mosaic Display formalidad × riesgo_categoria: informales concentran riesgo Alto.</w:t>
      </w:r>
    </w:p>
    <w:p>
      <w:pPr>
        <w:spacing w:after="120"/>
      </w:pPr>
      <w:r>
        <w:t>[Insertar capturas: mapa de correlaciones y Mosaic Display formalidad-riesgo]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4.3 Flujo 3 — Modelo Predictivo Visual</w:t>
      </w:r>
    </w:p>
    <w:p>
      <w:pPr>
        <w:pStyle w:val="ListBullet"/>
      </w:pPr>
      <w:r>
        <w:t>Widgets: Select Rows → Data Sampler (70/30) → Random Forest + Logistic Regression → Test and Score → Confusion Matrix → ROC Analysis</w:t>
      </w:r>
    </w:p>
    <w:p>
      <w:pPr>
        <w:pStyle w:val="ListBullet"/>
      </w:pPr>
      <w:r>
        <w:t>Variable objetivo: riesgo_categoria (Alto/Medio/Bajo) — clasificacion supervisada.</w:t>
      </w:r>
    </w:p>
    <w:p>
      <w:pPr>
        <w:pStyle w:val="ListBullet"/>
      </w:pPr>
      <w:r>
        <w:t>Comparacion de modelos: Random Forest vs Regresion Logistica en accuracy, F1, precision y recall.</w:t>
      </w:r>
    </w:p>
    <w:p>
      <w:pPr>
        <w:pStyle w:val="ListBullet"/>
      </w:pPr>
      <w:r>
        <w:t>ROC Analysis: curva AUC para clase Alto riesgo.</w:t>
      </w:r>
    </w:p>
    <w:p>
      <w:pPr>
        <w:pStyle w:val="ListBullet"/>
      </w:pPr>
      <w:r>
        <w:t>Confusion Matrix: errores concentrados entre categorias Medio y Alto (frontera borrosa).</w:t>
      </w:r>
    </w:p>
    <w:p>
      <w:pPr>
        <w:spacing w:after="120"/>
      </w:pPr>
      <w:r>
        <w:t>[Insertar capturas: Test and Score, Confusion Matrix y ROC Analysis]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5. Etapa Python: Machine Learning (07_ml_notebook.ipynb)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5.1 Conexion y carga de datos</w:t>
      </w:r>
    </w:p>
    <w:p>
      <w:pPr>
        <w:spacing w:after="120"/>
      </w:pPr>
      <w:r>
        <w:t>Conexion via SQLAlchemy con Windows Authentication a ai_automation_risk_jalisco. Se carga la vista completa: 2,000 registros, 16 columnas, 0 valores nulos.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5.2 Algoritmo Supervisado — Regresion Lineal Multiple (U3)</w:t>
      </w:r>
    </w:p>
    <w:p>
      <w:pPr>
        <w:spacing w:after="120"/>
      </w:pPr>
      <w:r>
        <w:t>Justificacion: automation_risk es variable continua (0-1), por lo que Regresion Lineal Multiple es el algoritmo apropiado de U3. Se usan exclusivamente variables ENOE + IRA como features para evitar data leakage (rti, cognitive_demand, etc. forman parte del calculo del target). Pregunta de tesis: ¿el perfil sociolaboral observable predice el riesgo?</w:t>
      </w:r>
    </w:p>
    <w:p>
      <w:pPr>
        <w:spacing w:after="120"/>
      </w:pPr>
      <w:r>
        <w:t>Preprocesamiento: StandardScaler (obligatorio para interpretar coeficientes). Division 70/30, random_state=42.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color w:val="1F497D"/>
              </w:rPr>
              <w:t>Metrica</w:t>
            </w:r>
          </w:p>
        </w:tc>
        <w:tc>
          <w:tcPr>
            <w:tcW w:type="dxa" w:w="3360"/>
          </w:tcPr>
          <w:p>
            <w:r>
              <w:rPr>
                <w:b/>
                <w:color w:val="1F497D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b/>
                <w:color w:val="1F497D"/>
              </w:rPr>
              <w:t>Interpretacion</w:t>
            </w:r>
          </w:p>
        </w:tc>
      </w:tr>
      <w:tr>
        <w:tc>
          <w:tcPr>
            <w:tcW w:type="dxa" w:w="3360"/>
          </w:tcPr>
          <w:p>
            <w:r>
              <w:t>R² Score</w:t>
            </w:r>
          </w:p>
        </w:tc>
        <w:tc>
          <w:tcPr>
            <w:tcW w:type="dxa" w:w="3360"/>
          </w:tcPr>
          <w:p>
            <w:r>
              <w:t>0.3618</w:t>
            </w:r>
          </w:p>
        </w:tc>
        <w:tc>
          <w:tcPr>
            <w:tcW w:type="dxa" w:w="3360"/>
          </w:tcPr>
          <w:p>
            <w:r>
              <w:t>El perfil ENOE explica el 36% de la varianza del riesgo</w:t>
            </w:r>
          </w:p>
        </w:tc>
      </w:tr>
      <w:tr>
        <w:tc>
          <w:tcPr>
            <w:tcW w:type="dxa" w:w="3360"/>
          </w:tcPr>
          <w:p>
            <w:r>
              <w:t>RMSE</w:t>
            </w:r>
          </w:p>
        </w:tc>
        <w:tc>
          <w:tcPr>
            <w:tcW w:type="dxa" w:w="3360"/>
          </w:tcPr>
          <w:p>
            <w:r>
              <w:t>0.1186</w:t>
            </w:r>
          </w:p>
        </w:tc>
        <w:tc>
          <w:tcPr>
            <w:tcW w:type="dxa" w:w="3360"/>
          </w:tcPr>
          <w:p>
            <w:r>
              <w:t>Error medio de 0.12 en escala 0-1</w:t>
            </w:r>
          </w:p>
        </w:tc>
      </w:tr>
      <w:tr>
        <w:tc>
          <w:tcPr>
            <w:tcW w:type="dxa" w:w="3360"/>
          </w:tcPr>
          <w:p>
            <w:r>
              <w:t>Particion</w:t>
            </w:r>
          </w:p>
        </w:tc>
        <w:tc>
          <w:tcPr>
            <w:tcW w:type="dxa" w:w="3360"/>
          </w:tcPr>
          <w:p>
            <w:r>
              <w:t>70/30</w:t>
            </w:r>
          </w:p>
        </w:tc>
        <w:tc>
          <w:tcPr>
            <w:tcW w:type="dxa" w:w="3360"/>
          </w:tcPr>
          <w:p>
            <w:r>
              <w:t>1,400 entrenamiento / 600 prueba</w:t>
            </w:r>
          </w:p>
        </w:tc>
      </w:tr>
      <w:tr>
        <w:tc>
          <w:tcPr>
            <w:tcW w:type="dxa" w:w="3360"/>
          </w:tcPr>
          <w:p>
            <w:r>
              <w:t>CV</w:t>
            </w:r>
          </w:p>
        </w:tc>
        <w:tc>
          <w:tcPr>
            <w:tcW w:type="dxa" w:w="3360"/>
          </w:tcPr>
          <w:p>
            <w:r>
              <w:t>5-fold</w:t>
            </w:r>
          </w:p>
        </w:tc>
        <w:tc>
          <w:tcPr>
            <w:tcW w:type="dxa" w:w="3360"/>
          </w:tcPr>
          <w:p>
            <w:r>
              <w:t>Curva de aprendizaje sin overfitting</w:t>
            </w:r>
          </w:p>
        </w:tc>
      </w:tr>
    </w:tbl>
    <w:p/>
    <w:p>
      <w:pPr>
        <w:spacing w:after="120"/>
      </w:pPr>
      <w:r>
        <w:t>El coeficiente mas influyente es sector_enc (el sector determina el contexto de rutinizacion), seguido de nivel_educativo (negativo — factor protector) e ira (negativo — mayor incentivo economico correlaciona con sectores manuales que invierten menos en capital humano). El 64% de varianza no explicada justifica agregar descriptores O*NET especificos en la Fase 2 de la tesis.</w:t>
      </w:r>
    </w:p>
    <w:p>
      <w:r>
        <w:drawing>
          <wp:inline xmlns:a="http://schemas.openxmlformats.org/drawingml/2006/main" xmlns:pic="http://schemas.openxmlformats.org/drawingml/2006/picture">
            <wp:extent cx="5040000" cy="1792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ion_lineal_resulta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1F497D"/>
          <w:sz w:val="18"/>
        </w:rPr>
        <w:t>Figura 1. Coeficientes estandarizados y predicciones vs valores reales (automation_risk).</w:t>
      </w:r>
    </w:p>
    <w:p>
      <w:r>
        <w:drawing>
          <wp:inline xmlns:a="http://schemas.openxmlformats.org/drawingml/2006/main" xmlns:pic="http://schemas.openxmlformats.org/drawingml/2006/picture">
            <wp:extent cx="5040000" cy="24880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8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1F497D"/>
          <w:sz w:val="18"/>
        </w:rPr>
        <w:t>Figura 2. Curva de aprendizaje con validacion cruzada 5-fold — sin overfitting.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5.3 IRA — Incentivo Economico de la Automatizacion</w:t>
      </w:r>
    </w:p>
    <w:p>
      <w:pPr>
        <w:spacing w:after="120"/>
      </w:pPr>
      <w:r>
        <w:t>IRA = ingocup × 12 / activo_fijo_amortizado_5_anios (por sector SCIAN). Fuente del denominador: Censos Economicos INEGI 2019 (valores de referencia por sector). IRA &gt; 1 indica que el salario anual supera el costo de automatizar — existe incentivo economico real para sustituir al trabajador. El 96% de trabajadores en la muestra tiene IRA &gt; 1.</w:t>
      </w:r>
    </w:p>
    <w:p>
      <w:pPr>
        <w:spacing w:after="120"/>
      </w:pPr>
      <w:r>
        <w:t>La paradoja de la agricultura: Agricultura tiene el mayor IRA (5.07) y el mayor riesgo tecnico (0.758), pero sigue siendo predominantemente manual en Jalisco. Esto confirma H2: los costos de transaccion, la heterogeneidad del terreno y la falta de capital moderan la adopcion real de la automatizacion — la viabilidad tecnica y economica no es suficiente.</w:t>
      </w:r>
    </w:p>
    <w:p>
      <w:r>
        <w:drawing>
          <wp:inline xmlns:a="http://schemas.openxmlformats.org/drawingml/2006/main" xmlns:pic="http://schemas.openxmlformats.org/drawingml/2006/picture">
            <wp:extent cx="5040000" cy="17972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a_anali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1F497D"/>
          <w:sz w:val="18"/>
        </w:rPr>
        <w:t>Figura 3. IRA por sector y scatter IRA vs Riesgo Tecnico (paradoja agricola visible).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5.4 Algoritmo No Supervisado — K-Means (U4)</w:t>
      </w:r>
    </w:p>
    <w:p>
      <w:pPr>
        <w:spacing w:after="120"/>
      </w:pPr>
      <w:r>
        <w:t>Justificacion: K-Means segmenta trabajadores por perfil completo de riesgo sin etiquetas previas. Datos numericos continuos con grupos naturales esperados (Alto/Medio/Bajo riesgo). Escala obligatoria con StandardScaler.</w:t>
      </w:r>
    </w:p>
    <w:p>
      <w:r>
        <w:drawing>
          <wp:inline xmlns:a="http://schemas.openxmlformats.org/drawingml/2006/main" xmlns:pic="http://schemas.openxmlformats.org/drawingml/2006/picture">
            <wp:extent cx="5040000" cy="24880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elb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8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1F497D"/>
          <w:sz w:val="18"/>
        </w:rPr>
        <w:t>Figura 4. Diagrama de Codo — k=3 confirmado como numero optimo de clusters.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color w:val="1F497D"/>
              </w:rPr>
              <w:t>Cluster</w:t>
            </w:r>
          </w:p>
        </w:tc>
        <w:tc>
          <w:tcPr>
            <w:tcW w:type="dxa" w:w="1680"/>
          </w:tcPr>
          <w:p>
            <w:r>
              <w:rPr>
                <w:b/>
                <w:color w:val="1F497D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color w:val="1F497D"/>
              </w:rPr>
              <w:t>Riesgo Prom</w:t>
            </w:r>
          </w:p>
        </w:tc>
        <w:tc>
          <w:tcPr>
            <w:tcW w:type="dxa" w:w="1680"/>
          </w:tcPr>
          <w:p>
            <w:r>
              <w:rPr>
                <w:b/>
                <w:color w:val="1F497D"/>
              </w:rPr>
              <w:t>Ingreso Prom</w:t>
            </w:r>
          </w:p>
        </w:tc>
        <w:tc>
          <w:tcPr>
            <w:tcW w:type="dxa" w:w="1680"/>
          </w:tcPr>
          <w:p>
            <w:r>
              <w:rPr>
                <w:b/>
                <w:color w:val="1F497D"/>
              </w:rPr>
              <w:t>Educacion Prom</w:t>
            </w:r>
          </w:p>
        </w:tc>
        <w:tc>
          <w:tcPr>
            <w:tcW w:type="dxa" w:w="1680"/>
          </w:tcPr>
          <w:p>
            <w:r>
              <w:rPr>
                <w:b/>
                <w:color w:val="1F497D"/>
              </w:rPr>
              <w:t>IRA Prom</w:t>
            </w:r>
          </w:p>
        </w:tc>
      </w:tr>
      <w:tr>
        <w:tc>
          <w:tcPr>
            <w:tcW w:type="dxa" w:w="1680"/>
          </w:tcPr>
          <w:p>
            <w:r>
              <w:t>Riesgo Alto</w:t>
            </w:r>
          </w:p>
        </w:tc>
        <w:tc>
          <w:tcPr>
            <w:tcW w:type="dxa" w:w="1680"/>
          </w:tcPr>
          <w:p>
            <w:r>
              <w:t>521</w:t>
            </w:r>
          </w:p>
        </w:tc>
        <w:tc>
          <w:tcPr>
            <w:tcW w:type="dxa" w:w="1680"/>
          </w:tcPr>
          <w:p>
            <w:r>
              <w:t>0.650</w:t>
            </w:r>
          </w:p>
        </w:tc>
        <w:tc>
          <w:tcPr>
            <w:tcW w:type="dxa" w:w="1680"/>
          </w:tcPr>
          <w:p>
            <w:r>
              <w:t>$9,168</w:t>
            </w:r>
          </w:p>
        </w:tc>
        <w:tc>
          <w:tcPr>
            <w:tcW w:type="dxa" w:w="1680"/>
          </w:tcPr>
          <w:p>
            <w:r>
              <w:t>3.4</w:t>
            </w:r>
          </w:p>
        </w:tc>
        <w:tc>
          <w:tcPr>
            <w:tcW w:type="dxa" w:w="1680"/>
          </w:tcPr>
          <w:p>
            <w:r>
              <w:t>2.43</w:t>
            </w:r>
          </w:p>
        </w:tc>
      </w:tr>
      <w:tr>
        <w:tc>
          <w:tcPr>
            <w:tcW w:type="dxa" w:w="1680"/>
          </w:tcPr>
          <w:p>
            <w:r>
              <w:t>Riesgo Medio</w:t>
            </w:r>
          </w:p>
        </w:tc>
        <w:tc>
          <w:tcPr>
            <w:tcW w:type="dxa" w:w="1680"/>
          </w:tcPr>
          <w:p>
            <w:r>
              <w:t>1,264</w:t>
            </w:r>
          </w:p>
        </w:tc>
        <w:tc>
          <w:tcPr>
            <w:tcW w:type="dxa" w:w="1680"/>
          </w:tcPr>
          <w:p>
            <w:r>
              <w:t>0.454</w:t>
            </w:r>
          </w:p>
        </w:tc>
        <w:tc>
          <w:tcPr>
            <w:tcW w:type="dxa" w:w="1680"/>
          </w:tcPr>
          <w:p>
            <w:r>
              <w:t>$8,606</w:t>
            </w:r>
          </w:p>
        </w:tc>
        <w:tc>
          <w:tcPr>
            <w:tcW w:type="dxa" w:w="1680"/>
          </w:tcPr>
          <w:p>
            <w:r>
              <w:t>2.7</w:t>
            </w:r>
          </w:p>
        </w:tc>
        <w:tc>
          <w:tcPr>
            <w:tcW w:type="dxa" w:w="1680"/>
          </w:tcPr>
          <w:p>
            <w:r>
              <w:t>3.64</w:t>
            </w:r>
          </w:p>
        </w:tc>
      </w:tr>
      <w:tr>
        <w:tc>
          <w:tcPr>
            <w:tcW w:type="dxa" w:w="1680"/>
          </w:tcPr>
          <w:p>
            <w:r>
              <w:t>Riesgo Bajo</w:t>
            </w:r>
          </w:p>
        </w:tc>
        <w:tc>
          <w:tcPr>
            <w:tcW w:type="dxa" w:w="1680"/>
          </w:tcPr>
          <w:p>
            <w:r>
              <w:t>215</w:t>
            </w:r>
          </w:p>
        </w:tc>
        <w:tc>
          <w:tcPr>
            <w:tcW w:type="dxa" w:w="1680"/>
          </w:tcPr>
          <w:p>
            <w:r>
              <w:t>0.180</w:t>
            </w:r>
          </w:p>
        </w:tc>
        <w:tc>
          <w:tcPr>
            <w:tcW w:type="dxa" w:w="1680"/>
          </w:tcPr>
          <w:p>
            <w:r>
              <w:t>$12,249</w:t>
            </w:r>
          </w:p>
        </w:tc>
        <w:tc>
          <w:tcPr>
            <w:tcW w:type="dxa" w:w="1680"/>
          </w:tcPr>
          <w:p>
            <w:r>
              <w:t>4.6</w:t>
            </w:r>
          </w:p>
        </w:tc>
        <w:tc>
          <w:tcPr>
            <w:tcW w:type="dxa" w:w="1680"/>
          </w:tcPr>
          <w:p>
            <w:r>
              <w:t>4.91</w:t>
            </w:r>
          </w:p>
        </w:tc>
      </w:tr>
    </w:tbl>
    <w:p/>
    <w:p>
      <w:pPr>
        <w:spacing w:after="120"/>
      </w:pPr>
      <w:r>
        <w:t>Hallazgo critico: el Cluster Riesgo Medio concentra el 63% de los trabajadores (1,264 personas) con perfil administrativo/tecnico de Jalisco. Frey &amp; Osborne (2017) clasificaba estos perfiles como "seguros" por su componente cognitivo moderado. Sin embargo, los Large Language Models (GPT-4, Claude, Copilot) realizan exactamente esas tareas — motivando la Fase 2 de la tesis.</w:t>
      </w:r>
    </w:p>
    <w:p>
      <w:r>
        <w:drawing>
          <wp:inline xmlns:a="http://schemas.openxmlformats.org/drawingml/2006/main" xmlns:pic="http://schemas.openxmlformats.org/drawingml/2006/picture">
            <wp:extent cx="5040000" cy="17896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clusters_p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89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1F497D"/>
          <w:sz w:val="18"/>
        </w:rPr>
        <w:t>Figura 5. Proyeccion PCA de los 3 clusters (68.2% varianza explicada). Separacion clara entre Riesgo Bajo y Alto; Medio es la zona de mayor incertidumbre.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6. Discusion Integrada</w:t>
      </w:r>
    </w:p>
    <w:p>
      <w:pPr>
        <w:spacing w:after="120"/>
      </w:pPr>
      <w:r>
        <w:t>Cada etapa del pipeline responde una dimension distinta de la pregunta de investigacion: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color w:val="1F497D"/>
              </w:rPr>
              <w:t>Etapa</w:t>
            </w:r>
          </w:p>
        </w:tc>
        <w:tc>
          <w:tcPr>
            <w:tcW w:type="dxa" w:w="3360"/>
          </w:tcPr>
          <w:p>
            <w:r>
              <w:rPr>
                <w:b/>
                <w:color w:val="1F497D"/>
              </w:rPr>
              <w:t>Pregunta</w:t>
            </w:r>
          </w:p>
        </w:tc>
        <w:tc>
          <w:tcPr>
            <w:tcW w:type="dxa" w:w="3360"/>
          </w:tcPr>
          <w:p>
            <w:r>
              <w:rPr>
                <w:b/>
                <w:color w:val="1F497D"/>
              </w:rPr>
              <w:t>Hallazgo clave</w:t>
            </w:r>
          </w:p>
        </w:tc>
      </w:tr>
      <w:tr>
        <w:tc>
          <w:tcPr>
            <w:tcW w:type="dxa" w:w="3360"/>
          </w:tcPr>
          <w:p>
            <w:r>
              <w:t>SQL INNER JOIN</w:t>
            </w:r>
          </w:p>
        </w:tc>
        <w:tc>
          <w:tcPr>
            <w:tcW w:type="dxa" w:w="3360"/>
          </w:tcPr>
          <w:p>
            <w:r>
              <w:t>Cobertura O*NET</w:t>
            </w:r>
          </w:p>
        </w:tc>
        <w:tc>
          <w:tcPr>
            <w:tcW w:type="dxa" w:w="3360"/>
          </w:tcPr>
          <w:p>
            <w:r>
              <w:t>2,000 trab. mapeados; 18% informal sin crosswalk completo</w:t>
            </w:r>
          </w:p>
        </w:tc>
      </w:tr>
      <w:tr>
        <w:tc>
          <w:tcPr>
            <w:tcW w:type="dxa" w:w="3360"/>
          </w:tcPr>
          <w:p>
            <w:r>
              <w:t>SQL LEFT JOIN</w:t>
            </w:r>
          </w:p>
        </w:tc>
        <w:tc>
          <w:tcPr>
            <w:tcW w:type="dxa" w:w="3360"/>
          </w:tcPr>
          <w:p>
            <w:r>
              <w:t>Brechas de datos</w:t>
            </w:r>
          </w:p>
        </w:tc>
        <w:tc>
          <w:tcPr>
            <w:tcW w:type="dxa" w:w="3360"/>
          </w:tcPr>
          <w:p>
            <w:r>
              <w:t>Agropecuarios e informales sub-representados en O*NET</w:t>
            </w:r>
          </w:p>
        </w:tc>
      </w:tr>
      <w:tr>
        <w:tc>
          <w:tcPr>
            <w:tcW w:type="dxa" w:w="3360"/>
          </w:tcPr>
          <w:p>
            <w:r>
              <w:t>SQL GROUP BY</w:t>
            </w:r>
          </w:p>
        </w:tc>
        <w:tc>
          <w:tcPr>
            <w:tcW w:type="dxa" w:w="3360"/>
          </w:tcPr>
          <w:p>
            <w:r>
              <w:t>Riesgo por sector</w:t>
            </w:r>
          </w:p>
        </w:tc>
        <w:tc>
          <w:tcPr>
            <w:tcW w:type="dxa" w:w="3360"/>
          </w:tcPr>
          <w:p>
            <w:r>
              <w:t>Agri 0.758 &gt; Manuf 0.666 &gt; ... &gt; Salud 0.235</w:t>
            </w:r>
          </w:p>
        </w:tc>
      </w:tr>
      <w:tr>
        <w:tc>
          <w:tcPr>
            <w:tcW w:type="dxa" w:w="3360"/>
          </w:tcPr>
          <w:p>
            <w:r>
              <w:t>Orange Flujo 1</w:t>
            </w:r>
          </w:p>
        </w:tc>
        <w:tc>
          <w:tcPr>
            <w:tcW w:type="dxa" w:w="3360"/>
          </w:tcPr>
          <w:p>
            <w:r>
              <w:t>Distribucion y patrones</w:t>
            </w:r>
          </w:p>
        </w:tc>
        <w:tc>
          <w:tcPr>
            <w:tcW w:type="dxa" w:w="3360"/>
          </w:tcPr>
          <w:p>
            <w:r>
              <w:t>Bimodal; informalidad amplifica riesgo en todos los sectores</w:t>
            </w:r>
          </w:p>
        </w:tc>
      </w:tr>
      <w:tr>
        <w:tc>
          <w:tcPr>
            <w:tcW w:type="dxa" w:w="3360"/>
          </w:tcPr>
          <w:p>
            <w:r>
              <w:t>Orange Flujo 2</w:t>
            </w:r>
          </w:p>
        </w:tc>
        <w:tc>
          <w:tcPr>
            <w:tcW w:type="dxa" w:w="3360"/>
          </w:tcPr>
          <w:p>
            <w:r>
              <w:t>Correlaciones</w:t>
            </w:r>
          </w:p>
        </w:tc>
        <w:tc>
          <w:tcPr>
            <w:tcW w:type="dxa" w:w="3360"/>
          </w:tcPr>
          <w:p>
            <w:r>
              <w:t>RTI r=+0.85 | cognitivo r=-0.77 | social r=-0.76</w:t>
            </w:r>
          </w:p>
        </w:tc>
      </w:tr>
      <w:tr>
        <w:tc>
          <w:tcPr>
            <w:tcW w:type="dxa" w:w="3360"/>
          </w:tcPr>
          <w:p>
            <w:r>
              <w:t>Orange Flujo 3</w:t>
            </w:r>
          </w:p>
        </w:tc>
        <w:tc>
          <w:tcPr>
            <w:tcW w:type="dxa" w:w="3360"/>
          </w:tcPr>
          <w:p>
            <w:r>
              <w:t>Clasificacion visual</w:t>
            </w:r>
          </w:p>
        </w:tc>
        <w:tc>
          <w:tcPr>
            <w:tcW w:type="dxa" w:w="3360"/>
          </w:tcPr>
          <w:p>
            <w:r>
              <w:t>Random Forest clasifica Alto/Medio/Bajo con mayor precision</w:t>
            </w:r>
          </w:p>
        </w:tc>
      </w:tr>
      <w:tr>
        <w:tc>
          <w:tcPr>
            <w:tcW w:type="dxa" w:w="3360"/>
          </w:tcPr>
          <w:p>
            <w:r>
              <w:t>Reg. Lineal</w:t>
            </w:r>
          </w:p>
        </w:tc>
        <w:tc>
          <w:tcPr>
            <w:tcW w:type="dxa" w:w="3360"/>
          </w:tcPr>
          <w:p>
            <w:r>
              <w:t>Cuantificacion lineal</w:t>
            </w:r>
          </w:p>
        </w:tc>
        <w:tc>
          <w:tcPr>
            <w:tcW w:type="dxa" w:w="3360"/>
          </w:tcPr>
          <w:p>
            <w:r>
              <w:t>R²=0.36; sector y educacion son los predictores principales</w:t>
            </w:r>
          </w:p>
        </w:tc>
      </w:tr>
      <w:tr>
        <w:tc>
          <w:tcPr>
            <w:tcW w:type="dxa" w:w="3360"/>
          </w:tcPr>
          <w:p>
            <w:r>
              <w:t>K-Means</w:t>
            </w:r>
          </w:p>
        </w:tc>
        <w:tc>
          <w:tcPr>
            <w:tcW w:type="dxa" w:w="3360"/>
          </w:tcPr>
          <w:p>
            <w:r>
              <w:t>Segmentacion natural</w:t>
            </w:r>
          </w:p>
        </w:tc>
        <w:tc>
          <w:tcPr>
            <w:tcW w:type="dxa" w:w="3360"/>
          </w:tcPr>
          <w:p>
            <w:r>
              <w:t>Cluster Medio (63%) = nueva zona de riesgo por LLMs</w:t>
            </w:r>
          </w:p>
        </w:tc>
      </w:tr>
      <w:tr>
        <w:tc>
          <w:tcPr>
            <w:tcW w:type="dxa" w:w="3360"/>
          </w:tcPr>
          <w:p>
            <w:r>
              <w:t>IRA</w:t>
            </w:r>
          </w:p>
        </w:tc>
        <w:tc>
          <w:tcPr>
            <w:tcW w:type="dxa" w:w="3360"/>
          </w:tcPr>
          <w:p>
            <w:r>
              <w:t>Incentivo economico</w:t>
            </w:r>
          </w:p>
        </w:tc>
        <w:tc>
          <w:tcPr>
            <w:tcW w:type="dxa" w:w="3360"/>
          </w:tcPr>
          <w:p>
            <w:r>
              <w:t>Paradoja agricola: IRA=5.07 + riesgo=0.758, pero sigue manual</w:t>
            </w:r>
          </w:p>
        </w:tc>
      </w:tr>
    </w:tbl>
    <w:p/>
    <w:p>
      <w:pPr>
        <w:spacing w:after="120"/>
      </w:pPr>
      <w:r>
        <w:t>Los resultados convergen en tres conclusiones transversales: (1) el riesgo esta determinado principalmente por el tipo de tareas (RTI, demanda cognitiva), no solo por el sector economico; (2) la informalidad actua como amplificador del riesgo — los trabajadores informales tienen menor acceso a formacion y menor proteccion ante la sustitucion tecnologica; (3) la brecha entre riesgo tecnico e incentivo economico (IRA) explica por que sectores teoricamente automatizables siguen siendo manuales en Jalisco.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7. Conclusiones y Trabajo Futuro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7.1 Que demuestra este proyecto</w:t>
      </w:r>
    </w:p>
    <w:p>
      <w:pPr>
        <w:pStyle w:val="ListBullet"/>
      </w:pPr>
      <w:r>
        <w:t>El pipeline SQL → Orange → Python es completamente funcional con datos reales de Jalisco.</w:t>
      </w:r>
    </w:p>
    <w:p>
      <w:pPr>
        <w:pStyle w:val="ListBullet"/>
      </w:pPr>
      <w:r>
        <w:t>La Regresion Lineal (R²=0.36) con variables ENOE establece el baseline del modelo M1 de la tesis.</w:t>
      </w:r>
    </w:p>
    <w:p>
      <w:pPr>
        <w:pStyle w:val="ListBullet"/>
      </w:pPr>
      <w:r>
        <w:t>K-Means identifica 3 grupos accionables: el Cluster Medio (63%) es la nueva zona de riesgo ante LLMs.</w:t>
      </w:r>
    </w:p>
    <w:p>
      <w:pPr>
        <w:pStyle w:val="ListBullet"/>
      </w:pPr>
      <w:r>
        <w:t>El IRA revela la paradoja agricola: maxima exposicion tecnica y economica, minima adopcion real.</w:t>
      </w:r>
    </w:p>
    <w:p>
      <w:pPr>
        <w:pStyle w:val="ListBullet"/>
      </w:pPr>
      <w:r>
        <w:t>O*NET 28.3 y ENOE Q3 2024 son integrables via crosswalk SINCO-ISCO-08 para politica laboral en Mexico.</w:t>
      </w:r>
    </w:p>
    <w:p>
      <w:pPr>
        <w:pStyle w:val="Heading2"/>
        <w:spacing w:before="240" w:after="80"/>
      </w:pPr>
      <w:r>
        <w:rPr>
          <w:b/>
          <w:color w:val="D48C00"/>
          <w:sz w:val="24"/>
        </w:rPr>
        <w:t>7.2 Fase 2 de la tesis (trabajo futuro)</w:t>
      </w:r>
    </w:p>
    <w:p>
      <w:pPr>
        <w:pStyle w:val="ListBullet"/>
      </w:pPr>
      <w:r>
        <w:t>Bloque 3 — LLM Exposure: agregar gpt_exposure_score (Eloundou et al., 2023), LTII y AIOE. Hipotesis H1: el Cluster Medio sube de categoria al incorporar exposicion especifica a LLMs.</w:t>
      </w:r>
    </w:p>
    <w:p>
      <w:pPr>
        <w:pStyle w:val="ListBullet"/>
      </w:pPr>
      <w:r>
        <w:t>Bloque 4 — IRA completo: integrar Censos Economicos INEGI 2019 con activo fijo real por sector. Hipotesis H2: IRA predice adopcion real independientemente del riesgo tecnico.</w:t>
      </w:r>
    </w:p>
    <w:p>
      <w:pPr>
        <w:pStyle w:val="ListBullet"/>
      </w:pPr>
      <w:r>
        <w:t>Regresion jerarquica por bloques (M1→M4) con F-test incremental y SHAP values para comparar importancia de variables entre fases.</w:t>
      </w:r>
    </w:p>
    <w:p>
      <w:pPr>
        <w:pStyle w:val="ListBullet"/>
      </w:pPr>
      <w:r>
        <w:t>Validacion estadistica: Ramsey RESET, VIF para multicolinealidad, GAM para relacion no lineal IRA-riesgo.</w:t>
      </w:r>
    </w:p>
    <w:p>
      <w:r>
        <w:br w:type="page"/>
      </w:r>
    </w:p>
    <w:p>
      <w:pPr>
        <w:pStyle w:val="Heading1"/>
        <w:spacing w:before="240" w:after="80"/>
      </w:pPr>
      <w:r>
        <w:rPr>
          <w:b/>
          <w:color w:val="1F497D"/>
          <w:sz w:val="28"/>
        </w:rPr>
        <w:t>8. Referencias</w:t>
      </w:r>
    </w:p>
    <w:p>
      <w:pPr>
        <w:spacing w:after="120"/>
        <w:ind w:left="567" w:hanging="567"/>
      </w:pPr>
      <w:r>
        <w:t>Acemoglu, D., &amp; Restrepo, P. (2018). The race between man and machine: Implications of technology for growth, factor shares, and employment. American Economic Review, 108(6), 1488-1542. https://doi.org/10.1257/aer.20160696</w:t>
      </w:r>
    </w:p>
    <w:p>
      <w:pPr>
        <w:spacing w:after="120"/>
        <w:ind w:left="567" w:hanging="567"/>
      </w:pPr>
      <w:r>
        <w:t>Autor, D. H., Levy, F., &amp; Murnane, R. J. (2003). The skill content of recent technological change: An empirical exploration. Quarterly Journal of Economics, 118(4), 1279-1333. https://doi.org/10.1162/003355303322552801</w:t>
      </w:r>
    </w:p>
    <w:p>
      <w:pPr>
        <w:spacing w:after="120"/>
        <w:ind w:left="567" w:hanging="567"/>
      </w:pPr>
      <w:r>
        <w:t>Eloundou, T., Manning, S., Mishkin, P., &amp; Rock, D. (2023). GPTs are GPTs: An early look at the labor market impact potential of large language models. arXiv preprint arXiv:2303.10130.</w:t>
      </w:r>
    </w:p>
    <w:p>
      <w:pPr>
        <w:spacing w:after="120"/>
        <w:ind w:left="567" w:hanging="567"/>
      </w:pPr>
      <w:r>
        <w:t>Felten, E. W., Raj, M., &amp; Seamans, R. (2023). How will language modelers like ChatGPT affect occupations and industries? SSRN Working Paper. https://doi.org/10.2139/ssrn.4375268</w:t>
      </w:r>
    </w:p>
    <w:p>
      <w:pPr>
        <w:spacing w:after="120"/>
        <w:ind w:left="567" w:hanging="567"/>
      </w:pPr>
      <w:r>
        <w:t>Frey, C. B., &amp; Osborne, M. A. (2017). The future of employment: How susceptible are jobs to computerisation? Technological Forecasting and Social Change, 114, 254-280. https://doi.org/10.1016/j.techfore.2016.08.019</w:t>
      </w:r>
    </w:p>
    <w:p>
      <w:pPr>
        <w:spacing w:after="120"/>
        <w:ind w:left="567" w:hanging="567"/>
      </w:pPr>
      <w:r>
        <w:t>INEGI. (2024). Encuesta Nacional de Ocupacion y Empleo (ENOE), tercer trimestre 2024. Instituto Nacional de Estadistica y Geografia. https://www.inegi.org.mx/programas/enoe/15ymas/</w:t>
      </w:r>
    </w:p>
    <w:p>
      <w:pPr>
        <w:spacing w:after="120"/>
        <w:ind w:left="567" w:hanging="567"/>
      </w:pPr>
      <w:r>
        <w:t>U.S. Department of Labor. (2024). O*NET Database 28.3. National Center for O*NET Development. https://www.onetcenter.org/database.html</w:t>
      </w:r>
    </w:p>
    <w:sectPr w:rsidR="00AF3200" w:rsidRPr="00007695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7530049">
    <w:abstractNumId w:val="8"/>
  </w:num>
  <w:num w:numId="2" w16cid:durableId="1310212181">
    <w:abstractNumId w:val="6"/>
  </w:num>
  <w:num w:numId="3" w16cid:durableId="558058756">
    <w:abstractNumId w:val="5"/>
  </w:num>
  <w:num w:numId="4" w16cid:durableId="489903587">
    <w:abstractNumId w:val="4"/>
  </w:num>
  <w:num w:numId="5" w16cid:durableId="1102262365">
    <w:abstractNumId w:val="7"/>
  </w:num>
  <w:num w:numId="6" w16cid:durableId="989672095">
    <w:abstractNumId w:val="3"/>
  </w:num>
  <w:num w:numId="7" w16cid:durableId="1585993332">
    <w:abstractNumId w:val="2"/>
  </w:num>
  <w:num w:numId="8" w16cid:durableId="2106534006">
    <w:abstractNumId w:val="1"/>
  </w:num>
  <w:num w:numId="9" w16cid:durableId="1420712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695"/>
    <w:rsid w:val="00034616"/>
    <w:rsid w:val="0006063C"/>
    <w:rsid w:val="0015074B"/>
    <w:rsid w:val="0029639D"/>
    <w:rsid w:val="00326F90"/>
    <w:rsid w:val="009E558E"/>
    <w:rsid w:val="00AA1D8D"/>
    <w:rsid w:val="00AF3200"/>
    <w:rsid w:val="00B47730"/>
    <w:rsid w:val="00CB0664"/>
    <w:rsid w:val="00FC693F"/>
    <w:rsid w:val="00FE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68670E"/>
  <w14:defaultImageDpi w14:val="300"/>
  <w15:docId w15:val="{D823B7BF-B6F4-4107-8632-C84224FD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Pulido Rosas</cp:lastModifiedBy>
  <cp:revision>2</cp:revision>
  <dcterms:created xsi:type="dcterms:W3CDTF">2026-04-13T08:30:00Z</dcterms:created>
  <dcterms:modified xsi:type="dcterms:W3CDTF">2026-04-13T08:30:00Z</dcterms:modified>
  <cp:category/>
</cp:coreProperties>
</file>