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CONTRATO DE PRESTACIÓN DE SERVICIOS DE DESARROLLO DE SOFTWARE</w:t>
      </w:r>
    </w:p>
    <w:p>
      <w:pPr>
        <w:spacing w:after="300"/>
        <w:jc w:val="center"/>
      </w:pPr>
      <w:r>
        <w:rPr>
          <w:i/>
          <w:iCs/>
          <w:color w:val="555555"/>
          <w:sz w:val="20"/>
          <w:szCs w:val="20"/>
        </w:rPr>
        <w:t xml:space="preserve">Proyecto: Plataforma de Inglés — Fase 1 (MVP1)</w:t>
      </w:r>
    </w:p>
    <w:p>
      <w:pPr>
        <w:spacing w:after="160" w:line="276"/>
        <w:jc w:val="both"/>
      </w:pPr>
      <w:r>
        <w:t xml:space="preserve">En la ciudad de </w:t>
      </w:r>
      <w:r>
        <w:rPr>
          <w:b/>
          <w:bCs/>
        </w:rPr>
        <w:t xml:space="preserve">[CIUDAD, PROVINCIA]</w:t>
      </w:r>
      <w:r>
        <w:t xml:space="preserve">, República Dominicana, a los </w:t>
      </w:r>
      <w:r>
        <w:rPr>
          <w:b/>
          <w:bCs/>
        </w:rPr>
        <w:t xml:space="preserve">9 días del mes de agosto del año 2026</w:t>
      </w:r>
      <w:r>
        <w:t xml:space="preserve">, las partes que se identifican a continuación suscriben el presente </w:t>
      </w:r>
      <w:r>
        <w:rPr>
          <w:b/>
          <w:bCs/>
        </w:rPr>
        <w:t xml:space="preserve">Contrato de Prestación de Servicios de Desarrollo de Software</w:t>
      </w:r>
      <w:r>
        <w:t xml:space="preserve"> (en adelante, el "Contrato"), el cual se regirá por las cláusulas siguientes:</w:t>
      </w:r>
    </w:p>
    <w:p>
      <w:pPr>
        <w:pStyle w:val="Heading1"/>
        <w:spacing w:after="160" w:before="320"/>
      </w:pPr>
      <w:r>
        <w:rPr>
          <w:b/>
          <w:bCs/>
          <w:color w:val="1a1a1a"/>
          <w:sz w:val="24"/>
          <w:szCs w:val="24"/>
        </w:rPr>
        <w:t xml:space="preserve">I. PARTES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shd w:fill="F2F2F2" w:val="clear"/>
            <w:tcMar>
              <w:top w:type="dxa" w:w="100"/>
              <w:left w:type="dxa" w:w="120"/>
              <w:bottom w:type="dxa" w:w="100"/>
              <w:right w:type="dxa" w:w="120"/>
            </w:tcMar>
          </w:tcPr>
          <w:p>
            <w:r>
              <w:rPr>
                <w:b/>
                <w:bCs/>
                <w:sz w:val="20"/>
                <w:szCs w:val="20"/>
              </w:rPr>
              <w:t xml:space="preserve">EL DESARROLLADOR</w:t>
            </w:r>
          </w:p>
        </w:tc>
        <w:tc>
          <w:tcPr>
            <w:tcW w:type="dxa" w:w="6250"/>
            <w:tcMar>
              <w:top w:type="dxa" w:w="100"/>
              <w:left w:type="dxa" w:w="120"/>
              <w:bottom w:type="dxa" w:w="100"/>
              <w:right w:type="dxa" w:w="120"/>
            </w:tcMar>
          </w:tcPr>
          <w:p>
            <w:r>
              <w:rPr>
                <w:sz w:val="20"/>
                <w:szCs w:val="20"/>
              </w:rPr>
              <w:t xml:space="preserve">Yulian Jassiel Carrasco Portorreal, dominicano, mayor de edad, titular de la cédula de identidad y electoral No. 402-3006413-7, teléfono 829-678-1762, con domicilio en [DIRECCIÓN], quien actúa por sí mismo en su condición de prestador de servicios independiente, y en lo adelante se denominará "EL DESARROLLADOR".</w:t>
            </w:r>
          </w:p>
        </w:tc>
      </w:tr>
      <w:tr>
        <w:tc>
          <w:tcPr>
            <w:tcW w:type="dxa" w:w="3100"/>
            <w:shd w:fill="F2F2F2" w:val="clear"/>
            <w:tcMar>
              <w:top w:type="dxa" w:w="100"/>
              <w:left w:type="dxa" w:w="120"/>
              <w:bottom w:type="dxa" w:w="100"/>
              <w:right w:type="dxa" w:w="120"/>
            </w:tcMar>
          </w:tcPr>
          <w:p>
            <w:r>
              <w:rPr>
                <w:b/>
                <w:bCs/>
                <w:sz w:val="20"/>
                <w:szCs w:val="20"/>
              </w:rPr>
              <w:t xml:space="preserve">EL CLIENTE</w:t>
            </w:r>
          </w:p>
        </w:tc>
        <w:tc>
          <w:tcPr>
            <w:tcW w:type="dxa" w:w="6250"/>
            <w:tcMar>
              <w:top w:type="dxa" w:w="100"/>
              <w:left w:type="dxa" w:w="120"/>
              <w:bottom w:type="dxa" w:w="100"/>
              <w:right w:type="dxa" w:w="120"/>
            </w:tcMar>
          </w:tcPr>
          <w:p>
            <w:r>
              <w:rPr>
                <w:sz w:val="20"/>
                <w:szCs w:val="20"/>
              </w:rPr>
              <w:t xml:space="preserve">Robertho [APELLIDO PENDIENTE], [dominicano(a) / sociedad constituida de conformidad con las leyes de la República Dominicana], titular de la cédula/RNC No. [CÉDULA O RNC PENDIENTE], teléfono +1 (809) 448-1355, con domicilio en [DIRECCIÓN], quien actúa [a título personal / representado(a) por [NOMBRE DEL REPRESENTANTE], en su calidad de [CARGO]], y en lo adelante se denominará "EL CLIENTE".</w:t>
            </w:r>
          </w:p>
        </w:tc>
      </w:tr>
    </w:tbl>
    <w:p>
      <w:pPr>
        <w:spacing w:after="160" w:before="120"/>
        <w:jc w:val="both"/>
      </w:pPr>
      <w:r>
        <w:rPr>
          <w:i/>
          <w:iCs/>
          <w:sz w:val="21"/>
          <w:szCs w:val="21"/>
        </w:rPr>
        <w:t xml:space="preserve">EL DESARROLLADOR y EL CLIENTE serán denominados conjuntamente como las "Partes" y, de forma individual, como una "Parte".</w:t>
      </w:r>
    </w:p>
    <w:p>
      <w:pPr>
        <w:pStyle w:val="Heading1"/>
        <w:spacing w:after="160" w:before="320"/>
      </w:pPr>
      <w:r>
        <w:rPr>
          <w:b/>
          <w:bCs/>
          <w:color w:val="1a1a1a"/>
          <w:sz w:val="24"/>
          <w:szCs w:val="24"/>
        </w:rPr>
        <w:t xml:space="preserve">II. OBJETO DEL CONTRATO</w:t>
      </w:r>
    </w:p>
    <w:p>
      <w:pPr>
        <w:spacing w:after="160" w:line="276"/>
        <w:jc w:val="both"/>
      </w:pPr>
      <w:r>
        <w:t xml:space="preserve">EL DESARROLLADOR se compromete a diseñar, desarrollar e implementar la Fase 1 (MVP1 — Panel Administrativo) de la plataforma web educativa "Plataforma de Inglés", conforme al alcance funcional descrito en la Cláusula III, en los términos, plazos y condiciones establecidos en el presente Contrato, de conformidad con el derecho común de los contratos previsto en los artículos 1101 y siguientes del Código Civil Dominicano, y bajo el principio de la autonomía de la voluntad de las partes contenido en el artículo 1134 del mismo Código.</w:t>
      </w:r>
    </w:p>
    <w:p>
      <w:pPr>
        <w:pStyle w:val="Heading1"/>
        <w:spacing w:after="160" w:before="320"/>
      </w:pPr>
      <w:r>
        <w:rPr>
          <w:b/>
          <w:bCs/>
          <w:color w:val="1a1a1a"/>
          <w:sz w:val="24"/>
          <w:szCs w:val="24"/>
        </w:rPr>
        <w:t xml:space="preserve">III. ALCANCE Y ETAPAS DEL PROYECTO</w:t>
      </w:r>
    </w:p>
    <w:p>
      <w:pPr>
        <w:spacing w:after="160" w:line="276"/>
        <w:jc w:val="both"/>
      </w:pPr>
      <w:r>
        <w:t xml:space="preserve">El proyecto "Plataforma de Inglés" se ha planificado en tres (3) fases o milestones de desarrollo, conforme al roadmap técnico acordado entre las Partes. El presente Contrato tiene por objeto exclusivamente la Fase 1 (MVP1). Las Fases 2 y 3 no forman parte del alcance ni de la contraprestación económica de este Contrato y quedan sujetas a acuerdo posterior entre las Partes, mediante adendum o nuevo contrato, en cuanto a alcance, plazo y precio.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400"/>
        <w:gridCol w:w="1250"/>
      </w:tblGrid>
      <w:tr>
        <w:tc>
          <w:tcPr>
            <w:tcW w:type="dxa" w:w="1500"/>
            <w:shd w:fill="2E4057" w:val="clear"/>
            <w:tcMar>
              <w:top w:type="dxa" w:w="100"/>
              <w:left w:type="dxa" w:w="100"/>
              <w:bottom w:type="dxa" w:w="100"/>
              <w:right w:type="dxa" w:w="100"/>
            </w:tcMar>
          </w:tcPr>
          <w:p>
            <w:r>
              <w:rPr>
                <w:b/>
                <w:bCs/>
                <w:color w:val="FFFFFF"/>
                <w:sz w:val="18"/>
                <w:szCs w:val="18"/>
              </w:rPr>
              <w:t xml:space="preserve">Fase</w:t>
            </w:r>
          </w:p>
        </w:tc>
        <w:tc>
          <w:tcPr>
            <w:tcW w:type="dxa" w:w="2200"/>
            <w:shd w:fill="2E4057" w:val="clear"/>
            <w:tcMar>
              <w:top w:type="dxa" w:w="100"/>
              <w:left w:type="dxa" w:w="100"/>
              <w:bottom w:type="dxa" w:w="100"/>
              <w:right w:type="dxa" w:w="100"/>
            </w:tcMar>
          </w:tcPr>
          <w:p>
            <w:r>
              <w:rPr>
                <w:b/>
                <w:bCs/>
                <w:color w:val="FFFFFF"/>
                <w:sz w:val="18"/>
                <w:szCs w:val="18"/>
              </w:rPr>
              <w:t xml:space="preserve">Nombre</w:t>
            </w:r>
          </w:p>
        </w:tc>
        <w:tc>
          <w:tcPr>
            <w:tcW w:type="dxa" w:w="4400"/>
            <w:shd w:fill="2E4057" w:val="clear"/>
            <w:tcMar>
              <w:top w:type="dxa" w:w="100"/>
              <w:left w:type="dxa" w:w="100"/>
              <w:bottom w:type="dxa" w:w="100"/>
              <w:right w:type="dxa" w:w="100"/>
            </w:tcMar>
          </w:tcPr>
          <w:p>
            <w:r>
              <w:rPr>
                <w:b/>
                <w:bCs/>
                <w:color w:val="FFFFFF"/>
                <w:sz w:val="18"/>
                <w:szCs w:val="18"/>
              </w:rPr>
              <w:t xml:space="preserve">Objetivo</w:t>
            </w:r>
          </w:p>
        </w:tc>
        <w:tc>
          <w:tcPr>
            <w:tcW w:type="dxa" w:w="1250"/>
            <w:shd w:fill="2E4057" w:val="clear"/>
            <w:tcMar>
              <w:top w:type="dxa" w:w="100"/>
              <w:left w:type="dxa" w:w="100"/>
              <w:bottom w:type="dxa" w:w="100"/>
              <w:right w:type="dxa" w:w="100"/>
            </w:tcMar>
          </w:tcPr>
          <w:p>
            <w:r>
              <w:rPr>
                <w:b/>
                <w:bCs/>
                <w:color w:val="FFFFFF"/>
                <w:sz w:val="18"/>
                <w:szCs w:val="18"/>
              </w:rPr>
              <w:t xml:space="preserve">Entrega</w:t>
            </w:r>
          </w:p>
        </w:tc>
      </w:tr>
      <w:tr>
        <w:tc>
          <w:tcPr>
            <w:tcW w:type="dxa" w:w="1500"/>
            <w:tcMar>
              <w:top w:type="dxa" w:w="100"/>
              <w:left w:type="dxa" w:w="100"/>
              <w:bottom w:type="dxa" w:w="100"/>
              <w:right w:type="dxa" w:w="100"/>
            </w:tcMar>
          </w:tcPr>
          <w:p>
            <w:r>
              <w:rPr>
                <w:sz w:val="18"/>
                <w:szCs w:val="18"/>
              </w:rPr>
              <w:t xml:space="preserve">Fase 1 (MVP1)</w:t>
            </w:r>
          </w:p>
        </w:tc>
        <w:tc>
          <w:tcPr>
            <w:tcW w:type="dxa" w:w="2200"/>
            <w:tcMar>
              <w:top w:type="dxa" w:w="100"/>
              <w:left w:type="dxa" w:w="100"/>
              <w:bottom w:type="dxa" w:w="100"/>
              <w:right w:type="dxa" w:w="100"/>
            </w:tcMar>
          </w:tcPr>
          <w:p>
            <w:r>
              <w:rPr>
                <w:sz w:val="18"/>
                <w:szCs w:val="18"/>
              </w:rPr>
              <w:t xml:space="preserve">Panel Administrativo</w:t>
            </w:r>
          </w:p>
        </w:tc>
        <w:tc>
          <w:tcPr>
            <w:tcW w:type="dxa" w:w="4400"/>
            <w:tcMar>
              <w:top w:type="dxa" w:w="100"/>
              <w:left w:type="dxa" w:w="100"/>
              <w:bottom w:type="dxa" w:w="100"/>
              <w:right w:type="dxa" w:w="100"/>
            </w:tcMar>
          </w:tcPr>
          <w:p>
            <w:r>
              <w:rPr>
                <w:sz w:val="18"/>
                <w:szCs w:val="18"/>
              </w:rPr>
              <w:t xml:space="preserve">El docente puede crear cursos reales con múltiples módulos, subir archivos/video, gestionar estudiantes y ver KPIs reales, corrigiendo los errores críticos identificados en la auditoría técnica.</w:t>
            </w:r>
          </w:p>
        </w:tc>
        <w:tc>
          <w:tcPr>
            <w:tcW w:type="dxa" w:w="1250"/>
            <w:tcMar>
              <w:top w:type="dxa" w:w="100"/>
              <w:left w:type="dxa" w:w="100"/>
              <w:bottom w:type="dxa" w:w="100"/>
              <w:right w:type="dxa" w:w="100"/>
            </w:tcMar>
          </w:tcPr>
          <w:p>
            <w:r>
              <w:rPr>
                <w:sz w:val="18"/>
                <w:szCs w:val="18"/>
              </w:rPr>
              <w:t xml:space="preserve">20 de agosto de 2026</w:t>
            </w:r>
          </w:p>
        </w:tc>
      </w:tr>
      <w:tr>
        <w:tc>
          <w:tcPr>
            <w:tcW w:type="dxa" w:w="1500"/>
            <w:tcMar>
              <w:top w:type="dxa" w:w="100"/>
              <w:left w:type="dxa" w:w="100"/>
              <w:bottom w:type="dxa" w:w="100"/>
              <w:right w:type="dxa" w:w="100"/>
            </w:tcMar>
          </w:tcPr>
          <w:p>
            <w:r>
              <w:rPr>
                <w:sz w:val="18"/>
                <w:szCs w:val="18"/>
              </w:rPr>
              <w:t xml:space="preserve">Fase 2 (MVP2)</w:t>
            </w:r>
          </w:p>
        </w:tc>
        <w:tc>
          <w:tcPr>
            <w:tcW w:type="dxa" w:w="2200"/>
            <w:tcMar>
              <w:top w:type="dxa" w:w="100"/>
              <w:left w:type="dxa" w:w="100"/>
              <w:bottom w:type="dxa" w:w="100"/>
              <w:right w:type="dxa" w:w="100"/>
            </w:tcMar>
          </w:tcPr>
          <w:p>
            <w:r>
              <w:rPr>
                <w:sz w:val="18"/>
                <w:szCs w:val="18"/>
              </w:rPr>
              <w:t xml:space="preserve">Experiencia del Estudiante</w:t>
            </w:r>
          </w:p>
        </w:tc>
        <w:tc>
          <w:tcPr>
            <w:tcW w:type="dxa" w:w="4400"/>
            <w:tcMar>
              <w:top w:type="dxa" w:w="100"/>
              <w:left w:type="dxa" w:w="100"/>
              <w:bottom w:type="dxa" w:w="100"/>
              <w:right w:type="dxa" w:w="100"/>
            </w:tcMar>
          </w:tcPr>
          <w:p>
            <w:r>
              <w:rPr>
                <w:sz w:val="18"/>
                <w:szCs w:val="18"/>
              </w:rPr>
              <w:t xml:space="preserve">El estudiante puede completar cursos reales con video funcional, progreso real y navegación por módulo/lección.</w:t>
            </w:r>
          </w:p>
        </w:tc>
        <w:tc>
          <w:tcPr>
            <w:tcW w:type="dxa" w:w="1250"/>
            <w:tcMar>
              <w:top w:type="dxa" w:w="100"/>
              <w:left w:type="dxa" w:w="100"/>
              <w:bottom w:type="dxa" w:w="100"/>
              <w:right w:type="dxa" w:w="100"/>
            </w:tcMar>
          </w:tcPr>
          <w:p>
            <w:r>
              <w:rPr>
                <w:sz w:val="18"/>
                <w:szCs w:val="18"/>
              </w:rPr>
              <w:t xml:space="preserve">Pendiente de acordar</w:t>
            </w:r>
          </w:p>
        </w:tc>
      </w:tr>
      <w:tr>
        <w:tc>
          <w:tcPr>
            <w:tcW w:type="dxa" w:w="1500"/>
            <w:tcMar>
              <w:top w:type="dxa" w:w="100"/>
              <w:left w:type="dxa" w:w="100"/>
              <w:bottom w:type="dxa" w:w="100"/>
              <w:right w:type="dxa" w:w="100"/>
            </w:tcMar>
          </w:tcPr>
          <w:p>
            <w:r>
              <w:rPr>
                <w:sz w:val="18"/>
                <w:szCs w:val="18"/>
              </w:rPr>
              <w:t xml:space="preserve">Fase 3 (MVP3)</w:t>
            </w:r>
          </w:p>
        </w:tc>
        <w:tc>
          <w:tcPr>
            <w:tcW w:type="dxa" w:w="2200"/>
            <w:tcMar>
              <w:top w:type="dxa" w:w="100"/>
              <w:left w:type="dxa" w:w="100"/>
              <w:bottom w:type="dxa" w:w="100"/>
              <w:right w:type="dxa" w:w="100"/>
            </w:tcMar>
          </w:tcPr>
          <w:p>
            <w:r>
              <w:rPr>
                <w:sz w:val="18"/>
                <w:szCs w:val="18"/>
              </w:rPr>
              <w:t xml:space="preserve">Modo Práctica</w:t>
            </w:r>
          </w:p>
        </w:tc>
        <w:tc>
          <w:tcPr>
            <w:tcW w:type="dxa" w:w="4400"/>
            <w:tcMar>
              <w:top w:type="dxa" w:w="100"/>
              <w:left w:type="dxa" w:w="100"/>
              <w:bottom w:type="dxa" w:w="100"/>
              <w:right w:type="dxa" w:w="100"/>
            </w:tcMar>
          </w:tcPr>
          <w:p>
            <w:r>
              <w:rPr>
                <w:sz w:val="18"/>
                <w:szCs w:val="18"/>
              </w:rPr>
              <w:t xml:space="preserve">Modo de práctica tipo juego de aprendizaje con progreso persistente, banco de preguntas real y sistema de vidas/XP/rachas funcional.</w:t>
            </w:r>
          </w:p>
        </w:tc>
        <w:tc>
          <w:tcPr>
            <w:tcW w:type="dxa" w:w="1250"/>
            <w:tcMar>
              <w:top w:type="dxa" w:w="100"/>
              <w:left w:type="dxa" w:w="100"/>
              <w:bottom w:type="dxa" w:w="100"/>
              <w:right w:type="dxa" w:w="100"/>
            </w:tcMar>
          </w:tcPr>
          <w:p>
            <w:r>
              <w:rPr>
                <w:sz w:val="18"/>
                <w:szCs w:val="18"/>
              </w:rPr>
              <w:t xml:space="preserve">Pendiente de acordar</w:t>
            </w:r>
          </w:p>
        </w:tc>
      </w:tr>
    </w:tbl>
    <w:p>
      <w:pPr>
        <w:spacing w:before="160"/>
        <w:jc w:val="both"/>
      </w:pPr>
      <w:r>
        <w:rPr>
          <w:sz w:val="21"/>
          <w:szCs w:val="21"/>
        </w:rPr>
        <w:t xml:space="preserve">La Fase 1 (MVP1) incluye, sin limitarse a, la corrección de los errores críticos y funcionalidades faltantes identificados en la auditoría técnica del proyecto (gestión de módulos por curso, subida de archivos, matrícula de estudiantes, persistencia de contenido y reportes, entre otros), de forma que el panel administrativo sea completamente funcional para el docente/administrador.</w:t>
      </w:r>
    </w:p>
    <w:p>
      <w:pPr>
        <w:pStyle w:val="Heading1"/>
        <w:spacing w:after="160" w:before="320"/>
      </w:pPr>
      <w:r>
        <w:rPr>
          <w:b/>
          <w:bCs/>
          <w:color w:val="1a1a1a"/>
          <w:sz w:val="24"/>
          <w:szCs w:val="24"/>
        </w:rPr>
        <w:t xml:space="preserve">IV. PLAZO DE ENTREGA</w:t>
      </w:r>
    </w:p>
    <w:p>
      <w:pPr>
        <w:spacing w:after="160" w:line="276"/>
        <w:jc w:val="both"/>
      </w:pPr>
      <w:r>
        <w:t xml:space="preserve">EL DESARROLLADOR se compromete a entregar la Fase 1 (MVP1) completamente funcional a más tardar el </w:t>
      </w:r>
      <w:r>
        <w:rPr>
          <w:b/>
          <w:bCs/>
        </w:rPr>
        <w:t xml:space="preserve">20 de agosto de 2026</w:t>
      </w:r>
      <w:r>
        <w:t xml:space="preserve">. Esta fecha aplica únicamente a la Fase 1. Los plazos de las Fases 2 y 3 se definirán y documentarán por separado una vez acordado su alcance.</w:t>
      </w:r>
    </w:p>
    <w:p>
      <w:pPr>
        <w:pStyle w:val="Heading1"/>
        <w:spacing w:after="160" w:before="320"/>
      </w:pPr>
      <w:r>
        <w:rPr>
          <w:b/>
          <w:bCs/>
          <w:color w:val="1a1a1a"/>
          <w:sz w:val="24"/>
          <w:szCs w:val="24"/>
        </w:rPr>
        <w:t xml:space="preserve">V. PRECIO Y FORMA DE PAGO</w:t>
      </w:r>
    </w:p>
    <w:p>
      <w:pPr>
        <w:spacing w:after="160" w:line="276"/>
        <w:jc w:val="both"/>
      </w:pPr>
      <w:r>
        <w:t xml:space="preserve">EL CLIENTE pagará a EL DESARROLLADOR, como contraprestación única y total por la Fase 1 (MVP1), la suma de RD$30,000.00 (treinta mil pesos dominicanos con 00/100), distribuida de la siguiente manera: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2E4057" w:val="clear"/>
            <w:tcMar>
              <w:top w:type="dxa" w:w="100"/>
              <w:left w:type="dxa" w:w="120"/>
              <w:bottom w:type="dxa" w:w="100"/>
              <w:right w:type="dxa" w:w="120"/>
            </w:tcMar>
          </w:tcPr>
          <w:p>
            <w:r>
              <w:rPr>
                <w:b/>
                <w:bCs/>
                <w:color w:val="FFFFFF"/>
                <w:sz w:val="20"/>
                <w:szCs w:val="20"/>
              </w:rPr>
              <w:t xml:space="preserve">Concepto</w:t>
            </w:r>
          </w:p>
        </w:tc>
        <w:tc>
          <w:tcPr>
            <w:tcW w:type="dxa" w:w="3000"/>
            <w:shd w:fill="2E4057" w:val="clear"/>
            <w:tcMar>
              <w:top w:type="dxa" w:w="100"/>
              <w:left w:type="dxa" w:w="120"/>
              <w:bottom w:type="dxa" w:w="100"/>
              <w:right w:type="dxa" w:w="120"/>
            </w:tcMar>
          </w:tcPr>
          <w:p>
            <w:pPr>
              <w:jc w:val="right"/>
            </w:pPr>
            <w:r>
              <w:rPr>
                <w:b/>
                <w:bCs/>
                <w:color w:val="FFFFFF"/>
                <w:sz w:val="20"/>
                <w:szCs w:val="20"/>
              </w:rPr>
              <w:t xml:space="preserve">Monto (RD$)</w:t>
            </w:r>
          </w:p>
        </w:tc>
      </w:tr>
      <w:tr>
        <w:tc>
          <w:tcPr>
            <w:tcW w:type="dxa" w:w="6350"/>
            <w:tcMar>
              <w:top w:type="dxa" w:w="100"/>
              <w:left w:type="dxa" w:w="120"/>
              <w:bottom w:type="dxa" w:w="100"/>
              <w:right w:type="dxa" w:w="120"/>
            </w:tcMar>
          </w:tcPr>
          <w:p>
            <w:r>
              <w:rPr>
                <w:b w:val="false"/>
                <w:bCs w:val="false"/>
                <w:sz w:val="20"/>
                <w:szCs w:val="20"/>
              </w:rPr>
              <w:t xml:space="preserve">Precio total del proyecto (Fase 1 — MVP1)</w:t>
            </w:r>
          </w:p>
        </w:tc>
        <w:tc>
          <w:tcPr>
            <w:tcW w:type="dxa" w:w="3000"/>
            <w:tcMar>
              <w:top w:type="dxa" w:w="100"/>
              <w:left w:type="dxa" w:w="120"/>
              <w:bottom w:type="dxa" w:w="100"/>
              <w:right w:type="dxa" w:w="120"/>
            </w:tcMar>
          </w:tcPr>
          <w:p>
            <w:pPr>
              <w:jc w:val="right"/>
            </w:pPr>
            <w:r>
              <w:rPr>
                <w:b w:val="false"/>
                <w:bCs w:val="false"/>
                <w:sz w:val="20"/>
                <w:szCs w:val="20"/>
              </w:rPr>
              <w:t xml:space="preserve">RD$ 30,000.00</w:t>
            </w:r>
          </w:p>
        </w:tc>
      </w:tr>
      <w:tr>
        <w:tc>
          <w:tcPr>
            <w:tcW w:type="dxa" w:w="6350"/>
            <w:tcMar>
              <w:top w:type="dxa" w:w="100"/>
              <w:left w:type="dxa" w:w="120"/>
              <w:bottom w:type="dxa" w:w="100"/>
              <w:right w:type="dxa" w:w="120"/>
            </w:tcMar>
          </w:tcPr>
          <w:p>
            <w:r>
              <w:rPr>
                <w:b w:val="false"/>
                <w:bCs w:val="false"/>
                <w:sz w:val="20"/>
                <w:szCs w:val="20"/>
              </w:rPr>
              <w:t xml:space="preserve">Anticipo requerido al firmar (25%)</w:t>
            </w:r>
          </w:p>
        </w:tc>
        <w:tc>
          <w:tcPr>
            <w:tcW w:type="dxa" w:w="3000"/>
            <w:tcMar>
              <w:top w:type="dxa" w:w="100"/>
              <w:left w:type="dxa" w:w="120"/>
              <w:bottom w:type="dxa" w:w="100"/>
              <w:right w:type="dxa" w:w="120"/>
            </w:tcMar>
          </w:tcPr>
          <w:p>
            <w:pPr>
              <w:jc w:val="right"/>
            </w:pPr>
            <w:r>
              <w:rPr>
                <w:b w:val="false"/>
                <w:bCs w:val="false"/>
                <w:sz w:val="20"/>
                <w:szCs w:val="20"/>
              </w:rPr>
              <w:t xml:space="preserve">RD$ 7,500.00</w:t>
            </w:r>
          </w:p>
        </w:tc>
      </w:tr>
      <w:tr>
        <w:tc>
          <w:tcPr>
            <w:tcW w:type="dxa" w:w="6350"/>
            <w:tcMar>
              <w:top w:type="dxa" w:w="100"/>
              <w:left w:type="dxa" w:w="120"/>
              <w:bottom w:type="dxa" w:w="100"/>
              <w:right w:type="dxa" w:w="120"/>
            </w:tcMar>
          </w:tcPr>
          <w:p>
            <w:r>
              <w:rPr>
                <w:b/>
                <w:bCs/>
                <w:sz w:val="20"/>
                <w:szCs w:val="20"/>
              </w:rPr>
              <w:t xml:space="preserve">Saldo restante (75%) — condiciones de pago a definir</w:t>
            </w:r>
          </w:p>
        </w:tc>
        <w:tc>
          <w:tcPr>
            <w:tcW w:type="dxa" w:w="3000"/>
            <w:tcMar>
              <w:top w:type="dxa" w:w="100"/>
              <w:left w:type="dxa" w:w="120"/>
              <w:bottom w:type="dxa" w:w="100"/>
              <w:right w:type="dxa" w:w="120"/>
            </w:tcMar>
          </w:tcPr>
          <w:p>
            <w:pPr>
              <w:jc w:val="right"/>
            </w:pPr>
            <w:r>
              <w:rPr>
                <w:b/>
                <w:bCs/>
                <w:sz w:val="20"/>
                <w:szCs w:val="20"/>
              </w:rPr>
              <w:t xml:space="preserve">RD$ 22,500.00</w:t>
            </w:r>
          </w:p>
        </w:tc>
      </w:tr>
    </w:tbl>
    <w:p>
      <w:pPr>
        <w:spacing w:before="160"/>
        <w:jc w:val="both"/>
      </w:pPr>
      <w:r>
        <w:rPr>
          <w:sz w:val="21"/>
          <w:szCs w:val="21"/>
        </w:rPr>
        <w:t xml:space="preserve">El anticipo del 25% (RD$7,500.00) deberá ser pagado por EL CLIENTE a la firma del presente Contrato, como garantía de la colaboración y del compromiso de ambas Partes con el proyecto. Dicho anticipo no es reembolsable salvo incumplimiento imputable a EL DESARROLLADOR.</w:t>
      </w:r>
    </w:p>
    <w:p>
      <w:pPr>
        <w:spacing w:after="160" w:line="276"/>
        <w:jc w:val="both"/>
      </w:pPr>
      <w:r>
        <w:t xml:space="preserve">El método de pago (transferencia bancaria, efectivo u otro) y el calendario de pago del saldo restante (75%) quedan pendientes de acordar entre las Partes, y deberán documentarse por escrito (correo electrónico u otro medio que dé constancia, conforme al artículo 4 de la Ley No. 126-02 sobre Comercio Electrónico, Documentos y Firmas Digitales) antes de la entrega final de la Fase 1.</w:t>
      </w:r>
    </w:p>
    <w:p>
      <w:pPr>
        <w:pStyle w:val="Heading1"/>
        <w:spacing w:after="160" w:before="320"/>
      </w:pPr>
      <w:r>
        <w:rPr>
          <w:b/>
          <w:bCs/>
          <w:color w:val="1a1a1a"/>
          <w:sz w:val="24"/>
          <w:szCs w:val="24"/>
        </w:rPr>
        <w:t xml:space="preserve">VI. PROPIEDAD INTELECTUAL</w:t>
      </w:r>
    </w:p>
    <w:p>
      <w:pPr>
        <w:spacing w:after="160" w:line="276"/>
        <w:jc w:val="both"/>
      </w:pPr>
      <w:r>
        <w:t xml:space="preserve">Una vez efectuado el pago total correspondiente a la Fase 1, los derechos patrimoniales sobre el código fuente y demás entregables desarrollados específicamente para dicha fase serán transferidos a EL CLIENTE, de conformidad con la Ley No. 65-00 sobre Derecho de Autor de la República Dominicana. EL DESARROLLADOR conserva el derecho de utilizar herramientas, librerías, componentes genéricos y conocimientos propios (know-how) no exclusivos del proyecto.</w:t>
      </w:r>
    </w:p>
    <w:p>
      <w:pPr>
        <w:pStyle w:val="Heading1"/>
        <w:spacing w:after="160" w:before="320"/>
      </w:pPr>
      <w:r>
        <w:rPr>
          <w:b/>
          <w:bCs/>
          <w:color w:val="1a1a1a"/>
          <w:sz w:val="24"/>
          <w:szCs w:val="24"/>
        </w:rPr>
        <w:t xml:space="preserve">VII. CONFIDENCIALIDAD Y DATOS</w:t>
      </w:r>
    </w:p>
    <w:p>
      <w:pPr>
        <w:spacing w:after="160" w:line="276"/>
        <w:jc w:val="both"/>
      </w:pPr>
      <w:r>
        <w:t xml:space="preserve">Las Partes se obligan a mantener la confidencialidad de la información no pública intercambiada con motivo de este Contrato. En caso de que el desarrollo implique el tratamiento de datos personales de estudiantes o docentes, EL DESARROLLADOR se compromete a observar los principios de la Ley No. 172-13 que tiene por objeto la Protección Integral de los Datos Personales.</w:t>
      </w:r>
    </w:p>
    <w:p>
      <w:pPr>
        <w:pStyle w:val="Heading1"/>
        <w:spacing w:after="160" w:before="320"/>
      </w:pPr>
      <w:r>
        <w:rPr>
          <w:b/>
          <w:bCs/>
          <w:color w:val="1a1a1a"/>
          <w:sz w:val="24"/>
          <w:szCs w:val="24"/>
        </w:rPr>
        <w:t xml:space="preserve">VIII. NATURALEZA DE LA RELACIÓN</w:t>
      </w:r>
    </w:p>
    <w:p>
      <w:pPr>
        <w:spacing w:after="160" w:line="276"/>
        <w:jc w:val="both"/>
      </w:pPr>
      <w:r>
        <w:t xml:space="preserve">El presente Contrato constituye una prestación de servicios profesionales independiente. No genera relación de subordinación laboral entre las Partes, por lo que no le son aplicables las disposiciones del Código de Trabajo de la República Dominicana.</w:t>
      </w:r>
    </w:p>
    <w:p>
      <w:pPr>
        <w:pStyle w:val="Heading1"/>
        <w:spacing w:after="160" w:before="320"/>
      </w:pPr>
      <w:r>
        <w:rPr>
          <w:b/>
          <w:bCs/>
          <w:color w:val="1a1a1a"/>
          <w:sz w:val="24"/>
          <w:szCs w:val="24"/>
        </w:rPr>
        <w:t xml:space="preserve">IX. MODIFICACIONES</w:t>
      </w:r>
    </w:p>
    <w:p>
      <w:pPr>
        <w:spacing w:after="160" w:line="276"/>
        <w:jc w:val="both"/>
      </w:pPr>
      <w:r>
        <w:t xml:space="preserve">Cualquier modificación al alcance, plazo o precio de la Fase 1, así como el acuerdo sobre las Fases 2 y 3, deberá constar por escrito y ser firmada por ambas Partes para tener validez.</w:t>
      </w:r>
    </w:p>
    <w:p>
      <w:pPr>
        <w:pStyle w:val="Heading1"/>
        <w:spacing w:after="160" w:before="320"/>
      </w:pPr>
      <w:r>
        <w:rPr>
          <w:b/>
          <w:bCs/>
          <w:color w:val="1a1a1a"/>
          <w:sz w:val="24"/>
          <w:szCs w:val="24"/>
        </w:rPr>
        <w:t xml:space="preserve">X. LEY APLICABLE Y SOLUCIÓN DE CONTROVERSIAS</w:t>
      </w:r>
    </w:p>
    <w:p>
      <w:pPr>
        <w:spacing w:after="160" w:line="276"/>
        <w:jc w:val="both"/>
      </w:pPr>
      <w:r>
        <w:t xml:space="preserve">El presente Contrato se regirá e interpretará de conformidad con las leyes de la República Dominicana. Cualquier controversia derivada de su interpretación o ejecución que no pueda resolverse amigablemente entre las Partes será sometida a los tribunales ordinarios competentes del Distrito Judicial de [PROVINCIA/CIUDAD].</w:t>
      </w:r>
    </w:p>
    <w:p>
      <w:pPr>
        <w:pStyle w:val="Heading1"/>
        <w:spacing w:after="160" w:before="320"/>
      </w:pPr>
      <w:r>
        <w:rPr>
          <w:b/>
          <w:bCs/>
          <w:color w:val="1a1a1a"/>
          <w:sz w:val="24"/>
          <w:szCs w:val="24"/>
        </w:rPr>
        <w:t xml:space="preserve">XI. ACEPTACIÓN</w:t>
      </w:r>
    </w:p>
    <w:p>
      <w:pPr>
        <w:spacing w:after="160" w:line="276"/>
        <w:jc w:val="both"/>
      </w:pPr>
      <w:r>
        <w:t xml:space="preserve">Las Partes declaran haber leído y comprendido íntegramente el contenido del presente Contrato y, en señal de conformidad, lo suscriben en dos (2) originales de un mismo tenor y a un solo efecto, en la fecha indicada en el encabezado.</w:t>
      </w:r>
    </w:p>
    <w:p>
      <w:pPr>
        <w:spacing w:before="600"/>
      </w:pPr>
    </w:p>
    <w:p>
      <w:pPr>
        <w:pBdr>
          <w:bottom w:val="single" w:color="999999" w:sz="6" w:space="1"/>
        </w:pBdr>
        <w:spacing w:after="24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4675"/>
        <w:gridCol w:w="4675"/>
      </w:tblGrid>
      <w:tr>
        <w:tc>
          <w:tcPr>
            <w:tcW w:type="dxa" w:w="4675"/>
            <w:tcMar>
              <w:top w:type="dxa" w:w="400"/>
              <w:left w:type="dxa" w:w="120"/>
              <w:right w:type="dxa" w:w="120"/>
            </w:tcMar>
          </w:tcPr>
          <w:p>
            <w:pPr>
              <w:pBdr>
                <w:top w:val="single" w:color="000000" w:sz="6" w:space="1"/>
              </w:pBdr>
              <w:spacing w:after="40"/>
            </w:pPr>
          </w:p>
          <w:p>
            <w:r>
              <w:rPr>
                <w:b/>
                <w:bCs/>
                <w:sz w:val="20"/>
                <w:szCs w:val="20"/>
              </w:rPr>
              <w:t xml:space="preserve">EL DESARROLLADOR</w:t>
            </w:r>
          </w:p>
          <w:p>
            <w:r>
              <w:rPr>
                <w:sz w:val="20"/>
                <w:szCs w:val="20"/>
              </w:rPr>
              <w:t xml:space="preserve">Yulian Jassiel Carrasco Portorreal</w:t>
            </w:r>
          </w:p>
          <w:p>
            <w:r>
              <w:rPr>
                <w:sz w:val="20"/>
                <w:szCs w:val="20"/>
              </w:rPr>
              <w:t xml:space="preserve">Cédula: 402-3006413-7</w:t>
            </w:r>
          </w:p>
          <w:p>
            <w:r>
              <w:rPr>
                <w:sz w:val="20"/>
                <w:szCs w:val="20"/>
              </w:rPr>
              <w:t xml:space="preserve">Tel: 829-678-1762</w:t>
            </w:r>
          </w:p>
        </w:tc>
        <w:tc>
          <w:tcPr>
            <w:tcW w:type="dxa" w:w="4675"/>
            <w:tcMar>
              <w:top w:type="dxa" w:w="400"/>
              <w:left w:type="dxa" w:w="120"/>
              <w:right w:type="dxa" w:w="120"/>
            </w:tcMar>
          </w:tcPr>
          <w:p>
            <w:pPr>
              <w:pBdr>
                <w:top w:val="single" w:color="000000" w:sz="6" w:space="1"/>
              </w:pBdr>
              <w:spacing w:after="40"/>
            </w:pPr>
          </w:p>
          <w:p>
            <w:r>
              <w:rPr>
                <w:b/>
                <w:bCs/>
                <w:sz w:val="20"/>
                <w:szCs w:val="20"/>
              </w:rPr>
              <w:t xml:space="preserve">EL CLIENTE</w:t>
            </w:r>
          </w:p>
          <w:p>
            <w:r>
              <w:rPr>
                <w:sz w:val="20"/>
                <w:szCs w:val="20"/>
              </w:rPr>
              <w:t xml:space="preserve">Robertho [APELLIDO PENDIENTE]</w:t>
            </w:r>
          </w:p>
          <w:p>
            <w:r>
              <w:rPr>
                <w:sz w:val="20"/>
                <w:szCs w:val="20"/>
              </w:rPr>
              <w:t xml:space="preserve">Cédula/RNC: [PENDIENTE]</w:t>
            </w:r>
          </w:p>
          <w:p>
            <w:r>
              <w:rPr>
                <w:sz w:val="20"/>
                <w:szCs w:val="20"/>
              </w:rPr>
              <w:t xml:space="preserve">Tel: +1 (809) 448-1355</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2026-08-07T20:23:58.341Z</dcterms:created>
  <dcterms:modified xsi:type="dcterms:W3CDTF">2026-08-07T20:23:58.342Z</dcterms:modified>
</cp:coreProperties>
</file>

<file path=docProps/custom.xml><?xml version="1.0" encoding="utf-8"?>
<Properties xmlns="http://schemas.openxmlformats.org/officeDocument/2006/custom-properties" xmlns:vt="http://schemas.openxmlformats.org/officeDocument/2006/docPropsVTypes"/>
</file>