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8 deeply analyzed sources with 65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Thus, this study provides an experimental evaluation of the bearing strength of steel fiber-reinforced recycled aggregate concrete at different replacement levels (0, 10, 20, 30, 50, and 100%) of recycled concrete aggregate (RCA)</w:t>
      </w:r>
    </w:p>
    <w:p>
      <w:pPr>
        <w:spacing w:after="200"/>
      </w:pPr>
      <w:r>
        <w:t xml:space="preserve">• [10] which two-stage concrete consists of a relatively higher percentage (60–70%) of the coarse aggregates than the fines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Study of the Freeze–Thaw Resistance for Composite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p>
      <w:pPr>
        <w:spacing w:after="200"/>
      </w:pPr>
      <w:r>
        <w:t xml:space="preserve">Experimental Investigation on Compressive Properties of Fiber Recycled Aggregate Concrete. (2026). Retrieved from https://doi.org/10.32604/jrm.2023.028290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2026-01-12T20:25:53.949Z</dcterms:created>
  <dcterms:modified xsi:type="dcterms:W3CDTF">2026-01-12T20:25:53.949Z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