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 sources to address the research question: "buscarme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15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Application of waste recycle tire steel fibers as a construction material in concrete. (2026). Retrieved from https://doi.org/10.1515/rams-2022-0319</w:t>
      </w:r>
    </w:p>
    <w:p>
      <w:r>
        <w:rPr>
          <w:sz w:val="20"/>
          <w:szCs w:val="20"/>
        </w:rPr>
        <w:t xml:space="preserve">• Steel Fiber Reinforced Self-Compacting Concrete: A Comprehensive Review. (2026). Retrieved from https://doi.org/10.1186/s40069-023-00602-7</w:t>
      </w:r>
    </w:p>
    <w:p>
      <w:r>
        <w:rPr>
          <w:sz w:val="20"/>
          <w:szCs w:val="20"/>
        </w:rPr>
        <w:t xml:space="preserve">• Frost resistance investigation of fiber reinforced recycled brick aggregate cementitious materials. (2026). Retrieved from https://doi.org/10.1038/s41598-022-19006-w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 articulos cientificos solo de latinoamerica y españa sobre Impacto de la economía circula</dc:title>
  <dc:subject>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2026-01-13T01:33:42.538Z</dcterms:created>
  <dcterms:modified xsi:type="dcterms:W3CDTF">2026-01-13T01:33:42.538Z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