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quiero que logure esto nuestro sofware "buscarme 50 articulos cientificos sobre Influencia del uso d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25 sources to address the research question: "quiero que logure esto nuestro sofware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 WOS""</w:t>
      </w:r>
    </w:p>
    <w:p>
      <w:pPr>
        <w:spacing w:after="200"/>
      </w:pPr>
      <w:r>
        <w:t xml:space="preserve">Key findings are based on 0 deeply analyzed sources with 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Global Cancer Statistics 2020: GLOBOCAN Estimates of Incidence and Mortality Worldwide for 36 Cancers in 185 Countries. (2026). Retrieved from https://www.scopus.com/record/display.uri?eid=undefined</w:t>
      </w:r>
    </w:p>
    <w:p>
      <w:r>
        <w:rPr>
          <w:sz w:val="20"/>
          <w:szCs w:val="20"/>
        </w:rPr>
        <w:t xml:space="preserve">• The ERA5 global reanalysis. (2026). Retrieved from https://www.scopus.com/record/display.uri?eid=undefined</w:t>
      </w:r>
    </w:p>
    <w:p>
      <w:r>
        <w:rPr>
          <w:sz w:val="20"/>
          <w:szCs w:val="20"/>
        </w:rPr>
        <w:t xml:space="preserve">• Global burden of 369 diseases and injuries in 204 countries and territories, 1990–2019: a systematic analysis for the Global Burden of Disease Study 2019. (2026). Retrieved from https://www.scopus.com/record/display.uri?eid=undefined</w:t>
      </w:r>
    </w:p>
    <w:p>
      <w:r>
        <w:rPr>
          <w:sz w:val="20"/>
          <w:szCs w:val="20"/>
        </w:rPr>
        <w:t xml:space="preserve">• Global burden of bacterial antimicrobial resistance in 2019: a systematic analysis. (2026). Retrieved from https://www.scopus.com/record/display.uri?eid=undefined</w:t>
      </w:r>
    </w:p>
    <w:p>
      <w:r>
        <w:rPr>
          <w:sz w:val="20"/>
          <w:szCs w:val="20"/>
        </w:rPr>
        <w:t xml:space="preserve">• 2021 ESC Guidelines for the diagnosis and treatment of acute and chronic heart failure. (2026). Retrieved from https://www.scopus.com/record/display.uri?eid=undefined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25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Global Cancer Statistics 2020: GLOBOCAN Estimates </w:t>
            </w:r>
          </w:p>
        </w:tc>
        <w:tc>
          <w:p>
            <w:r>
              <w:t xml:space="preserve">scopus.com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ERA5 global reanalysis</w:t>
            </w:r>
          </w:p>
        </w:tc>
        <w:tc>
          <w:p>
            <w:r>
              <w:t xml:space="preserve">scopus.com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Global burden of 369 diseases and injuries in 204 </w:t>
            </w:r>
          </w:p>
        </w:tc>
        <w:tc>
          <w:p>
            <w:r>
              <w:t xml:space="preserve">scopus.com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Global burden of bacterial antimicrobial resistanc</w:t>
            </w:r>
          </w:p>
        </w:tc>
        <w:tc>
          <w:p>
            <w:r>
              <w:t xml:space="preserve">scopus.com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2021 ESC Guidelines for the diagnosis and treatmen</w:t>
            </w:r>
          </w:p>
        </w:tc>
        <w:tc>
          <w:p>
            <w:r>
              <w:t xml:space="preserve">scopus.com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2020 ESC Guidelines for the diagnosis and manageme</w:t>
            </w:r>
          </w:p>
        </w:tc>
        <w:tc>
          <w:p>
            <w:r>
              <w:t xml:space="preserve">scopus.com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Global Burden of Cardiovascular Diseases and Risk </w:t>
            </w:r>
          </w:p>
        </w:tc>
        <w:tc>
          <w:p>
            <w:r>
              <w:t xml:space="preserve">scopus.com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Twelve years of SAMtools and BCFtools</w:t>
            </w:r>
          </w:p>
        </w:tc>
        <w:tc>
          <w:p>
            <w:r>
              <w:t xml:space="preserve">scopus.com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The biology, function, and biomedical applications</w:t>
            </w:r>
          </w:p>
        </w:tc>
        <w:tc>
          <w:p>
            <w:r>
              <w:t xml:space="preserve">scopus.com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How to conduct a bibliometric analysis: An overvie</w:t>
            </w:r>
          </w:p>
        </w:tc>
        <w:tc>
          <w:p>
            <w:r>
              <w:t xml:space="preserve">scopus.com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Global Cancer Statistics 2020: GLOBOCAN Estimates of Incidence and Mortality Worldwide for 36 Cancers in 185 Countries. (2026). Retrieved from https://www.scopus.com/record/display.uri?eid=undefined</w:t>
      </w:r>
    </w:p>
    <w:p>
      <w:pPr>
        <w:spacing w:after="200"/>
      </w:pPr>
      <w:r>
        <w:t xml:space="preserve">The ERA5 global reanalysis. (2026). Retrieved from https://www.scopus.com/record/display.uri?eid=undefined</w:t>
      </w:r>
    </w:p>
    <w:p>
      <w:pPr>
        <w:spacing w:after="200"/>
      </w:pPr>
      <w:r>
        <w:t xml:space="preserve">Global burden of 369 diseases and injuries in 204 countries and territories, 1990–2019: a systematic analysis for the Global Burden of Disease Study 2019. (2026). Retrieved from https://www.scopus.com/record/display.uri?eid=undefined</w:t>
      </w:r>
    </w:p>
    <w:p>
      <w:pPr>
        <w:spacing w:after="200"/>
      </w:pPr>
      <w:r>
        <w:t xml:space="preserve">Global burden of bacterial antimicrobial resistance in 2019: a systematic analysis. (2026). Retrieved from https://www.scopus.com/record/display.uri?eid=undefined</w:t>
      </w:r>
    </w:p>
    <w:p>
      <w:pPr>
        <w:spacing w:after="200"/>
      </w:pPr>
      <w:r>
        <w:t xml:space="preserve">2021 ESC Guidelines for the diagnosis and treatment of acute and chronic heart failure. (2026). Retrieved from https://www.scopus.com/record/display.uri?eid=undefined</w:t>
      </w:r>
    </w:p>
    <w:p>
      <w:pPr>
        <w:spacing w:after="200"/>
      </w:pPr>
      <w:r>
        <w:t xml:space="preserve">2020 ESC Guidelines for the diagnosis and management of atrial fibrillation developed in collaboration with the European Association for Cardio-Thoracic Surgery (EACTS). (2026). Retrieved from https://www.scopus.com/record/display.uri?eid=undefined</w:t>
      </w:r>
    </w:p>
    <w:p>
      <w:pPr>
        <w:spacing w:after="200"/>
      </w:pPr>
      <w:r>
        <w:t xml:space="preserve">Global Burden of Cardiovascular Diseases and Risk Factors, 1990-2019: Update From the GBD 2019 Study. (2026). Retrieved from https://www.scopus.com/record/display.uri?eid=undefined</w:t>
      </w:r>
    </w:p>
    <w:p>
      <w:pPr>
        <w:spacing w:after="200"/>
      </w:pPr>
      <w:r>
        <w:t xml:space="preserve">Twelve years of SAMtools and BCFtools. (2026). Retrieved from https://www.scopus.com/record/display.uri?eid=undefined</w:t>
      </w:r>
    </w:p>
    <w:p>
      <w:pPr>
        <w:spacing w:after="200"/>
      </w:pPr>
      <w:r>
        <w:t xml:space="preserve">The biology, function, and biomedical applications of exosomes. (2026). Retrieved from https://www.scopus.com/record/display.uri?eid=undefined</w:t>
      </w:r>
    </w:p>
    <w:p>
      <w:pPr>
        <w:spacing w:after="200"/>
      </w:pPr>
      <w:r>
        <w:t xml:space="preserve">How to conduct a bibliometric analysis: An overview and guidelines. (2026). Retrieved from https://www.scopus.com/record/display.uri?eid=undefined</w:t>
      </w:r>
    </w:p>
    <w:p>
      <w:pPr>
        <w:spacing w:after="200"/>
      </w:pPr>
      <w:r>
        <w:t xml:space="preserve">A Comprehensive Survey on Graph Neural Networks. (2026). Retrieved from https://www.scopus.com/record/display.uri?eid=undefined</w:t>
      </w:r>
    </w:p>
    <w:p>
      <w:pPr>
        <w:spacing w:after="200"/>
      </w:pPr>
      <w:r>
        <w:t xml:space="preserve">Dementia prevention, intervention, and care: 2020 report of the Lancet Commission. (2026). Retrieved from https://www.scopus.com/record/display.uri?eid=undefined</w:t>
      </w:r>
    </w:p>
    <w:p>
      <w:pPr>
        <w:spacing w:after="200"/>
      </w:pPr>
      <w:r>
        <w:t xml:space="preserve">Heart disease and stroke statistics—2020 update a report from the American Heart Association. (2026). Retrieved from https://www.scopus.com/record/display.uri?eid=undefined</w:t>
      </w:r>
    </w:p>
    <w:p>
      <w:pPr>
        <w:spacing w:after="200"/>
      </w:pPr>
      <w:r>
        <w:t xml:space="preserve">Explainable Artificial Intelligence (XAI): Concepts, taxonomies, opportunities and challenges toward responsible AI. (2026). Retrieved from https://www.scopus.com/record/display.uri?eid=undefined</w:t>
      </w:r>
    </w:p>
    <w:p>
      <w:pPr>
        <w:spacing w:after="200"/>
      </w:pPr>
      <w:r>
        <w:t xml:space="preserve">The mutational constraint spectrum quantified from variation in 141,456 humans. (2026). Retrieved from https://www.scopus.com/record/display.uri?eid=undefined</w:t>
      </w:r>
    </w:p>
    <w:p>
      <w:pPr>
        <w:spacing w:after="200"/>
      </w:pPr>
      <w:r>
        <w:t xml:space="preserve">Hallmarks of Cancer: New Dimensions. (2026). Retrieved from https://www.scopus.com/record/display.uri?eid=undefined</w:t>
      </w:r>
    </w:p>
    <w:p>
      <w:pPr>
        <w:spacing w:after="200"/>
      </w:pPr>
      <w:r>
        <w:t xml:space="preserve">Review of deep learning: concepts, CNN architectures, challenges, applications, future directions. (2026). Retrieved from https://www.scopus.com/record/display.uri?eid=undefined</w:t>
      </w:r>
    </w:p>
    <w:p>
      <w:pPr>
        <w:spacing w:after="200"/>
      </w:pPr>
      <w:r>
        <w:t xml:space="preserve">Engineering precision nanoparticles for drug delivery. (2026). Retrieved from https://www.scopus.com/record/display.uri?eid=undefined</w:t>
      </w:r>
    </w:p>
    <w:p>
      <w:pPr>
        <w:spacing w:after="200"/>
      </w:pPr>
      <w:r>
        <w:t xml:space="preserve">The IntCal20 Northern Hemisphere Radiocarbon Age Calibration Curve (0-55 cal kBP). (2026). Retrieved from https://www.scopus.com/record/display.uri?eid=undefined</w:t>
      </w:r>
    </w:p>
    <w:p>
      <w:pPr>
        <w:spacing w:after="200"/>
      </w:pPr>
      <w:r>
        <w:t xml:space="preserve">2019 ESC Guidelines for the diagnosis and management of chronic coronary syndromes. (2026). Retrieved from https://www.scopus.com/record/display.uri?eid=undefined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quiero que logure esto nuestro sofware "buscarme 50 articulos cientificos sobre Influencia del uso d</dc:title>
  <dc:subject>quiero que logure esto nuestro sofware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 WOS"</dc:subject>
  <dc:creator>IliaGPT Super Agent</dc:creator>
  <cp:lastModifiedBy>Un-named</cp:lastModifiedBy>
  <cp:revision>1</cp:revision>
  <dcterms:created xsi:type="dcterms:W3CDTF">2026-01-12T19:00:21.046Z</dcterms:created>
  <dcterms:modified xsi:type="dcterms:W3CDTF">2026-01-12T19:00:21.046Z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