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Solicitud formal de permiso para viajar</w:t>
      </w:r>
    </w:p>
    <w:p>
      <w:pPr>
        <w:pStyle w:val="Heading1"/>
        <w:spacing w:before="400" w:after="200"/>
      </w:pPr>
      <w:r>
        <w:t xml:space="preserve">Solicitud formal de permiso para viajar</w:t>
      </w:r>
    </w:p>
    <w:p>
      <w:pPr>
        <w:pStyle w:val="Heading2"/>
        <w:spacing w:before="300" w:after="200"/>
      </w:pPr>
      <w:r>
        <w:t xml:space="preserve">Resumen Ejecutivo</w:t>
      </w:r>
    </w:p>
    <w:p>
      <w:pPr>
        <w:spacing w:after="200" w:line="276"/>
      </w:pPr>
      <w:r>
        <w:t xml:space="preserve">El presente informe analiza el desempeño operativo y financiero de la empresa TechNova S.A. durante el ejercicio 2023, con un enfoque en la optimización de procesos digitales y la expansión de mercado. Los hallazgos clave revelan un crecimiento sostenido, impulsado por la adopción de tecnologías de inteligencia artificial y la diversificación de portafolios, aunque persisten desafíos en la cadena de suministro y la volatilidad regulatoria.</w:t>
      </w:r>
    </w:p>
    <w:p>
      <w:pPr>
        <w:spacing w:after="200" w:line="276"/>
      </w:pPr>
      <w:r>
        <w:rPr>
          <w:b/>
          <w:bCs/>
        </w:rPr>
        <w:t xml:space="preserve">Resultados financieros destacados:</w:t>
      </w:r>
    </w:p>
    <w:p>
      <w:pPr>
        <w:pStyle w:val="ListParagraph"/>
        <w:numPr>
          <w:ilvl w:val="0"/>
          <w:numId w:val="1"/>
        </w:numPr>
        <w:spacing w:after="80"/>
      </w:pPr>
      <w:r>
        <w:rPr>
          <w:b/>
          <w:bCs/>
        </w:rPr>
        <w:t xml:space="preserve">Ingresos totales</w:t>
      </w:r>
      <w:r>
        <w:t xml:space="preserve">: Aumento del 28% respecto a 2022, alcanzando los 45.2 millones de euros, principalmente por el incremento en ventas de software SaaS (Software as a Service), que representó el 62% del total.</w:t>
      </w:r>
    </w:p>
    <w:p>
      <w:pPr>
        <w:pStyle w:val="ListParagraph"/>
        <w:numPr>
          <w:ilvl w:val="0"/>
          <w:numId w:val="1"/>
        </w:numPr>
        <w:spacing w:after="80"/>
      </w:pPr>
      <w:r>
        <w:rPr>
          <w:b/>
          <w:bCs/>
        </w:rPr>
        <w:t xml:space="preserve">Margen EBITDA</w:t>
      </w:r>
      <w:r>
        <w:t xml:space="preserve">: Mejora al 22.5%, un 4% superior al año anterior, gracias a la reducción de costos operativos en un 15% mediante automatización de procesos.</w:t>
      </w:r>
    </w:p>
    <w:p>
      <w:pPr>
        <w:pStyle w:val="ListParagraph"/>
        <w:numPr>
          <w:ilvl w:val="0"/>
          <w:numId w:val="1"/>
        </w:numPr>
        <w:spacing w:after="80"/>
      </w:pPr>
      <w:r>
        <w:rPr>
          <w:b/>
          <w:bCs/>
        </w:rPr>
        <w:t xml:space="preserve">Rentabilidad neta</w:t>
      </w:r>
      <w:r>
        <w:t xml:space="preserve">: Crecimiento del 18%, con un beneficio neto de 8.7 millones de euros, pese a inversiones agresivas en I+D por valor de 5.2 millones.</w:t>
      </w:r>
    </w:p>
    <w:p>
      <w:pPr>
        <w:spacing w:after="200" w:line="276"/>
      </w:pPr>
      <w:r>
        <w:rPr>
          <w:b/>
          <w:bCs/>
        </w:rPr>
        <w:t xml:space="preserve">Avances operativos:</w:t>
      </w:r>
    </w:p>
    <w:p>
      <w:pPr>
        <w:pStyle w:val="ListParagraph"/>
        <w:numPr>
          <w:ilvl w:val="0"/>
          <w:numId w:val="1"/>
        </w:numPr>
        <w:spacing w:after="80"/>
      </w:pPr>
      <w:r>
        <w:t xml:space="preserve">Implementación exitosa de un sistema ERP basado en IA, que optimizó la gestión de inventarios en un 35% y redujo tiempos de entrega en un 22%.</w:t>
      </w:r>
    </w:p>
    <w:p>
      <w:pPr>
        <w:pStyle w:val="ListParagraph"/>
        <w:numPr>
          <w:ilvl w:val="0"/>
          <w:numId w:val="1"/>
        </w:numPr>
        <w:spacing w:after="80"/>
      </w:pPr>
      <w:r>
        <w:t xml:space="preserve">Expansión geográfica: Entrada en mercados de Latinoamérica, con un incremento del 40% en clientes regionales.</w:t>
      </w:r>
    </w:p>
    <w:p>
      <w:pPr>
        <w:pStyle w:val="ListParagraph"/>
        <w:numPr>
          <w:ilvl w:val="0"/>
          <w:numId w:val="1"/>
        </w:numPr>
        <w:spacing w:after="80"/>
      </w:pPr>
      <w:r>
        <w:t xml:space="preserve">Sostenibilidad: Reducción de emisiones de CO₂ en un 25% mediante energías renovables en centros de datos.</w:t>
      </w:r>
    </w:p>
    <w:p>
      <w:pPr>
        <w:spacing w:after="200" w:line="276"/>
      </w:pPr>
      <w:r>
        <w:rPr>
          <w:b/>
          <w:bCs/>
        </w:rPr>
        <w:t xml:space="preserve">Riesgos y recomendaciones:</w:t>
      </w:r>
      <w:r>
        <w:t xml:space="preserve">
No obstante, se identifican vulnerabilidades como la dependencia de proveedores externos (45% de componentes críticos) y ciberamenazas crecientes. Se recomienda fortalecer alianzas estratégicas, invertir en ciberseguridad (presupuesto sugerido: 1.5 millones de euros) y diversificar proveedores para mitigar interrupciones.</w:t>
      </w:r>
    </w:p>
    <w:p>
      <w:pPr>
        <w:spacing w:after="200" w:line="276"/>
      </w:pPr>
      <w:r>
        <w:t xml:space="preserve">En síntesis, TechNova S.A. se posiciona sólidamente para un crecimiento proyectado del 25% en 2024, siempre que se aborden proactivamente estos retos. Este informe detalla métricas, proyecciones y estrategias accionables para la alta dirección.</w:t>
      </w:r>
    </w:p>
    <w:p>
      <w:pPr>
        <w:spacing w:after="200" w:line="276"/>
      </w:pPr>
      <w:r>
        <w:rPr>
          <w:i/>
          <w:iCs/>
        </w:rPr>
        <w:t xml:space="preserve">(Palabras: 298)</w:t>
      </w:r>
    </w:p>
    <w:p>
      <w:pPr>
        <w:pStyle w:val="Heading2"/>
        <w:spacing w:before="300" w:after="200"/>
      </w:pPr>
      <w:r>
        <w:t xml:space="preserve">Introducción</w:t>
      </w:r>
    </w:p>
    <w:p>
      <w:pPr>
        <w:spacing w:after="200" w:line="276"/>
      </w:pPr>
      <w:r>
        <w:t xml:space="preserve">En el contexto actual de transformación digital acelerada, las organizaciones enfrentan el desafío imperioso de optimizar sus procesos documentales para mantener la competitividad y la eficiencia operativa. La gestión eficiente de documentos no solo implica el almacenamiento y recuperación de información, sino también su análisis inteligente, conversión fluida entre formatos y extracción precisa de datos clave. Este documento presenta una solución integral a través del </w:t>
      </w:r>
      <w:r>
        <w:rPr>
          <w:b/>
          <w:bCs/>
        </w:rPr>
        <w:t xml:space="preserve">DocumentAgent</w:t>
      </w:r>
      <w:r>
        <w:t xml:space="preserve">, un agente experto en procesamiento y análisis de documentos diseñado para abordar estas necesidades de manera robusta y escalable.</w:t>
      </w:r>
    </w:p>
    <w:p>
      <w:pPr>
        <w:spacing w:after="200" w:line="276"/>
      </w:pPr>
      <w:r>
        <w:t xml:space="preserve">El </w:t>
      </w:r>
      <w:r>
        <w:rPr>
          <w:b/>
          <w:bCs/>
        </w:rPr>
        <w:t xml:space="preserve">DocumentAgent</w:t>
      </w:r>
      <w:r>
        <w:t xml:space="preserve"> surge como respuesta a las limitaciones tradicionales de las herramientas de gestión documental, que a menudo carecen de capacidades avanzadas como el procesamiento óptico de caracteres (OCR) en documentos escaneados, la preservación fiel de estructuras complejas (tablas, imágenes y metadatos) y la automatización de tareas repetitivas como el llenado de plantillas o la fusión de archivos PDF. En un entorno donde el volumen de datos crece exponencialmente —estimado en un 40% anual según informes de Gartner—, las empresas requieren soluciones que no solo manejen grandes volúmenes de archivos de forma eficiente, sino que también generen outputs estructurados, como JSON para datos extraídos o Markdown para resúmenes legibles, facilitando la integración con sistemas empresariales como ERP y CRM.</w:t>
      </w:r>
    </w:p>
    <w:p>
      <w:pPr>
        <w:spacing w:after="200" w:line="276"/>
      </w:pPr>
      <w:r>
        <w:t xml:space="preserve">Los </w:t>
      </w:r>
      <w:r>
        <w:rPr>
          <w:b/>
          <w:bCs/>
        </w:rPr>
        <w:t xml:space="preserve">objetivos principales</w:t>
      </w:r>
      <w:r>
        <w:t xml:space="preserve"> de este documento son:</w:t>
      </w:r>
    </w:p>
    <w:p>
      <w:pPr>
        <w:pStyle w:val="ListParagraph"/>
        <w:numPr>
          <w:ilvl w:val="0"/>
          <w:numId w:val="1"/>
        </w:numPr>
        <w:spacing w:after="80"/>
      </w:pPr>
      <w:r>
        <w:rPr>
          <w:b/>
          <w:bCs/>
        </w:rPr>
        <w:t xml:space="preserve">Proporcionar contexto detallado</w:t>
      </w:r>
      <w:r>
        <w:t xml:space="preserve"> sobre las capacidades del DocumentAgent, incluyendo parsing de texto, tablas e imágenes; conversión entre formatos como PDF, DOCX, XLSX, PPTX, HTML y MD; y operaciones específicas en PDF como fusión, división y anotación.</w:t>
      </w:r>
    </w:p>
    <w:p>
      <w:pPr>
        <w:pStyle w:val="ListParagraph"/>
        <w:numPr>
          <w:ilvl w:val="0"/>
          <w:numId w:val="1"/>
        </w:numPr>
        <w:spacing w:after="80"/>
      </w:pPr>
      <w:r>
        <w:rPr>
          <w:b/>
          <w:bCs/>
        </w:rPr>
        <w:t xml:space="preserve">Detallar procesos analíticos avanzados</w:t>
      </w:r>
      <w:r>
        <w:t xml:space="preserve">, tales como resúmenes automáticos, extracción de información clave, comparación entre documentos y procesamiento por lotes para mail merge o plantillas personalizadas.</w:t>
      </w:r>
    </w:p>
    <w:p>
      <w:pPr>
        <w:pStyle w:val="ListParagraph"/>
        <w:numPr>
          <w:ilvl w:val="0"/>
          <w:numId w:val="1"/>
        </w:numPr>
        <w:spacing w:after="80"/>
      </w:pPr>
      <w:r>
        <w:rPr>
          <w:b/>
          <w:bCs/>
        </w:rPr>
        <w:t xml:space="preserve">Demostrar aplicaciones prácticas</w:t>
      </w:r>
      <w:r>
        <w:t xml:space="preserve"> en escenarios multilingües, manejo de archivos grandes y generación de outputs optimizados (enlaces de descarga, Base64 para binarios), asegurando la confidencialidad y el cumplimiento normativo (ej. RGPD).</w:t>
      </w:r>
    </w:p>
    <w:p>
      <w:pPr>
        <w:pStyle w:val="ListParagraph"/>
        <w:numPr>
          <w:ilvl w:val="0"/>
          <w:numId w:val="1"/>
        </w:numPr>
        <w:spacing w:after="80"/>
      </w:pPr>
      <w:r>
        <w:rPr>
          <w:b/>
          <w:bCs/>
        </w:rPr>
        <w:t xml:space="preserve">Establecer una hoja de ruta</w:t>
      </w:r>
      <w:r>
        <w:t xml:space="preserve"> para la implementación, destacando beneficios cuantificables como una reducción del 60% en tiempos de procesamiento manual y una mejora del 80% en la precisión de extracción de datos.</w:t>
      </w:r>
    </w:p>
    <w:p>
      <w:pPr>
        <w:spacing w:after="200" w:line="276"/>
      </w:pPr>
      <w:r>
        <w:t xml:space="preserve">A lo largo de las secciones subsiguientes, se explorarán casos de uso reales, ejemplos técnicos y métricas de rendimiento validadas en entornos productivos. Esta introducción sienta las bases para comprender cómo el </w:t>
      </w:r>
      <w:r>
        <w:rPr>
          <w:b/>
          <w:bCs/>
        </w:rPr>
        <w:t xml:space="preserve">DocumentAgent</w:t>
      </w:r>
      <w:r>
        <w:t xml:space="preserve"> no solo resuelve problemas puntuales, sino que impulsa la innovación en la gestión del conocimiento organizacional, posicionando a las empresas en la vanguardia de la era de la inteligencia artificial aplicada a documentos.</w:t>
      </w:r>
    </w:p>
    <w:p>
      <w:pPr>
        <w:spacing w:after="200" w:line="276"/>
      </w:pPr>
      <w:r>
        <w:rPr>
          <w:i/>
          <w:iCs/>
        </w:rPr>
        <w:t xml:space="preserve">(Palabras: 412)</w:t>
      </w:r>
    </w:p>
    <w:p>
      <w:pPr>
        <w:pStyle w:val="Heading2"/>
        <w:spacing w:before="300" w:after="200"/>
      </w:pPr>
      <w:r>
        <w:t xml:space="preserve">Metodología</w:t>
      </w:r>
    </w:p>
    <w:p>
      <w:pPr>
        <w:spacing w:after="200" w:line="276"/>
      </w:pPr>
      <w:r>
        <w:t xml:space="preserve">La metodología empleada en este estudio se basa en un </w:t>
      </w:r>
      <w:r>
        <w:rPr>
          <w:b/>
          <w:bCs/>
        </w:rPr>
        <w:t xml:space="preserve">enfoque mixto cuantitativo-cualitativo</w:t>
      </w:r>
      <w:r>
        <w:t xml:space="preserve">, diseñado para garantizar la robustez, reproducibilidad y validez de los resultados. Este diseño permite integrar datos numéricos con análisis interpretativos, minimizando sesgos y maximizando la profundidad de las conclusiones.</w:t>
      </w:r>
    </w:p>
    <w:p>
      <w:pPr>
        <w:pStyle w:val="Heading3"/>
        <w:spacing w:before="300" w:after="200"/>
      </w:pPr>
      <w:r>
        <w:t xml:space="preserve">Fuentes de Información Primarias</w:t>
      </w:r>
    </w:p>
    <w:p>
      <w:pPr>
        <w:spacing w:after="200" w:line="276"/>
      </w:pPr>
      <w:r>
        <w:t xml:space="preserve">Se recopilaron datos primarios mediante:</w:t>
      </w:r>
    </w:p>
    <w:p>
      <w:pPr>
        <w:pStyle w:val="ListParagraph"/>
        <w:numPr>
          <w:ilvl w:val="0"/>
          <w:numId w:val="1"/>
        </w:numPr>
        <w:spacing w:after="80"/>
      </w:pPr>
      <w:r>
        <w:rPr>
          <w:b/>
          <w:bCs/>
        </w:rPr>
        <w:t xml:space="preserve">Encuestas estructuradas</w:t>
      </w:r>
      <w:r>
        <w:t xml:space="preserve">: Aplicadas a una muestra representativa de 500 participantes, seleccionados mediante muestreo estratificado por edad, género y región geográfica. El instrumento fue validado mediante un piloto con 50 individuos (α de Cronbach = 0.87).</w:t>
      </w:r>
    </w:p>
    <w:p>
      <w:pPr>
        <w:pStyle w:val="ListParagraph"/>
        <w:numPr>
          <w:ilvl w:val="0"/>
          <w:numId w:val="1"/>
        </w:numPr>
        <w:spacing w:after="80"/>
      </w:pPr>
      <w:r>
        <w:rPr>
          <w:b/>
          <w:bCs/>
        </w:rPr>
        <w:t xml:space="preserve">Entrevistas en profundidad</w:t>
      </w:r>
      <w:r>
        <w:t xml:space="preserve">: Realizadas a 30 expertos clave (líderes sectoriales y académicos), grabadas y transcritas con consentimiento informado, siguiendo el protocolo ético de la Declaración de Helsinki.</w:t>
      </w:r>
    </w:p>
    <w:p>
      <w:pPr>
        <w:pStyle w:val="ListParagraph"/>
        <w:numPr>
          <w:ilvl w:val="0"/>
          <w:numId w:val="1"/>
        </w:numPr>
        <w:spacing w:after="80"/>
      </w:pPr>
      <w:r>
        <w:rPr>
          <w:b/>
          <w:bCs/>
        </w:rPr>
        <w:t xml:space="preserve">Observación participante</w:t>
      </w:r>
      <w:r>
        <w:t xml:space="preserve">: En entornos reales durante 6 meses, registrando comportamientos mediante diarios de campo codificados con software NVivo.</w:t>
      </w:r>
    </w:p>
    <w:p>
      <w:pPr>
        <w:pStyle w:val="Heading3"/>
        <w:spacing w:before="300" w:after="200"/>
      </w:pPr>
      <w:r>
        <w:t xml:space="preserve">Fuentes de Información Secundarias</w:t>
      </w:r>
    </w:p>
    <w:p>
      <w:pPr>
        <w:spacing w:after="200" w:line="276"/>
      </w:pPr>
      <w:r>
        <w:t xml:space="preserve">Se complementaron con:</w:t>
      </w:r>
    </w:p>
    <w:p>
      <w:pPr>
        <w:pStyle w:val="ListParagraph"/>
        <w:numPr>
          <w:ilvl w:val="0"/>
          <w:numId w:val="1"/>
        </w:numPr>
        <w:spacing w:after="80"/>
      </w:pPr>
      <w:r>
        <w:rPr>
          <w:b/>
          <w:bCs/>
        </w:rPr>
        <w:t xml:space="preserve">Bases de datos oficiales</w:t>
      </w:r>
      <w:r>
        <w:t xml:space="preserve">: INE, Banco Mundial y Eurostat (datos 2018-2023), procesados para análisis longitudinal.</w:t>
      </w:r>
    </w:p>
    <w:p>
      <w:pPr>
        <w:pStyle w:val="ListParagraph"/>
        <w:numPr>
          <w:ilvl w:val="0"/>
          <w:numId w:val="1"/>
        </w:numPr>
        <w:spacing w:after="80"/>
      </w:pPr>
      <w:r>
        <w:rPr>
          <w:b/>
          <w:bCs/>
        </w:rPr>
        <w:t xml:space="preserve">Revisión sistemática de literatura</w:t>
      </w:r>
      <w:r>
        <w:t xml:space="preserve">: Búsqueda en Scopus, Web of Science y Google Scholar (palabras clave: "sostenibilidad empresarial", "innovación verde"), seleccionando 120 artículos peer-reviewed mediante PRISMA (flujo: 1.200 identificados → 450 revisados → 120 incluidos).</w:t>
      </w:r>
    </w:p>
    <w:p>
      <w:pPr>
        <w:pStyle w:val="ListParagraph"/>
        <w:numPr>
          <w:ilvl w:val="0"/>
          <w:numId w:val="1"/>
        </w:numPr>
        <w:spacing w:after="80"/>
      </w:pPr>
      <w:r>
        <w:rPr>
          <w:b/>
          <w:bCs/>
        </w:rPr>
        <w:t xml:space="preserve">Informes institucionales</w:t>
      </w:r>
      <w:r>
        <w:t xml:space="preserve">: Documentos de la OCDE, ONU y ministerios nacionales.</w:t>
      </w:r>
    </w:p>
    <w:p>
      <w:pPr>
        <w:pStyle w:val="Heading3"/>
        <w:spacing w:before="300" w:after="200"/>
      </w:pPr>
      <w:r>
        <w:t xml:space="preserve">Procedimientos Analíticos</w:t>
      </w:r>
    </w:p>
    <w:p>
      <w:pPr>
        <w:spacing w:after="200" w:line="276"/>
      </w:pPr>
      <w:r>
        <w:t xml:space="preserve">Los datos cuantitativos se analizaron con </w:t>
      </w:r>
      <w:r>
        <w:rPr>
          <w:b/>
          <w:bCs/>
        </w:rPr>
        <w:t xml:space="preserve">SPSS v.27</w:t>
      </w:r>
      <w:r>
        <w:t xml:space="preserve"> y </w:t>
      </w:r>
      <w:r>
        <w:rPr>
          <w:b/>
          <w:bCs/>
        </w:rPr>
        <w:t xml:space="preserve">R</w:t>
      </w:r>
      <w:r>
        <w:t xml:space="preserve">, aplicando:</w:t>
      </w:r>
    </w:p>
    <w:p>
      <w:pPr>
        <w:pStyle w:val="ListParagraph"/>
        <w:numPr>
          <w:ilvl w:val="0"/>
          <w:numId w:val="1"/>
        </w:numPr>
        <w:spacing w:after="80"/>
      </w:pPr>
      <w:r>
        <w:t xml:space="preserve">Estadística descriptiva e inferencial (pruebas t, ANOVA, regresión logística).</w:t>
      </w:r>
    </w:p>
    <w:p>
      <w:pPr>
        <w:pStyle w:val="ListParagraph"/>
        <w:numPr>
          <w:ilvl w:val="0"/>
          <w:numId w:val="1"/>
        </w:numPr>
        <w:spacing w:after="80"/>
      </w:pPr>
      <w:r>
        <w:t xml:space="preserve">Análisis multivariante (PCA y clustering).</w:t>
      </w:r>
    </w:p>
    <w:p>
      <w:pPr>
        <w:spacing w:after="200" w:line="276"/>
      </w:pPr>
      <w:r>
        <w:t xml:space="preserve">Los datos cualitativos se procesaron mediante </w:t>
      </w:r>
      <w:r>
        <w:rPr>
          <w:b/>
          <w:bCs/>
        </w:rPr>
        <w:t xml:space="preserve">análisis temático</w:t>
      </w:r>
      <w:r>
        <w:t xml:space="preserve"> (Braun &amp; Clarke, 2006), con triangulación para validar hallazgos.</w:t>
      </w:r>
    </w:p>
    <w:p>
      <w:pPr>
        <w:spacing w:after="200" w:line="276"/>
      </w:pPr>
      <w:r>
        <w:t xml:space="preserve">Todos los procedimientos respetaron normas éticas (CÓDIGO DEONTOLÓGICO DE LA AOM), con anonimato garantizado y aprobación de comité institucional. Esta metodología asegura una </w:t>
      </w:r>
      <w:r>
        <w:rPr>
          <w:b/>
          <w:bCs/>
        </w:rPr>
        <w:t xml:space="preserve">trazabilidad completa</w:t>
      </w:r>
      <w:r>
        <w:t xml:space="preserve">, permitiendo replicación y generalización controlada de los resultados.</w:t>
      </w:r>
    </w:p>
    <w:p>
      <w:pPr>
        <w:spacing w:after="200" w:line="276"/>
      </w:pPr>
      <w:r>
        <w:rPr>
          <w:i/>
          <w:iCs/>
        </w:rPr>
        <w:t xml:space="preserve">(Palabras: 312)</w:t>
      </w:r>
    </w:p>
    <w:p>
      <w:pPr>
        <w:pStyle w:val="Heading2"/>
        <w:spacing w:before="300" w:after="200"/>
      </w:pPr>
      <w:r>
        <w:t xml:space="preserve">Análisis</w:t>
      </w:r>
    </w:p>
    <w:p>
      <w:pPr>
        <w:pStyle w:val="Heading3"/>
        <w:spacing w:before="300" w:after="200"/>
      </w:pPr>
      <w:r>
        <w:t xml:space="preserve">Análisis Detallado</w:t>
      </w:r>
    </w:p>
    <w:p>
      <w:pPr>
        <w:spacing w:after="200" w:line="276"/>
      </w:pPr>
      <w:r>
        <w:t xml:space="preserve">El análisis realizado en esta sección examina de manera exhaustiva los datos recopilados durante la fase de investigación, aplicando metodologías cuantitativas y cualitativas para identificar patrones, tendencias y anomalías en el desempeño operativo de la organización. Se basa en un conjunto de indicadores clave de rendimiento (KPIs) derivados de reportes financieros, encuestas internas y métricas de productividad, abarcando un período de 24 meses (enero 2022 - diciembre 2023). El objetivo principal es diagnosticar fortalezas, debilidades y oportunidades de mejora, proporcionando una base sólida para las recomendaciones estratégicas subsiguientes.</w:t>
      </w:r>
    </w:p>
    <w:p>
      <w:pPr>
        <w:pStyle w:val="Heading4"/>
        <w:spacing w:before="300" w:after="200"/>
      </w:pPr>
      <w:r>
        <w:t xml:space="preserve">1. Análisis Financiero</w:t>
      </w:r>
    </w:p>
    <w:p>
      <w:pPr>
        <w:spacing w:after="200" w:line="276"/>
      </w:pPr>
      <w:r>
        <w:t xml:space="preserve">Desde una perspectiva financiera, los resultados revelan una trayectoria de recuperación post-pandemia con un crecimiento moderado, pero con señales de vulnerabilidad en la rentabilidad a largo plazo. El ingreso operativo total ascendió a 45.2 millones de euros en 2023, representando un incremento del 12.5% respecto al año anterior (39.8 millones en 2022). Sin embargo, este crecimiento se vio impulsado principalmente por un aumento en los volúmenes de ventas (+18%), mientras que los márgenes brutos se contrajeron del 28% al 24% debido a presiones inflacionarias en costos de materias primas (+15% en promedio).</w:t>
      </w:r>
    </w:p>
    <w:p>
      <w:pPr>
        <w:pStyle w:val="ListParagraph"/>
        <w:numPr>
          <w:ilvl w:val="0"/>
          <w:numId w:val="1"/>
        </w:numPr>
        <w:spacing w:after="80"/>
      </w:pPr>
      <w:r>
        <w:rPr>
          <w:b/>
          <w:bCs/>
        </w:rPr>
        <w:t xml:space="preserve">Estructura de costos</w:t>
      </w:r>
      <w:r>
        <w:t xml:space="preserve">: Los gastos fijos representaron el 42% del total, con un pico en depreciación de activos fijos (8.2 millones de euros), atribuible a la adquisición de maquinaria en 2021. Los costos variables, por su parte, escalaron un 22% por el alza en energía y logística, exacerbada por disrupciones en la cadena de suministro global.</w:t>
      </w:r>
    </w:p>
    <w:p>
      <w:pPr>
        <w:pStyle w:val="ListParagraph"/>
        <w:numPr>
          <w:ilvl w:val="0"/>
          <w:numId w:val="1"/>
        </w:numPr>
        <w:spacing w:after="80"/>
      </w:pPr>
      <w:r>
        <w:rPr>
          <w:b/>
          <w:bCs/>
        </w:rPr>
        <w:t xml:space="preserve">Liquidez y endeudamiento</w:t>
      </w:r>
      <w:r>
        <w:t xml:space="preserve">: El ratio corriente se mantuvo estable en 1.8 (óptimo &gt;1.5), pero el endeudamiento neto creció al 65% del EBITDA, superando el umbral de prudencia del 50%. Esto indica una dependencia creciente de financiamiento externo, con un costo financiero promedio del 4.2%.</w:t>
      </w:r>
    </w:p>
    <w:p>
      <w:pPr>
        <w:pStyle w:val="ListParagraph"/>
        <w:numPr>
          <w:ilvl w:val="0"/>
          <w:numId w:val="1"/>
        </w:numPr>
        <w:spacing w:after="80"/>
      </w:pPr>
      <w:r>
        <w:rPr>
          <w:b/>
          <w:bCs/>
        </w:rPr>
        <w:t xml:space="preserve">Rentabilidad</w:t>
      </w:r>
      <w:r>
        <w:t xml:space="preserve">: El ROE (retorno sobre el patrimonio) alcanzó el 14.5% en 2023, por debajo del promedio sectorial del 18%. Un análisis de sensibilidad muestra que una variación del 5% en los precios de venta impactaría directamente en un 3% de variación en el ROE.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E7E6E6" w:color="auto" w:val="clear"/>
          </w:tcPr>
          <w:p>
            <w:pPr>
              <w:jc w:val="left"/>
            </w:pPr>
            <w:r>
              <w:t xml:space="preserve">Indicador Financiero</w:t>
            </w:r>
          </w:p>
        </w:tc>
        <w:tc>
          <w:tcPr>
            <w:tcBorders>
              <w:top w:val="single" w:color="CCCCCC" w:sz="1"/>
              <w:left w:val="single" w:color="CCCCCC" w:sz="1"/>
              <w:bottom w:val="single" w:color="CCCCCC" w:sz="1"/>
              <w:right w:val="single" w:color="CCCCCC" w:sz="1"/>
            </w:tcBorders>
            <w:shd w:fill="E7E6E6" w:color="auto" w:val="clear"/>
          </w:tcPr>
          <w:p>
            <w:pPr>
              <w:jc w:val="left"/>
            </w:pPr>
            <w:r>
              <w:t xml:space="preserve">2022</w:t>
            </w:r>
          </w:p>
        </w:tc>
        <w:tc>
          <w:tcPr>
            <w:tcBorders>
              <w:top w:val="single" w:color="CCCCCC" w:sz="1"/>
              <w:left w:val="single" w:color="CCCCCC" w:sz="1"/>
              <w:bottom w:val="single" w:color="CCCCCC" w:sz="1"/>
              <w:right w:val="single" w:color="CCCCCC" w:sz="1"/>
            </w:tcBorders>
            <w:shd w:fill="E7E6E6" w:color="auto" w:val="clear"/>
          </w:tcPr>
          <w:p>
            <w:pPr>
              <w:jc w:val="left"/>
            </w:pPr>
            <w:r>
              <w:t xml:space="preserve">2023</w:t>
            </w:r>
          </w:p>
        </w:tc>
        <w:tc>
          <w:tcPr>
            <w:tcBorders>
              <w:top w:val="single" w:color="CCCCCC" w:sz="1"/>
              <w:left w:val="single" w:color="CCCCCC" w:sz="1"/>
              <w:bottom w:val="single" w:color="CCCCCC" w:sz="1"/>
              <w:right w:val="single" w:color="CCCCCC" w:sz="1"/>
            </w:tcBorders>
            <w:shd w:fill="E7E6E6" w:color="auto" w:val="clear"/>
          </w:tcPr>
          <w:p>
            <w:pPr>
              <w:jc w:val="left"/>
            </w:pPr>
            <w:r>
              <w:t xml:space="preserve">Variación %</w:t>
            </w:r>
          </w:p>
        </w:tc>
        <w:tc>
          <w:tcPr>
            <w:tcBorders>
              <w:top w:val="single" w:color="CCCCCC" w:sz="1"/>
              <w:left w:val="single" w:color="CCCCCC" w:sz="1"/>
              <w:bottom w:val="single" w:color="CCCCCC" w:sz="1"/>
              <w:right w:val="single" w:color="CCCCCC" w:sz="1"/>
            </w:tcBorders>
            <w:shd w:fill="E7E6E6" w:color="auto" w:val="clear"/>
          </w:tcPr>
          <w:p>
            <w:pPr>
              <w:jc w:val="left"/>
            </w:pPr>
            <w:r>
              <w:t xml:space="preserve">Benchmark Sectorial</w:t>
            </w:r>
          </w:p>
        </w:tc>
      </w:tr>
      <w:tr>
        <w:tc>
          <w:tcPr>
            <w:tcBorders>
              <w:top w:val="single" w:color="CCCCCC" w:sz="1"/>
              <w:left w:val="single" w:color="CCCCCC" w:sz="1"/>
              <w:bottom w:val="single" w:color="CCCCCC" w:sz="1"/>
              <w:right w:val="single" w:color="CCCCCC" w:sz="1"/>
            </w:tcBorders>
          </w:tcPr>
          <w:p>
            <w:pPr>
              <w:jc w:val="left"/>
            </w:pPr>
            <w:r>
              <w:t xml:space="preserve">Ingresos Operativos</w:t>
            </w:r>
          </w:p>
        </w:tc>
        <w:tc>
          <w:tcPr>
            <w:tcBorders>
              <w:top w:val="single" w:color="CCCCCC" w:sz="1"/>
              <w:left w:val="single" w:color="CCCCCC" w:sz="1"/>
              <w:bottom w:val="single" w:color="CCCCCC" w:sz="1"/>
              <w:right w:val="single" w:color="CCCCCC" w:sz="1"/>
            </w:tcBorders>
          </w:tcPr>
          <w:p>
            <w:pPr>
              <w:jc w:val="left"/>
            </w:pPr>
            <w:r>
              <w:t xml:space="preserve">39.8M €</w:t>
            </w:r>
          </w:p>
        </w:tc>
        <w:tc>
          <w:tcPr>
            <w:tcBorders>
              <w:top w:val="single" w:color="CCCCCC" w:sz="1"/>
              <w:left w:val="single" w:color="CCCCCC" w:sz="1"/>
              <w:bottom w:val="single" w:color="CCCCCC" w:sz="1"/>
              <w:right w:val="single" w:color="CCCCCC" w:sz="1"/>
            </w:tcBorders>
          </w:tcPr>
          <w:p>
            <w:pPr>
              <w:jc w:val="left"/>
            </w:pPr>
            <w:r>
              <w:t xml:space="preserve">45.2M €</w:t>
            </w:r>
          </w:p>
        </w:tc>
        <w:tc>
          <w:tcPr>
            <w:tcBorders>
              <w:top w:val="single" w:color="CCCCCC" w:sz="1"/>
              <w:left w:val="single" w:color="CCCCCC" w:sz="1"/>
              <w:bottom w:val="single" w:color="CCCCCC" w:sz="1"/>
              <w:right w:val="single" w:color="CCCCCC" w:sz="1"/>
            </w:tcBorders>
          </w:tcPr>
          <w:p>
            <w:pPr>
              <w:jc w:val="left"/>
            </w:pPr>
            <w:r>
              <w:t xml:space="preserve">+12.5%</w:t>
            </w:r>
          </w:p>
        </w:tc>
        <w:tc>
          <w:tcPr>
            <w:tcBorders>
              <w:top w:val="single" w:color="CCCCCC" w:sz="1"/>
              <w:left w:val="single" w:color="CCCCCC" w:sz="1"/>
              <w:bottom w:val="single" w:color="CCCCCC" w:sz="1"/>
              <w:right w:val="single" w:color="CCCCCC" w:sz="1"/>
            </w:tcBorders>
          </w:tcPr>
          <w:p>
            <w:pPr>
              <w:jc w:val="left"/>
            </w:pPr>
            <w:r>
              <w:t xml:space="preserve">+10%</w:t>
            </w:r>
          </w:p>
        </w:tc>
      </w:tr>
      <w:tr>
        <w:tc>
          <w:tcPr>
            <w:tcBorders>
              <w:top w:val="single" w:color="CCCCCC" w:sz="1"/>
              <w:left w:val="single" w:color="CCCCCC" w:sz="1"/>
              <w:bottom w:val="single" w:color="CCCCCC" w:sz="1"/>
              <w:right w:val="single" w:color="CCCCCC" w:sz="1"/>
            </w:tcBorders>
          </w:tcPr>
          <w:p>
            <w:pPr>
              <w:jc w:val="left"/>
            </w:pPr>
            <w:r>
              <w:t xml:space="preserve">Margen Bruto</w:t>
            </w:r>
          </w:p>
        </w:tc>
        <w:tc>
          <w:tcPr>
            <w:tcBorders>
              <w:top w:val="single" w:color="CCCCCC" w:sz="1"/>
              <w:left w:val="single" w:color="CCCCCC" w:sz="1"/>
              <w:bottom w:val="single" w:color="CCCCCC" w:sz="1"/>
              <w:right w:val="single" w:color="CCCCCC" w:sz="1"/>
            </w:tcBorders>
          </w:tcPr>
          <w:p>
            <w:pPr>
              <w:jc w:val="left"/>
            </w:pPr>
            <w:r>
              <w:t xml:space="preserve">28%</w:t>
            </w:r>
          </w:p>
        </w:tc>
        <w:tc>
          <w:tcPr>
            <w:tcBorders>
              <w:top w:val="single" w:color="CCCCCC" w:sz="1"/>
              <w:left w:val="single" w:color="CCCCCC" w:sz="1"/>
              <w:bottom w:val="single" w:color="CCCCCC" w:sz="1"/>
              <w:right w:val="single" w:color="CCCCCC" w:sz="1"/>
            </w:tcBorders>
          </w:tcPr>
          <w:p>
            <w:pPr>
              <w:jc w:val="left"/>
            </w:pPr>
            <w:r>
              <w:t xml:space="preserve">24%</w:t>
            </w:r>
          </w:p>
        </w:tc>
        <w:tc>
          <w:tcPr>
            <w:tcBorders>
              <w:top w:val="single" w:color="CCCCCC" w:sz="1"/>
              <w:left w:val="single" w:color="CCCCCC" w:sz="1"/>
              <w:bottom w:val="single" w:color="CCCCCC" w:sz="1"/>
              <w:right w:val="single" w:color="CCCCCC" w:sz="1"/>
            </w:tcBorders>
          </w:tcPr>
          <w:p>
            <w:pPr>
              <w:jc w:val="left"/>
            </w:pPr>
            <w:r>
              <w:t xml:space="preserve">-4 pp</w:t>
            </w:r>
          </w:p>
        </w:tc>
        <w:tc>
          <w:tcPr>
            <w:tcBorders>
              <w:top w:val="single" w:color="CCCCCC" w:sz="1"/>
              <w:left w:val="single" w:color="CCCCCC" w:sz="1"/>
              <w:bottom w:val="single" w:color="CCCCCC" w:sz="1"/>
              <w:right w:val="single" w:color="CCCCCC" w:sz="1"/>
            </w:tcBorders>
          </w:tcPr>
          <w:p>
            <w:pPr>
              <w:jc w:val="left"/>
            </w:pPr>
            <w:r>
              <w:t xml:space="preserve">26%</w:t>
            </w:r>
          </w:p>
        </w:tc>
      </w:tr>
      <w:tr>
        <w:tc>
          <w:tcPr>
            <w:tcBorders>
              <w:top w:val="single" w:color="CCCCCC" w:sz="1"/>
              <w:left w:val="single" w:color="CCCCCC" w:sz="1"/>
              <w:bottom w:val="single" w:color="CCCCCC" w:sz="1"/>
              <w:right w:val="single" w:color="CCCCCC" w:sz="1"/>
            </w:tcBorders>
          </w:tcPr>
          <w:p>
            <w:pPr>
              <w:jc w:val="left"/>
            </w:pPr>
            <w:r>
              <w:t xml:space="preserve">EBITDA</w:t>
            </w:r>
          </w:p>
        </w:tc>
        <w:tc>
          <w:tcPr>
            <w:tcBorders>
              <w:top w:val="single" w:color="CCCCCC" w:sz="1"/>
              <w:left w:val="single" w:color="CCCCCC" w:sz="1"/>
              <w:bottom w:val="single" w:color="CCCCCC" w:sz="1"/>
              <w:right w:val="single" w:color="CCCCCC" w:sz="1"/>
            </w:tcBorders>
          </w:tcPr>
          <w:p>
            <w:pPr>
              <w:jc w:val="left"/>
            </w:pPr>
            <w:r>
              <w:t xml:space="preserve">7.5M €</w:t>
            </w:r>
          </w:p>
        </w:tc>
        <w:tc>
          <w:tcPr>
            <w:tcBorders>
              <w:top w:val="single" w:color="CCCCCC" w:sz="1"/>
              <w:left w:val="single" w:color="CCCCCC" w:sz="1"/>
              <w:bottom w:val="single" w:color="CCCCCC" w:sz="1"/>
              <w:right w:val="single" w:color="CCCCCC" w:sz="1"/>
            </w:tcBorders>
          </w:tcPr>
          <w:p>
            <w:pPr>
              <w:jc w:val="left"/>
            </w:pPr>
            <w:r>
              <w:t xml:space="preserve">8.9M €</w:t>
            </w:r>
          </w:p>
        </w:tc>
        <w:tc>
          <w:tcPr>
            <w:tcBorders>
              <w:top w:val="single" w:color="CCCCCC" w:sz="1"/>
              <w:left w:val="single" w:color="CCCCCC" w:sz="1"/>
              <w:bottom w:val="single" w:color="CCCCCC" w:sz="1"/>
              <w:right w:val="single" w:color="CCCCCC" w:sz="1"/>
            </w:tcBorders>
          </w:tcPr>
          <w:p>
            <w:pPr>
              <w:jc w:val="left"/>
            </w:pPr>
            <w:r>
              <w:t xml:space="preserve">+18.7%</w:t>
            </w:r>
          </w:p>
        </w:tc>
        <w:tc>
          <w:tcPr>
            <w:tcBorders>
              <w:top w:val="single" w:color="CCCCCC" w:sz="1"/>
              <w:left w:val="single" w:color="CCCCCC" w:sz="1"/>
              <w:bottom w:val="single" w:color="CCCCCC" w:sz="1"/>
              <w:right w:val="single" w:color="CCCCCC" w:sz="1"/>
            </w:tcBorders>
          </w:tcPr>
          <w:p>
            <w:pPr>
              <w:jc w:val="left"/>
            </w:pPr>
            <w:r>
              <w:t xml:space="preserve">+15%</w:t>
            </w:r>
          </w:p>
        </w:tc>
      </w:tr>
      <w:tr>
        <w:tc>
          <w:tcPr>
            <w:tcBorders>
              <w:top w:val="single" w:color="CCCCCC" w:sz="1"/>
              <w:left w:val="single" w:color="CCCCCC" w:sz="1"/>
              <w:bottom w:val="single" w:color="CCCCCC" w:sz="1"/>
              <w:right w:val="single" w:color="CCCCCC" w:sz="1"/>
            </w:tcBorders>
          </w:tcPr>
          <w:p>
            <w:pPr>
              <w:jc w:val="left"/>
            </w:pPr>
            <w:r>
              <w:t xml:space="preserve">ROE</w:t>
            </w:r>
          </w:p>
        </w:tc>
        <w:tc>
          <w:tcPr>
            <w:tcBorders>
              <w:top w:val="single" w:color="CCCCCC" w:sz="1"/>
              <w:left w:val="single" w:color="CCCCCC" w:sz="1"/>
              <w:bottom w:val="single" w:color="CCCCCC" w:sz="1"/>
              <w:right w:val="single" w:color="CCCCCC" w:sz="1"/>
            </w:tcBorders>
          </w:tcPr>
          <w:p>
            <w:pPr>
              <w:jc w:val="left"/>
            </w:pPr>
            <w:r>
              <w:t xml:space="preserve">12.1%</w:t>
            </w:r>
          </w:p>
        </w:tc>
        <w:tc>
          <w:tcPr>
            <w:tcBorders>
              <w:top w:val="single" w:color="CCCCCC" w:sz="1"/>
              <w:left w:val="single" w:color="CCCCCC" w:sz="1"/>
              <w:bottom w:val="single" w:color="CCCCCC" w:sz="1"/>
              <w:right w:val="single" w:color="CCCCCC" w:sz="1"/>
            </w:tcBorders>
          </w:tcPr>
          <w:p>
            <w:pPr>
              <w:jc w:val="left"/>
            </w:pPr>
            <w:r>
              <w:t xml:space="preserve">14.5%</w:t>
            </w:r>
          </w:p>
        </w:tc>
        <w:tc>
          <w:tcPr>
            <w:tcBorders>
              <w:top w:val="single" w:color="CCCCCC" w:sz="1"/>
              <w:left w:val="single" w:color="CCCCCC" w:sz="1"/>
              <w:bottom w:val="single" w:color="CCCCCC" w:sz="1"/>
              <w:right w:val="single" w:color="CCCCCC" w:sz="1"/>
            </w:tcBorders>
          </w:tcPr>
          <w:p>
            <w:pPr>
              <w:jc w:val="left"/>
            </w:pPr>
            <w:r>
              <w:t xml:space="preserve">+2.4 pp</w:t>
            </w:r>
          </w:p>
        </w:tc>
        <w:tc>
          <w:tcPr>
            <w:tcBorders>
              <w:top w:val="single" w:color="CCCCCC" w:sz="1"/>
              <w:left w:val="single" w:color="CCCCCC" w:sz="1"/>
              <w:bottom w:val="single" w:color="CCCCCC" w:sz="1"/>
              <w:right w:val="single" w:color="CCCCCC" w:sz="1"/>
            </w:tcBorders>
          </w:tcPr>
          <w:p>
            <w:pPr>
              <w:jc w:val="left"/>
            </w:pPr>
            <w:r>
              <w:t xml:space="preserve">18%</w:t>
            </w:r>
          </w:p>
        </w:tc>
      </w:tr>
      <w:tr>
        <w:tc>
          <w:tcPr>
            <w:tcBorders>
              <w:top w:val="single" w:color="CCCCCC" w:sz="1"/>
              <w:left w:val="single" w:color="CCCCCC" w:sz="1"/>
              <w:bottom w:val="single" w:color="CCCCCC" w:sz="1"/>
              <w:right w:val="single" w:color="CCCCCC" w:sz="1"/>
            </w:tcBorders>
          </w:tcPr>
          <w:p>
            <w:pPr>
              <w:jc w:val="left"/>
            </w:pPr>
            <w:r>
              <w:t xml:space="preserve">Ratio Endeudamiento</w:t>
            </w:r>
          </w:p>
        </w:tc>
        <w:tc>
          <w:tcPr>
            <w:tcBorders>
              <w:top w:val="single" w:color="CCCCCC" w:sz="1"/>
              <w:left w:val="single" w:color="CCCCCC" w:sz="1"/>
              <w:bottom w:val="single" w:color="CCCCCC" w:sz="1"/>
              <w:right w:val="single" w:color="CCCCCC" w:sz="1"/>
            </w:tcBorders>
          </w:tcPr>
          <w:p>
            <w:pPr>
              <w:jc w:val="left"/>
            </w:pPr>
            <w:r>
              <w:t xml:space="preserve">55%</w:t>
            </w:r>
          </w:p>
        </w:tc>
        <w:tc>
          <w:tcPr>
            <w:tcBorders>
              <w:top w:val="single" w:color="CCCCCC" w:sz="1"/>
              <w:left w:val="single" w:color="CCCCCC" w:sz="1"/>
              <w:bottom w:val="single" w:color="CCCCCC" w:sz="1"/>
              <w:right w:val="single" w:color="CCCCCC" w:sz="1"/>
            </w:tcBorders>
          </w:tcPr>
          <w:p>
            <w:pPr>
              <w:jc w:val="left"/>
            </w:pPr>
            <w:r>
              <w:t xml:space="preserve">65%</w:t>
            </w:r>
          </w:p>
        </w:tc>
        <w:tc>
          <w:tcPr>
            <w:tcBorders>
              <w:top w:val="single" w:color="CCCCCC" w:sz="1"/>
              <w:left w:val="single" w:color="CCCCCC" w:sz="1"/>
              <w:bottom w:val="single" w:color="CCCCCC" w:sz="1"/>
              <w:right w:val="single" w:color="CCCCCC" w:sz="1"/>
            </w:tcBorders>
          </w:tcPr>
          <w:p>
            <w:pPr>
              <w:jc w:val="left"/>
            </w:pPr>
            <w:r>
              <w:t xml:space="preserve">+10 pp</w:t>
            </w:r>
          </w:p>
        </w:tc>
        <w:tc>
          <w:tcPr>
            <w:tcBorders>
              <w:top w:val="single" w:color="CCCCCC" w:sz="1"/>
              <w:left w:val="single" w:color="CCCCCC" w:sz="1"/>
              <w:bottom w:val="single" w:color="CCCCCC" w:sz="1"/>
              <w:right w:val="single" w:color="CCCCCC" w:sz="1"/>
            </w:tcBorders>
          </w:tcPr>
          <w:p>
            <w:pPr>
              <w:jc w:val="left"/>
            </w:pPr>
            <w:r>
              <w:t xml:space="preserve">50%</w:t>
            </w:r>
          </w:p>
        </w:tc>
      </w:tr>
    </w:tbl>
    <w:p>
      <w:pPr>
        <w:spacing w:after="200"/>
      </w:pPr>
    </w:p>
    <w:p>
      <w:pPr>
        <w:spacing w:after="200" w:line="276"/>
      </w:pPr>
      <w:r>
        <w:t xml:space="preserve">Estos datos sugieren una necesidad imperiosa de optimizar la estructura de costos para sostener el crecimiento.</w:t>
      </w:r>
    </w:p>
    <w:p>
      <w:pPr>
        <w:pStyle w:val="Heading4"/>
        <w:spacing w:before="300" w:after="200"/>
      </w:pPr>
      <w:r>
        <w:t xml:space="preserve">2. Análisis Operativo</w:t>
      </w:r>
    </w:p>
    <w:p>
      <w:pPr>
        <w:spacing w:after="200" w:line="276"/>
      </w:pPr>
      <w:r>
        <w:t xml:space="preserve">En el ámbito operativo, se evidencia una eficiencia mixta, con avances en digitalización pero rezagos en la gestión de inventarios. La productividad laboral, medida en unidades producidas por hora-hombre, mejoró un 9% (de 145 a 158 unidades), gracias a la implementación de un sistema ERP en Q2 2023. No obstante, la tasa de defectos aumentó del 2.1% al 3.4%, correlacionada con un 15% de rotación de personal en el área de producción.</w:t>
      </w:r>
    </w:p>
    <w:p>
      <w:pPr>
        <w:pStyle w:val="ListParagraph"/>
        <w:numPr>
          <w:ilvl w:val="0"/>
          <w:numId w:val="1"/>
        </w:numPr>
        <w:spacing w:after="80"/>
      </w:pPr>
      <w:r>
        <w:rPr>
          <w:b/>
          <w:bCs/>
        </w:rPr>
        <w:t xml:space="preserve">Cadena de suministro</w:t>
      </w:r>
      <w:r>
        <w:t xml:space="preserve">: El tiempo de ciclo de inventario se extendió de 45 a 52 días, incrementando los costos de almacenamiento en 1.2 millones de euros. Un análisis ABC identificó que el 20% de los proveedores (clase A) concentran el 80% de los retrasos, principalmente por dependencias asiáticas.</w:t>
      </w:r>
    </w:p>
    <w:p>
      <w:pPr>
        <w:pStyle w:val="ListParagraph"/>
        <w:numPr>
          <w:ilvl w:val="0"/>
          <w:numId w:val="1"/>
        </w:numPr>
        <w:spacing w:after="80"/>
      </w:pPr>
      <w:r>
        <w:rPr>
          <w:b/>
          <w:bCs/>
        </w:rPr>
        <w:t xml:space="preserve">Capacidad productiva</w:t>
      </w:r>
      <w:r>
        <w:t xml:space="preserve">: La utilización de planta alcanzó el 82% en 2023 (vs. 75% en 2022), pero con cuellos de botella en líneas de ensamblaje, donde el OEE (Overall Equipment Effectiveness) promedia 68%, por debajo del estándar mundial del 85%.</w:t>
      </w:r>
    </w:p>
    <w:p>
      <w:pPr>
        <w:pStyle w:val="ListParagraph"/>
        <w:numPr>
          <w:ilvl w:val="0"/>
          <w:numId w:val="1"/>
        </w:numPr>
        <w:spacing w:after="80"/>
      </w:pPr>
      <w:r>
        <w:rPr>
          <w:b/>
          <w:bCs/>
        </w:rPr>
        <w:t xml:space="preserve">Digitalización</w:t>
      </w:r>
      <w:r>
        <w:t xml:space="preserve">: La adopción de IoT en monitoreo de máquinas redujo paradas no planificadas en un 25%, generando ahorros estimados de 450.000 euros.</w:t>
      </w:r>
    </w:p>
    <w:p>
      <w:pPr>
        <w:spacing w:after="200" w:line="276"/>
      </w:pPr>
      <w:r>
        <w:t xml:space="preserve">Mediante un modelo de regresión lineal múltiple (R²=0.87), se determinó que la variable "inversión en tecnología" explica el 45% de la variación en productividad, mientras que "rotación de personal" impacta negativamente en un 32%.</w:t>
      </w:r>
    </w:p>
    <w:p>
      <w:pPr>
        <w:pStyle w:val="Heading4"/>
        <w:spacing w:before="300" w:after="200"/>
      </w:pPr>
      <w:r>
        <w:t xml:space="preserve">3. Análisis de Mercado y Competitivo</w:t>
      </w:r>
    </w:p>
    <w:p>
      <w:pPr>
        <w:spacing w:after="200" w:line="276"/>
      </w:pPr>
      <w:r>
        <w:t xml:space="preserve">El posicionamiento de mercado muestra una cuota del 14% en el segmento de bienes de consumo duradero, con una erosión del 1.2% anual por competencia de importaciones low-cost. Las encuestas a 1.200 clientes (tasa de respuesta 72%) revelan una satisfacción neta del 76% (NPS=42), impulsada por calidad (puntuación 8.7/10), pero penalizada por plazos de entrega (6.2/10).</w:t>
      </w:r>
    </w:p>
    <w:p>
      <w:pPr>
        <w:pStyle w:val="ListParagraph"/>
        <w:numPr>
          <w:ilvl w:val="0"/>
          <w:numId w:val="1"/>
        </w:numPr>
        <w:spacing w:after="80"/>
      </w:pPr>
      <w:r>
        <w:rPr>
          <w:b/>
          <w:bCs/>
        </w:rPr>
        <w:t xml:space="preserve">Tendencias de demanda</w:t>
      </w:r>
      <w:r>
        <w:t xml:space="preserve">: Un análisis de series temporales (modelo ARIMA) pronostica un crecimiento del mercado del 6% anual hasta 2025, con un shift hacia productos sostenibles (demanda +22% en variantes ecológicas).</w:t>
      </w:r>
    </w:p>
    <w:p>
      <w:pPr>
        <w:pStyle w:val="ListParagraph"/>
        <w:numPr>
          <w:ilvl w:val="0"/>
          <w:numId w:val="1"/>
        </w:numPr>
        <w:spacing w:after="80"/>
      </w:pPr>
      <w:r>
        <w:rPr>
          <w:b/>
          <w:bCs/>
        </w:rPr>
        <w:t xml:space="preserve">Análisis de competidores</w:t>
      </w:r>
      <w:r>
        <w:t xml:space="preserve">: Comparado con los tres principales rivales, nuestra organización lidera en innovación (3 patentes vs. 1 promedio), pero queda rezagada en precios (promedio 12% superior) y cobertura geográfica (presencia en 5 países vs. 8).</w:t>
      </w:r>
    </w:p>
    <w:p>
      <w:pPr>
        <w:pStyle w:val="ListParagraph"/>
        <w:numPr>
          <w:ilvl w:val="0"/>
          <w:numId w:val="1"/>
        </w:numPr>
        <w:spacing w:after="80"/>
      </w:pPr>
      <w:r>
        <w:rPr>
          <w:b/>
          <w:bCs/>
        </w:rPr>
        <w:t xml:space="preserve">Factores externos</w:t>
      </w:r>
      <w:r>
        <w:t xml:space="preserve">: El PESTEL destaca riesgos macroeconómicos (inflación al 7.2%) y oportunidades en regulaciones verdes (subvenciones UE por 2.5M € potenciales).</w:t>
      </w:r>
    </w:p>
    <w:p>
      <w:pPr>
        <w:spacing w:after="200" w:line="276"/>
      </w:pPr>
      <w:r>
        <w:t xml:space="preserve">Una matriz BCG posiciona nuestros productos estrella en "vacas lecheras" (45% de ventas), pero con "perros" (20%) que drenan recursos sin rentabilidad.</w:t>
      </w:r>
    </w:p>
    <w:p>
      <w:pPr>
        <w:pStyle w:val="Heading4"/>
        <w:spacing w:before="300" w:after="200"/>
      </w:pPr>
      <w:r>
        <w:t xml:space="preserve">4. Análisis de Recursos Humanos</w:t>
      </w:r>
    </w:p>
    <w:p>
      <w:pPr>
        <w:spacing w:after="200" w:line="276"/>
      </w:pPr>
      <w:r>
        <w:t xml:space="preserve">La gestión del talento presenta desafíos estructurales. La rotación voluntaria fue del 16% en 2023 (vs. 12% sectorial), concentrada en niveles operativos, con un costo de reposición estimado en 850.000 euros. Las encuestas internas (n=450 empleados) indican un compromiso del 68%, con fortalezas en liderazgo (7.5/10) y debilidades en desarrollo profesional (5.8/10).</w:t>
      </w:r>
    </w:p>
    <w:p>
      <w:pPr>
        <w:pStyle w:val="ListParagraph"/>
        <w:numPr>
          <w:ilvl w:val="0"/>
          <w:numId w:val="1"/>
        </w:numPr>
        <w:spacing w:after="80"/>
      </w:pPr>
      <w:r>
        <w:rPr>
          <w:b/>
          <w:bCs/>
        </w:rPr>
        <w:t xml:space="preserve">Diversidad e inclusión</w:t>
      </w:r>
      <w:r>
        <w:t xml:space="preserve">: Progreso en género (42% mujeres en roles directivos, +8 pp), pero brechas en edad (promedio 41 años vs. 37 sectorial).</w:t>
      </w:r>
    </w:p>
    <w:p>
      <w:pPr>
        <w:pStyle w:val="ListParagraph"/>
        <w:numPr>
          <w:ilvl w:val="0"/>
          <w:numId w:val="1"/>
        </w:numPr>
        <w:spacing w:after="80"/>
      </w:pPr>
      <w:r>
        <w:rPr>
          <w:b/>
          <w:bCs/>
        </w:rPr>
        <w:t xml:space="preserve">Formación</w:t>
      </w:r>
      <w:r>
        <w:t xml:space="preserve">: Inversión de 180.000 euros generó un ROI del 220%, elevando competencias digitales en un 15%.</w:t>
      </w:r>
    </w:p>
    <w:p>
      <w:pPr>
        <w:pStyle w:val="ListParagraph"/>
        <w:numPr>
          <w:ilvl w:val="0"/>
          <w:numId w:val="1"/>
        </w:numPr>
        <w:spacing w:after="80"/>
      </w:pPr>
      <w:r>
        <w:rPr>
          <w:b/>
          <w:bCs/>
        </w:rPr>
        <w:t xml:space="preserve">Clima laboral</w:t>
      </w:r>
      <w:r>
        <w:t xml:space="preserve">: Correlación negativa (r=-0.65) entre sobrecarga laboral y satisfacción, con 28% reportando burnout.</w:t>
      </w:r>
    </w:p>
    <w:p>
      <w:pPr>
        <w:pStyle w:val="Heading4"/>
        <w:spacing w:before="300" w:after="200"/>
      </w:pPr>
      <w:r>
        <w:t xml:space="preserve">5. Análisis de Riesgos y Sostenibilidad</w:t>
      </w:r>
    </w:p>
    <w:p>
      <w:pPr>
        <w:spacing w:after="200" w:line="276"/>
      </w:pPr>
      <w:r>
        <w:t xml:space="preserve">Se identificaron 12 riesgos principales mediante una matriz de probabilidad-impacto, con énfasis en ciberseguridad (alta probabilidad, impacto medio) y cambio climático (media probabilidad, alto impacto). La huella de carbono se redujo un 11% (de 2.450 a 2.180 tCO₂e), alineándose con objetivos ESG, pero persisten emisiones en logística (55% del total).</w:t>
      </w:r>
    </w:p>
    <w:p>
      <w:pPr>
        <w:spacing w:after="200" w:line="276"/>
      </w:pPr>
      <w:r>
        <w:t xml:space="preserve">Un análisis FODA sintético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E7E6E6" w:color="auto" w:val="clear"/>
          </w:tcPr>
          <w:p>
            <w:pPr>
              <w:jc w:val="left"/>
            </w:pPr>
            <w:r>
              <w:t xml:space="preserve">Fortalezas (F)</w:t>
            </w:r>
          </w:p>
        </w:tc>
        <w:tc>
          <w:tcPr>
            <w:tcBorders>
              <w:top w:val="single" w:color="CCCCCC" w:sz="1"/>
              <w:left w:val="single" w:color="CCCCCC" w:sz="1"/>
              <w:bottom w:val="single" w:color="CCCCCC" w:sz="1"/>
              <w:right w:val="single" w:color="CCCCCC" w:sz="1"/>
            </w:tcBorders>
            <w:shd w:fill="E7E6E6" w:color="auto" w:val="clear"/>
          </w:tcPr>
          <w:p>
            <w:pPr>
              <w:jc w:val="left"/>
            </w:pPr>
            <w:r>
              <w:t xml:space="preserve">Debilidades (D)</w:t>
            </w:r>
          </w:p>
        </w:tc>
        <w:tc>
          <w:tcPr>
            <w:tcBorders>
              <w:top w:val="single" w:color="CCCCCC" w:sz="1"/>
              <w:left w:val="single" w:color="CCCCCC" w:sz="1"/>
              <w:bottom w:val="single" w:color="CCCCCC" w:sz="1"/>
              <w:right w:val="single" w:color="CCCCCC" w:sz="1"/>
            </w:tcBorders>
            <w:shd w:fill="E7E6E6" w:color="auto" w:val="clear"/>
          </w:tcPr>
          <w:p>
            <w:pPr>
              <w:jc w:val="left"/>
            </w:pPr>
            <w:r>
              <w:t xml:space="preserve">Oportunidades (O)</w:t>
            </w:r>
          </w:p>
        </w:tc>
        <w:tc>
          <w:tcPr>
            <w:tcBorders>
              <w:top w:val="single" w:color="CCCCCC" w:sz="1"/>
              <w:left w:val="single" w:color="CCCCCC" w:sz="1"/>
              <w:bottom w:val="single" w:color="CCCCCC" w:sz="1"/>
              <w:right w:val="single" w:color="CCCCCC" w:sz="1"/>
            </w:tcBorders>
            <w:shd w:fill="E7E6E6" w:color="auto" w:val="clear"/>
          </w:tcPr>
          <w:p>
            <w:pPr>
              <w:jc w:val="left"/>
            </w:pPr>
            <w:r>
              <w:t xml:space="preserve">Amenazas (A)</w:t>
            </w:r>
          </w:p>
        </w:tc>
      </w:tr>
      <w:tr>
        <w:tc>
          <w:tcPr>
            <w:tcBorders>
              <w:top w:val="single" w:color="CCCCCC" w:sz="1"/>
              <w:left w:val="single" w:color="CCCCCC" w:sz="1"/>
              <w:bottom w:val="single" w:color="CCCCCC" w:sz="1"/>
              <w:right w:val="single" w:color="CCCCCC" w:sz="1"/>
            </w:tcBorders>
          </w:tcPr>
          <w:p>
            <w:pPr>
              <w:jc w:val="left"/>
            </w:pPr>
            <w:r>
              <w:t xml:space="preserve">Marca consolidada</w:t>
            </w:r>
            <w:r>
              <w:t xml:space="preserve">&lt;br&gt;</w:t>
            </w:r>
            <w:r>
              <w:t xml:space="preserve">Digitalización avanzada</w:t>
            </w:r>
          </w:p>
        </w:tc>
        <w:tc>
          <w:tcPr>
            <w:tcBorders>
              <w:top w:val="single" w:color="CCCCCC" w:sz="1"/>
              <w:left w:val="single" w:color="CCCCCC" w:sz="1"/>
              <w:bottom w:val="single" w:color="CCCCCC" w:sz="1"/>
              <w:right w:val="single" w:color="CCCCCC" w:sz="1"/>
            </w:tcBorders>
          </w:tcPr>
          <w:p>
            <w:pPr>
              <w:jc w:val="left"/>
            </w:pPr>
            <w:r>
              <w:t xml:space="preserve">Altos costos fijos</w:t>
            </w:r>
            <w:r>
              <w:t xml:space="preserve">&lt;br&gt;</w:t>
            </w:r>
            <w:r>
              <w:t xml:space="preserve">Rotación alta</w:t>
            </w:r>
          </w:p>
        </w:tc>
        <w:tc>
          <w:tcPr>
            <w:tcBorders>
              <w:top w:val="single" w:color="CCCCCC" w:sz="1"/>
              <w:left w:val="single" w:color="CCCCCC" w:sz="1"/>
              <w:bottom w:val="single" w:color="CCCCCC" w:sz="1"/>
              <w:right w:val="single" w:color="CCCCCC" w:sz="1"/>
            </w:tcBorders>
          </w:tcPr>
          <w:p>
            <w:pPr>
              <w:jc w:val="left"/>
            </w:pPr>
            <w:r>
              <w:t xml:space="preserve">Expansión sostenible</w:t>
            </w:r>
            <w:r>
              <w:t xml:space="preserve">&lt;br&gt;</w:t>
            </w:r>
            <w:r>
              <w:t xml:space="preserve">Subvenciones UE</w:t>
            </w:r>
          </w:p>
        </w:tc>
        <w:tc>
          <w:tcPr>
            <w:tcBorders>
              <w:top w:val="single" w:color="CCCCCC" w:sz="1"/>
              <w:left w:val="single" w:color="CCCCCC" w:sz="1"/>
              <w:bottom w:val="single" w:color="CCCCCC" w:sz="1"/>
              <w:right w:val="single" w:color="CCCCCC" w:sz="1"/>
            </w:tcBorders>
          </w:tcPr>
          <w:p>
            <w:pPr>
              <w:jc w:val="left"/>
            </w:pPr>
            <w:r>
              <w:t xml:space="preserve">Inflación</w:t>
            </w:r>
            <w:r>
              <w:t xml:space="preserve">&lt;br&gt;</w:t>
            </w:r>
            <w:r>
              <w:t xml:space="preserve">Competencia importada</w:t>
            </w:r>
          </w:p>
        </w:tc>
      </w:tr>
      <w:tr>
        <w:tc>
          <w:tcPr>
            <w:tcBorders>
              <w:top w:val="single" w:color="CCCCCC" w:sz="1"/>
              <w:left w:val="single" w:color="CCCCCC" w:sz="1"/>
              <w:bottom w:val="single" w:color="CCCCCC" w:sz="1"/>
              <w:right w:val="single" w:color="CCCCCC" w:sz="1"/>
            </w:tcBorders>
          </w:tcPr>
          <w:p>
            <w:pPr>
              <w:jc w:val="left"/>
            </w:pPr>
            <w:r>
              <w:rPr>
                <w:b/>
                <w:bCs/>
              </w:rPr>
              <w:t xml:space="preserve">Estrategias FO</w:t>
            </w:r>
            <w:r>
              <w:t xml:space="preserve">: Alianzas ecológicas</w:t>
            </w:r>
          </w:p>
        </w:tc>
        <w:tc>
          <w:tcPr>
            <w:tcBorders>
              <w:top w:val="single" w:color="CCCCCC" w:sz="1"/>
              <w:left w:val="single" w:color="CCCCCC" w:sz="1"/>
              <w:bottom w:val="single" w:color="CCCCCC" w:sz="1"/>
              <w:right w:val="single" w:color="CCCCCC" w:sz="1"/>
            </w:tcBorders>
          </w:tcPr>
          <w:p>
            <w:pPr>
              <w:jc w:val="left"/>
            </w:pPr>
            <w:r>
              <w:rPr>
                <w:b/>
                <w:bCs/>
              </w:rPr>
              <w:t xml:space="preserve">Estrategias DO</w:t>
            </w:r>
            <w:r>
              <w:t xml:space="preserve">: Optimización costos</w:t>
            </w:r>
          </w:p>
        </w:tc>
        <w:tc>
          <w:tcPr>
            <w:tcBorders>
              <w:top w:val="single" w:color="CCCCCC" w:sz="1"/>
              <w:left w:val="single" w:color="CCCCCC" w:sz="1"/>
              <w:bottom w:val="single" w:color="CCCCCC" w:sz="1"/>
              <w:right w:val="single" w:color="CCCCCC" w:sz="1"/>
            </w:tcBorders>
          </w:tcPr>
          <w:p>
            <w:pPr>
              <w:jc w:val="left"/>
            </w:pPr>
            <w:r>
              <w:rPr>
                <w:b/>
                <w:bCs/>
              </w:rPr>
              <w:t xml:space="preserve">Estrategias FA</w:t>
            </w:r>
            <w:r>
              <w:t xml:space="preserve">: Diversificación mercados</w:t>
            </w:r>
          </w:p>
        </w:tc>
        <w:tc>
          <w:tcPr>
            <w:tcBorders>
              <w:top w:val="single" w:color="CCCCCC" w:sz="1"/>
              <w:left w:val="single" w:color="CCCCCC" w:sz="1"/>
              <w:bottom w:val="single" w:color="CCCCCC" w:sz="1"/>
              <w:right w:val="single" w:color="CCCCCC" w:sz="1"/>
            </w:tcBorders>
          </w:tcPr>
          <w:p>
            <w:pPr>
              <w:jc w:val="left"/>
            </w:pPr>
            <w:r>
              <w:rPr>
                <w:b/>
                <w:bCs/>
              </w:rPr>
              <w:t xml:space="preserve">Estrategias DA</w:t>
            </w:r>
            <w:r>
              <w:t xml:space="preserve">: Planes contingencia</w:t>
            </w:r>
          </w:p>
        </w:tc>
      </w:tr>
    </w:tbl>
    <w:p>
      <w:pPr>
        <w:spacing w:after="200"/>
      </w:pPr>
    </w:p>
    <w:p>
      <w:pPr>
        <w:pStyle w:val="Heading4"/>
        <w:spacing w:before="300" w:after="200"/>
      </w:pPr>
      <w:r>
        <w:t xml:space="preserve">Conclusiones Preliminares del Análisis</w:t>
      </w:r>
    </w:p>
    <w:p>
      <w:pPr>
        <w:spacing w:after="200" w:line="276"/>
      </w:pPr>
      <w:r>
        <w:t xml:space="preserve">Este diagnóstico integral revela una organización resiliente pero en una encrucijada estratégica: el crecimiento financiero es insostenible sin intervenciones operativas y de mercado. Las interdependencias entre KPIs (e.g., rotación impacta productividad en -0.42 coeficiente) subrayan la necesidad de un enfoque holístico. Se estima que implementar las mejoras identificadas podría elevar el EBITDA en un 25% para 2025, sujeto a ejecución disciplinada.</w:t>
      </w:r>
    </w:p>
    <w:p>
      <w:pPr>
        <w:spacing w:after="200" w:line="276"/>
      </w:pPr>
      <w:r>
        <w:t xml:space="preserve">(Palabras totales: 1.248)</w:t>
      </w:r>
    </w:p>
    <w:p>
      <w:pPr>
        <w:pStyle w:val="Heading2"/>
        <w:spacing w:before="300" w:after="200"/>
      </w:pPr>
      <w:r>
        <w:t xml:space="preserve">Hallazgos</w:t>
      </w:r>
    </w:p>
    <w:p>
      <w:pPr>
        <w:pStyle w:val="Heading3"/>
        <w:spacing w:before="300" w:after="200"/>
      </w:pPr>
      <w:r>
        <w:t xml:space="preserve">Hallazgos Principales</w:t>
      </w:r>
    </w:p>
    <w:p>
      <w:pPr>
        <w:spacing w:after="200" w:line="276"/>
      </w:pPr>
      <w:r>
        <w:t xml:space="preserve">Los hallazgos derivados del análisis exhaustivo de los datos recopilados durante la fase de investigación revelan patrones significativos en el comportamiento del mercado objetivo, con implicaciones directas para la estrategia de implementación propuesta. A continuación, se detallan los resultados clave, organizados por categorías temáticas para facilitar su comprensión y aplicación.</w:t>
      </w:r>
    </w:p>
    <w:p>
      <w:pPr>
        <w:pStyle w:val="Heading4"/>
        <w:spacing w:before="300" w:after="200"/>
      </w:pPr>
      <w:r>
        <w:t xml:space="preserve">1. Análisis Demográfico y Segmentación de Usuarios</w:t>
      </w:r>
    </w:p>
    <w:p>
      <w:pPr>
        <w:spacing w:after="200" w:line="276"/>
      </w:pPr>
      <w:r>
        <w:t xml:space="preserve">El estudio demográfico, basado en una muestra representativa de 5.200 encuestados distribuidos en tres regiones geográficas principales (Norte, Centro y Sur), identificó una distribución etaria predominante entre los 25 y 45 años, que representa el </w:t>
      </w:r>
      <w:r>
        <w:rPr>
          <w:b/>
          <w:bCs/>
        </w:rPr>
        <w:t xml:space="preserve">68%</w:t>
      </w:r>
      <w:r>
        <w:t xml:space="preserve"> del total. Dentro de este grupo, el segmento de profesionales independientes (freelancers y emprendedores) destaca con un </w:t>
      </w:r>
      <w:r>
        <w:rPr>
          <w:b/>
          <w:bCs/>
        </w:rPr>
        <w:t xml:space="preserve">42%</w:t>
      </w:r>
      <w:r>
        <w:t xml:space="preserve">, seguido por empleados de medianas empresas (</w:t>
      </w:r>
      <w:r>
        <w:rPr>
          <w:b/>
          <w:bCs/>
        </w:rPr>
        <w:t xml:space="preserve">31%</w:t>
      </w:r>
      <w:r>
        <w:t xml:space="preserve">) y estudiantes de posgrado (</w:t>
      </w:r>
      <w:r>
        <w:rPr>
          <w:b/>
          <w:bCs/>
        </w:rPr>
        <w:t xml:space="preserve">27%</w:t>
      </w:r>
      <w:r>
        <w:t xml:space="preserve">).</w:t>
      </w:r>
    </w:p>
    <w:p>
      <w:pPr>
        <w:pStyle w:val="ListParagraph"/>
        <w:numPr>
          <w:ilvl w:val="0"/>
          <w:numId w:val="1"/>
        </w:numPr>
        <w:spacing w:after="80"/>
      </w:pPr>
      <w:r>
        <w:rPr>
          <w:b/>
          <w:bCs/>
        </w:rPr>
        <w:t xml:space="preserve">Distribución por género</w:t>
      </w:r>
      <w:r>
        <w:t xml:space="preserve">: Mujeres: 52%; Hombres: 48%.</w:t>
      </w:r>
    </w:p>
    <w:p>
      <w:pPr>
        <w:pStyle w:val="ListParagraph"/>
        <w:numPr>
          <w:ilvl w:val="0"/>
          <w:numId w:val="1"/>
        </w:numPr>
        <w:spacing w:after="80"/>
      </w:pPr>
      <w:r>
        <w:rPr>
          <w:b/>
          <w:bCs/>
        </w:rPr>
        <w:t xml:space="preserve">Nivel educativo</w:t>
      </w:r>
      <w:r>
        <w:t xml:space="preserve">: Superior al 85% posee título universitario o equivalente.</w:t>
      </w:r>
    </w:p>
    <w:p>
      <w:pPr>
        <w:pStyle w:val="ListParagraph"/>
        <w:numPr>
          <w:ilvl w:val="0"/>
          <w:numId w:val="1"/>
        </w:numPr>
        <w:spacing w:after="80"/>
      </w:pPr>
      <w:r>
        <w:rPr>
          <w:b/>
          <w:bCs/>
        </w:rPr>
        <w:t xml:space="preserve">Ingresos mensuales promedio</w:t>
      </w:r>
      <w:r>
        <w:t xml:space="preserve">: Entre 1.500 y 4.000 euros, con una mediana de 2.800 euros.</w:t>
      </w:r>
    </w:p>
    <w:p>
      <w:pPr>
        <w:spacing w:after="200" w:line="276"/>
      </w:pPr>
      <w:r>
        <w:t xml:space="preserve">Estos datos subrayan una segmentación homogénea en términos de poder adquisitivo y formación académica, lo que sugiere una alta receptividad a soluciones digitales premium. Sin embargo, se observa una brecha regional: el Norte presenta un ingreso promedio un </w:t>
      </w:r>
      <w:r>
        <w:rPr>
          <w:b/>
          <w:bCs/>
        </w:rPr>
        <w:t xml:space="preserve">15% superior</w:t>
      </w:r>
      <w:r>
        <w:t xml:space="preserve"> al Sur, lo que podría influir en estrategias de pricing diferenciadas.</w:t>
      </w:r>
    </w:p>
    <w:p>
      <w:pPr>
        <w:pStyle w:val="Heading4"/>
        <w:spacing w:before="300" w:after="200"/>
      </w:pPr>
      <w:r>
        <w:t xml:space="preserve">2. Comportamiento de Consumo y Preferencias Digitales</w:t>
      </w:r>
    </w:p>
    <w:p>
      <w:pPr>
        <w:spacing w:after="200" w:line="276"/>
      </w:pPr>
      <w:r>
        <w:t xml:space="preserve">El análisis de patrones de uso digital, medido a través de métricas de tracking durante 90 días, indica que el </w:t>
      </w:r>
      <w:r>
        <w:rPr>
          <w:b/>
          <w:bCs/>
        </w:rPr>
        <w:t xml:space="preserve">76%</w:t>
      </w:r>
      <w:r>
        <w:t xml:space="preserve"> de los usuarios accede a plataformas móviles diariamente, con un tiempo promedio de sesión de 2 horas y 15 minutos. Las preferencias por funcionalidades específicas se resumen en la siguiente tabla: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7E6E6" w:color="auto" w:val="clear"/>
          </w:tcPr>
          <w:p>
            <w:pPr>
              <w:jc w:val="left"/>
            </w:pPr>
            <w:r>
              <w:t xml:space="preserve">Funcionalidad</w:t>
            </w:r>
          </w:p>
        </w:tc>
        <w:tc>
          <w:tcPr>
            <w:tcBorders>
              <w:top w:val="single" w:color="CCCCCC" w:sz="1"/>
              <w:left w:val="single" w:color="CCCCCC" w:sz="1"/>
              <w:bottom w:val="single" w:color="CCCCCC" w:sz="1"/>
              <w:right w:val="single" w:color="CCCCCC" w:sz="1"/>
            </w:tcBorders>
            <w:shd w:fill="E7E6E6" w:color="auto" w:val="clear"/>
          </w:tcPr>
          <w:p>
            <w:pPr>
              <w:jc w:val="left"/>
            </w:pPr>
            <w:r>
              <w:t xml:space="preserve">Preferencia (%)</w:t>
            </w:r>
          </w:p>
        </w:tc>
        <w:tc>
          <w:tcPr>
            <w:tcBorders>
              <w:top w:val="single" w:color="CCCCCC" w:sz="1"/>
              <w:left w:val="single" w:color="CCCCCC" w:sz="1"/>
              <w:bottom w:val="single" w:color="CCCCCC" w:sz="1"/>
              <w:right w:val="single" w:color="CCCCCC" w:sz="1"/>
            </w:tcBorders>
            <w:shd w:fill="E7E6E6" w:color="auto" w:val="clear"/>
          </w:tcPr>
          <w:p>
            <w:pPr>
              <w:jc w:val="left"/>
            </w:pPr>
            <w:r>
              <w:t xml:space="preserve">Frecuencia de Uso (diaria)</w:t>
            </w:r>
          </w:p>
        </w:tc>
      </w:tr>
      <w:tr>
        <w:tc>
          <w:tcPr>
            <w:tcBorders>
              <w:top w:val="single" w:color="CCCCCC" w:sz="1"/>
              <w:left w:val="single" w:color="CCCCCC" w:sz="1"/>
              <w:bottom w:val="single" w:color="CCCCCC" w:sz="1"/>
              <w:right w:val="single" w:color="CCCCCC" w:sz="1"/>
            </w:tcBorders>
          </w:tcPr>
          <w:p>
            <w:pPr>
              <w:jc w:val="left"/>
            </w:pPr>
            <w:r>
              <w:t xml:space="preserve">Interfaz intuitiva</w:t>
            </w:r>
          </w:p>
        </w:tc>
        <w:tc>
          <w:tcPr>
            <w:tcBorders>
              <w:top w:val="single" w:color="CCCCCC" w:sz="1"/>
              <w:left w:val="single" w:color="CCCCCC" w:sz="1"/>
              <w:bottom w:val="single" w:color="CCCCCC" w:sz="1"/>
              <w:right w:val="single" w:color="CCCCCC" w:sz="1"/>
            </w:tcBorders>
          </w:tcPr>
          <w:p>
            <w:pPr>
              <w:jc w:val="left"/>
            </w:pPr>
            <w:r>
              <w:t xml:space="preserve">89</w:t>
            </w:r>
          </w:p>
        </w:tc>
        <w:tc>
          <w:tcPr>
            <w:tcBorders>
              <w:top w:val="single" w:color="CCCCCC" w:sz="1"/>
              <w:left w:val="single" w:color="CCCCCC" w:sz="1"/>
              <w:bottom w:val="single" w:color="CCCCCC" w:sz="1"/>
              <w:right w:val="single" w:color="CCCCCC" w:sz="1"/>
            </w:tcBorders>
          </w:tcPr>
          <w:p>
            <w:pPr>
              <w:jc w:val="left"/>
            </w:pPr>
            <w:r>
              <w:t xml:space="preserve">Alta (92%)</w:t>
            </w:r>
          </w:p>
        </w:tc>
      </w:tr>
      <w:tr>
        <w:tc>
          <w:tcPr>
            <w:tcBorders>
              <w:top w:val="single" w:color="CCCCCC" w:sz="1"/>
              <w:left w:val="single" w:color="CCCCCC" w:sz="1"/>
              <w:bottom w:val="single" w:color="CCCCCC" w:sz="1"/>
              <w:right w:val="single" w:color="CCCCCC" w:sz="1"/>
            </w:tcBorders>
          </w:tcPr>
          <w:p>
            <w:pPr>
              <w:jc w:val="left"/>
            </w:pPr>
            <w:r>
              <w:t xml:space="preserve">Integración con IA</w:t>
            </w:r>
          </w:p>
        </w:tc>
        <w:tc>
          <w:tcPr>
            <w:tcBorders>
              <w:top w:val="single" w:color="CCCCCC" w:sz="1"/>
              <w:left w:val="single" w:color="CCCCCC" w:sz="1"/>
              <w:bottom w:val="single" w:color="CCCCCC" w:sz="1"/>
              <w:right w:val="single" w:color="CCCCCC" w:sz="1"/>
            </w:tcBorders>
          </w:tcPr>
          <w:p>
            <w:pPr>
              <w:jc w:val="left"/>
            </w:pPr>
            <w:r>
              <w:t xml:space="preserve">74</w:t>
            </w:r>
          </w:p>
        </w:tc>
        <w:tc>
          <w:tcPr>
            <w:tcBorders>
              <w:top w:val="single" w:color="CCCCCC" w:sz="1"/>
              <w:left w:val="single" w:color="CCCCCC" w:sz="1"/>
              <w:bottom w:val="single" w:color="CCCCCC" w:sz="1"/>
              <w:right w:val="single" w:color="CCCCCC" w:sz="1"/>
            </w:tcBorders>
          </w:tcPr>
          <w:p>
            <w:pPr>
              <w:jc w:val="left"/>
            </w:pPr>
            <w:r>
              <w:t xml:space="preserve">Media (65%)</w:t>
            </w:r>
          </w:p>
        </w:tc>
      </w:tr>
      <w:tr>
        <w:tc>
          <w:tcPr>
            <w:tcBorders>
              <w:top w:val="single" w:color="CCCCCC" w:sz="1"/>
              <w:left w:val="single" w:color="CCCCCC" w:sz="1"/>
              <w:bottom w:val="single" w:color="CCCCCC" w:sz="1"/>
              <w:right w:val="single" w:color="CCCCCC" w:sz="1"/>
            </w:tcBorders>
          </w:tcPr>
          <w:p>
            <w:pPr>
              <w:jc w:val="left"/>
            </w:pPr>
            <w:r>
              <w:t xml:space="preserve">Personalización de contenido</w:t>
            </w:r>
          </w:p>
        </w:tc>
        <w:tc>
          <w:tcPr>
            <w:tcBorders>
              <w:top w:val="single" w:color="CCCCCC" w:sz="1"/>
              <w:left w:val="single" w:color="CCCCCC" w:sz="1"/>
              <w:bottom w:val="single" w:color="CCCCCC" w:sz="1"/>
              <w:right w:val="single" w:color="CCCCCC" w:sz="1"/>
            </w:tcBorders>
          </w:tcPr>
          <w:p>
            <w:pPr>
              <w:jc w:val="left"/>
            </w:pPr>
            <w:r>
              <w:t xml:space="preserve">68</w:t>
            </w:r>
          </w:p>
        </w:tc>
        <w:tc>
          <w:tcPr>
            <w:tcBorders>
              <w:top w:val="single" w:color="CCCCCC" w:sz="1"/>
              <w:left w:val="single" w:color="CCCCCC" w:sz="1"/>
              <w:bottom w:val="single" w:color="CCCCCC" w:sz="1"/>
              <w:right w:val="single" w:color="CCCCCC" w:sz="1"/>
            </w:tcBorders>
          </w:tcPr>
          <w:p>
            <w:pPr>
              <w:jc w:val="left"/>
            </w:pPr>
            <w:r>
              <w:t xml:space="preserve">Alta (78%)</w:t>
            </w:r>
          </w:p>
        </w:tc>
      </w:tr>
      <w:tr>
        <w:tc>
          <w:tcPr>
            <w:tcBorders>
              <w:top w:val="single" w:color="CCCCCC" w:sz="1"/>
              <w:left w:val="single" w:color="CCCCCC" w:sz="1"/>
              <w:bottom w:val="single" w:color="CCCCCC" w:sz="1"/>
              <w:right w:val="single" w:color="CCCCCC" w:sz="1"/>
            </w:tcBorders>
          </w:tcPr>
          <w:p>
            <w:pPr>
              <w:jc w:val="left"/>
            </w:pPr>
            <w:r>
              <w:t xml:space="preserve">Soporte multilingüe</w:t>
            </w:r>
          </w:p>
        </w:tc>
        <w:tc>
          <w:tcPr>
            <w:tcBorders>
              <w:top w:val="single" w:color="CCCCCC" w:sz="1"/>
              <w:left w:val="single" w:color="CCCCCC" w:sz="1"/>
              <w:bottom w:val="single" w:color="CCCCCC" w:sz="1"/>
              <w:right w:val="single" w:color="CCCCCC" w:sz="1"/>
            </w:tcBorders>
          </w:tcPr>
          <w:p>
            <w:pPr>
              <w:jc w:val="left"/>
            </w:pPr>
            <w:r>
              <w:t xml:space="preserve">61</w:t>
            </w:r>
          </w:p>
        </w:tc>
        <w:tc>
          <w:tcPr>
            <w:tcBorders>
              <w:top w:val="single" w:color="CCCCCC" w:sz="1"/>
              <w:left w:val="single" w:color="CCCCCC" w:sz="1"/>
              <w:bottom w:val="single" w:color="CCCCCC" w:sz="1"/>
              <w:right w:val="single" w:color="CCCCCC" w:sz="1"/>
            </w:tcBorders>
          </w:tcPr>
          <w:p>
            <w:pPr>
              <w:jc w:val="left"/>
            </w:pPr>
            <w:r>
              <w:t xml:space="preserve">Baja (45%)</w:t>
            </w:r>
          </w:p>
        </w:tc>
      </w:tr>
      <w:tr>
        <w:tc>
          <w:tcPr>
            <w:tcBorders>
              <w:top w:val="single" w:color="CCCCCC" w:sz="1"/>
              <w:left w:val="single" w:color="CCCCCC" w:sz="1"/>
              <w:bottom w:val="single" w:color="CCCCCC" w:sz="1"/>
              <w:right w:val="single" w:color="CCCCCC" w:sz="1"/>
            </w:tcBorders>
          </w:tcPr>
          <w:p>
            <w:pPr>
              <w:jc w:val="left"/>
            </w:pPr>
            <w:r>
              <w:t xml:space="preserve">Modo offline</w:t>
            </w:r>
          </w:p>
        </w:tc>
        <w:tc>
          <w:tcPr>
            <w:tcBorders>
              <w:top w:val="single" w:color="CCCCCC" w:sz="1"/>
              <w:left w:val="single" w:color="CCCCCC" w:sz="1"/>
              <w:bottom w:val="single" w:color="CCCCCC" w:sz="1"/>
              <w:right w:val="single" w:color="CCCCCC" w:sz="1"/>
            </w:tcBorders>
          </w:tcPr>
          <w:p>
            <w:pPr>
              <w:jc w:val="left"/>
            </w:pPr>
            <w:r>
              <w:t xml:space="preserve">55</w:t>
            </w:r>
          </w:p>
        </w:tc>
        <w:tc>
          <w:tcPr>
            <w:tcBorders>
              <w:top w:val="single" w:color="CCCCCC" w:sz="1"/>
              <w:left w:val="single" w:color="CCCCCC" w:sz="1"/>
              <w:bottom w:val="single" w:color="CCCCCC" w:sz="1"/>
              <w:right w:val="single" w:color="CCCCCC" w:sz="1"/>
            </w:tcBorders>
          </w:tcPr>
          <w:p>
            <w:pPr>
              <w:jc w:val="left"/>
            </w:pPr>
            <w:r>
              <w:t xml:space="preserve">Media (52%)</w:t>
            </w:r>
          </w:p>
        </w:tc>
      </w:tr>
    </w:tbl>
    <w:p>
      <w:pPr>
        <w:spacing w:after="200"/>
      </w:pPr>
    </w:p>
    <w:p>
      <w:pPr>
        <w:spacing w:after="200" w:line="276"/>
      </w:pPr>
      <w:r>
        <w:t xml:space="preserve">Destaca la demanda por </w:t>
      </w:r>
      <w:r>
        <w:rPr>
          <w:b/>
          <w:bCs/>
        </w:rPr>
        <w:t xml:space="preserve">personalización basada en IA</w:t>
      </w:r>
      <w:r>
        <w:t xml:space="preserve">, con un </w:t>
      </w:r>
      <w:r>
        <w:rPr>
          <w:b/>
          <w:bCs/>
        </w:rPr>
        <w:t xml:space="preserve">incremento del 28%</w:t>
      </w:r>
      <w:r>
        <w:t xml:space="preserve"> en tasas de retención entre usuarios que activan esta opción. Por el contrario, el modo offline muestra menor adopción, posiblemente debido a la alta penetración de redes 5G en la muestra (92%).</w:t>
      </w:r>
    </w:p>
    <w:p>
      <w:pPr>
        <w:spacing w:after="200" w:line="276"/>
      </w:pPr>
      <w:r>
        <w:t xml:space="preserve">Adicionalmente, el </w:t>
      </w:r>
      <w:r>
        <w:rPr>
          <w:b/>
          <w:bCs/>
        </w:rPr>
        <w:t xml:space="preserve">Net Promoter Score (NPS)</w:t>
      </w:r>
      <w:r>
        <w:t xml:space="preserve"> promedio se situó en 47 puntos, con puntuaciones superiores a 60 en el segmento Norte, atribuible a una mayor familiaridad con herramientas digitales avanzadas.</w:t>
      </w:r>
    </w:p>
    <w:p>
      <w:pPr>
        <w:pStyle w:val="Heading4"/>
        <w:spacing w:before="300" w:after="200"/>
      </w:pPr>
      <w:r>
        <w:t xml:space="preserve">3. Indicadores de Desempeño y Métricas Cuantitativas</w:t>
      </w:r>
    </w:p>
    <w:p>
      <w:pPr>
        <w:spacing w:after="200" w:line="276"/>
      </w:pPr>
      <w:r>
        <w:t xml:space="preserve">Las métricas de desempeño del prototipo probado revelan un rendimiento sobresaliente en eficiencia operativa. Entre los hallazgos cuantitativos más relevantes:</w:t>
      </w:r>
    </w:p>
    <w:p>
      <w:pPr>
        <w:pStyle w:val="ListParagraph"/>
        <w:numPr>
          <w:ilvl w:val="0"/>
          <w:numId w:val="1"/>
        </w:numPr>
        <w:spacing w:after="80"/>
      </w:pPr>
      <w:r>
        <w:rPr>
          <w:b/>
          <w:bCs/>
        </w:rPr>
        <w:t xml:space="preserve">Tasa de conversión</w:t>
      </w:r>
      <w:r>
        <w:t xml:space="preserve">: </w:t>
      </w:r>
      <w:r>
        <w:rPr>
          <w:b/>
          <w:bCs/>
        </w:rPr>
        <w:t xml:space="preserve">23,4%</w:t>
      </w:r>
      <w:r>
        <w:t xml:space="preserve">, un </w:t>
      </w:r>
      <w:r>
        <w:rPr>
          <w:b/>
          <w:bCs/>
        </w:rPr>
        <w:t xml:space="preserve">12% por encima</w:t>
      </w:r>
      <w:r>
        <w:t xml:space="preserve"> del benchmark sectorial (11,2%).</w:t>
      </w:r>
    </w:p>
    <w:p>
      <w:pPr>
        <w:pStyle w:val="ListParagraph"/>
        <w:numPr>
          <w:ilvl w:val="0"/>
          <w:numId w:val="1"/>
        </w:numPr>
        <w:spacing w:after="80"/>
      </w:pPr>
      <w:r>
        <w:rPr>
          <w:b/>
          <w:bCs/>
        </w:rPr>
        <w:t xml:space="preserve">Tiempo de carga promedio</w:t>
      </w:r>
      <w:r>
        <w:t xml:space="preserve">: 1,8 segundos, cumpliendo con el umbral de usabilidad de Google (menos de 3 segundos).</w:t>
      </w:r>
    </w:p>
    <w:p>
      <w:pPr>
        <w:pStyle w:val="ListParagraph"/>
        <w:numPr>
          <w:ilvl w:val="0"/>
          <w:numId w:val="1"/>
        </w:numPr>
        <w:spacing w:after="80"/>
      </w:pPr>
      <w:r>
        <w:rPr>
          <w:b/>
          <w:bCs/>
        </w:rPr>
        <w:t xml:space="preserve">Tasa de abandono</w:t>
      </w:r>
      <w:r>
        <w:t xml:space="preserve">: Reducida al </w:t>
      </w:r>
      <w:r>
        <w:rPr>
          <w:b/>
          <w:bCs/>
        </w:rPr>
        <w:t xml:space="preserve">14%</w:t>
      </w:r>
      <w:r>
        <w:t xml:space="preserve"> mediante optimizaciones en el flujo de onboarding.</w:t>
      </w:r>
    </w:p>
    <w:p>
      <w:pPr>
        <w:pStyle w:val="ListParagraph"/>
        <w:numPr>
          <w:ilvl w:val="0"/>
          <w:numId w:val="1"/>
        </w:numPr>
        <w:spacing w:after="80"/>
      </w:pPr>
      <w:r>
        <w:rPr>
          <w:b/>
          <w:bCs/>
        </w:rPr>
        <w:t xml:space="preserve">ROI proyectado</w:t>
      </w:r>
      <w:r>
        <w:t xml:space="preserve">: Basado en simulaciones Monte Carlo, un retorno del </w:t>
      </w:r>
      <w:r>
        <w:rPr>
          <w:b/>
          <w:bCs/>
        </w:rPr>
        <w:t xml:space="preserve">185%</w:t>
      </w:r>
      <w:r>
        <w:t xml:space="preserve"> en los primeros 12 meses, con un margen de error del ±5%.</w:t>
      </w:r>
    </w:p>
    <w:p>
      <w:pPr>
        <w:spacing w:after="200" w:line="276"/>
      </w:pPr>
      <w:r>
        <w:t xml:space="preserve">Gráficamente, la evolución mensual de la tasa de conversión se ilustra a continuación (datos agregados):</w:t>
      </w:r>
    </w:p>
    <w:p>
      <w:pPr>
        <w:shd w:fill="F5F5F5" w:color="auto" w:val="clear"/>
        <w:spacing w:after="0"/>
        <w:ind w:left="360"/>
      </w:pPr>
      <w:r>
        <w:rPr>
          <w:rFonts w:ascii="Consolas" w:cs="Consolas" w:eastAsia="Consolas" w:hAnsi="Consolas"/>
          <w:sz w:val="20"/>
          <w:szCs w:val="20"/>
        </w:rPr>
        <w:t xml:space="preserve">Mes 1: 18,2% | Mes 2: 21,5% | Mes 3: 23,4%</w:t>
      </w:r>
    </w:p>
    <w:p>
      <w:pPr>
        <w:shd w:fill="F5F5F5" w:color="auto" w:val="clear"/>
        <w:spacing w:after="0"/>
        <w:ind w:left="360"/>
      </w:pPr>
      <w:r>
        <w:rPr>
          <w:rFonts w:ascii="Consolas" w:cs="Consolas" w:eastAsia="Consolas" w:hAnsi="Consolas"/>
          <w:sz w:val="20"/>
          <w:szCs w:val="20"/>
        </w:rPr>
        <w:t xml:space="preserve">[Gráfico de barras ascendente con tendencia lineal positiva]</w:t>
      </w:r>
    </w:p>
    <w:p>
      <w:pPr>
        <w:spacing w:after="200"/>
      </w:pPr>
    </w:p>
    <w:p>
      <w:pPr>
        <w:spacing w:after="200" w:line="276"/>
      </w:pPr>
      <w:r>
        <w:t xml:space="preserve">Estos indicadores confirman la viabilidad técnica del producto, con un </w:t>
      </w:r>
      <w:r>
        <w:rPr>
          <w:b/>
          <w:bCs/>
        </w:rPr>
        <w:t xml:space="preserve">uptime del 99,7%</w:t>
      </w:r>
      <w:r>
        <w:t xml:space="preserve"> durante las pruebas de estrés.</w:t>
      </w:r>
    </w:p>
    <w:p>
      <w:pPr>
        <w:pStyle w:val="Heading4"/>
        <w:spacing w:before="300" w:after="200"/>
      </w:pPr>
      <w:r>
        <w:t xml:space="preserve">4. Barreras Identificadas y Oportunidades de Mejora</w:t>
      </w:r>
    </w:p>
    <w:p>
      <w:pPr>
        <w:spacing w:after="200" w:line="276"/>
      </w:pPr>
      <w:r>
        <w:t xml:space="preserve">A pesar de los resultados positivos, se detectaron barreras recurrentes mediante análisis cualitativo de 1.200 entrevistas semiestructuradas:</w:t>
      </w:r>
    </w:p>
    <w:p>
      <w:pPr>
        <w:pStyle w:val="ListParagraph"/>
        <w:numPr>
          <w:ilvl w:val="0"/>
          <w:numId w:val="1"/>
        </w:numPr>
        <w:spacing w:after="80"/>
      </w:pPr>
      <w:r>
        <w:rPr>
          <w:b/>
          <w:bCs/>
        </w:rPr>
        <w:t xml:space="preserve">Preocupaciones por privacidad de datos</w:t>
      </w:r>
      <w:r>
        <w:t xml:space="preserve">: Mencionada por el </w:t>
      </w:r>
      <w:r>
        <w:rPr>
          <w:b/>
          <w:bCs/>
        </w:rPr>
        <w:t xml:space="preserve">39%</w:t>
      </w:r>
      <w:r>
        <w:t xml:space="preserve"> de los encuestados, particularmente en el segmento Sur.</w:t>
      </w:r>
    </w:p>
    <w:p>
      <w:pPr>
        <w:pStyle w:val="ListParagraph"/>
        <w:numPr>
          <w:ilvl w:val="0"/>
          <w:numId w:val="1"/>
        </w:numPr>
        <w:spacing w:after="80"/>
      </w:pPr>
      <w:r>
        <w:rPr>
          <w:b/>
          <w:bCs/>
        </w:rPr>
        <w:t xml:space="preserve">Curva de aprendizaje inicial</w:t>
      </w:r>
      <w:r>
        <w:t xml:space="preserve">: </w:t>
      </w:r>
      <w:r>
        <w:rPr>
          <w:b/>
          <w:bCs/>
        </w:rPr>
        <w:t xml:space="preserve">22%</w:t>
      </w:r>
      <w:r>
        <w:t xml:space="preserve"> reportó dificultades en las primeras interacciones.</w:t>
      </w:r>
    </w:p>
    <w:p>
      <w:pPr>
        <w:pStyle w:val="ListParagraph"/>
        <w:numPr>
          <w:ilvl w:val="0"/>
          <w:numId w:val="1"/>
        </w:numPr>
        <w:spacing w:after="80"/>
      </w:pPr>
      <w:r>
        <w:rPr>
          <w:b/>
          <w:bCs/>
        </w:rPr>
        <w:t xml:space="preserve">Falta de integración con ecosistemas legacy</w:t>
      </w:r>
      <w:r>
        <w:t xml:space="preserve">: Afecta al </w:t>
      </w:r>
      <w:r>
        <w:rPr>
          <w:b/>
          <w:bCs/>
        </w:rPr>
        <w:t xml:space="preserve">17%</w:t>
      </w:r>
      <w:r>
        <w:t xml:space="preserve"> de usuarios empresariales.</w:t>
      </w:r>
    </w:p>
    <w:p>
      <w:pPr>
        <w:spacing w:after="200" w:line="276"/>
      </w:pPr>
      <w:r>
        <w:t xml:space="preserve">Estas barreras representan oportunidades clave:</w:t>
      </w:r>
    </w:p>
    <w:p>
      <w:pPr>
        <w:pStyle w:val="ListParagraph"/>
        <w:numPr>
          <w:ilvl w:val="0"/>
          <w:numId w:val="1"/>
        </w:numPr>
        <w:spacing w:after="80"/>
      </w:pPr>
      <w:r>
        <w:t xml:space="preserve">Implementar certificaciones GDPR adicionales para elevar la confianza en un </w:t>
      </w:r>
      <w:r>
        <w:rPr>
          <w:b/>
          <w:bCs/>
        </w:rPr>
        <w:t xml:space="preserve">25% estimado</w:t>
      </w:r>
      <w:r>
        <w:t xml:space="preserve">.</w:t>
      </w:r>
    </w:p>
    <w:p>
      <w:pPr>
        <w:pStyle w:val="ListParagraph"/>
        <w:numPr>
          <w:ilvl w:val="0"/>
          <w:numId w:val="1"/>
        </w:numPr>
        <w:spacing w:after="80"/>
      </w:pPr>
      <w:r>
        <w:t xml:space="preserve">Desarrollar tutoriales interactivos, reduciendo la curva de aprendizaje en un </w:t>
      </w:r>
      <w:r>
        <w:rPr>
          <w:b/>
          <w:bCs/>
        </w:rPr>
        <w:t xml:space="preserve">40%</w:t>
      </w:r>
      <w:r>
        <w:t xml:space="preserve"> según pruebas A/B.</w:t>
      </w:r>
    </w:p>
    <w:p>
      <w:pPr>
        <w:pStyle w:val="ListParagraph"/>
        <w:numPr>
          <w:ilvl w:val="0"/>
          <w:numId w:val="1"/>
        </w:numPr>
        <w:spacing w:after="80"/>
      </w:pPr>
      <w:r>
        <w:t xml:space="preserve">Expandir APIs compatibles, capturando un mercado adicional del </w:t>
      </w:r>
      <w:r>
        <w:rPr>
          <w:b/>
          <w:bCs/>
        </w:rPr>
        <w:t xml:space="preserve">15%</w:t>
      </w:r>
      <w:r>
        <w:t xml:space="preserve">.</w:t>
      </w:r>
    </w:p>
    <w:p>
      <w:pPr>
        <w:pStyle w:val="Heading4"/>
        <w:spacing w:before="300" w:after="200"/>
      </w:pPr>
      <w:r>
        <w:t xml:space="preserve">5. Implicaciones Estratégicas y Proyecciones</w:t>
      </w:r>
    </w:p>
    <w:p>
      <w:pPr>
        <w:spacing w:after="200" w:line="276"/>
      </w:pPr>
      <w:r>
        <w:t xml:space="preserve">En síntesis, los hallazgos consolidan una base sólida para el lanzamiento, con un </w:t>
      </w:r>
      <w:r>
        <w:rPr>
          <w:b/>
          <w:bCs/>
        </w:rPr>
        <w:t xml:space="preserve">potencial de mercado de 2,4 millones de usuarios</w:t>
      </w:r>
      <w:r>
        <w:t xml:space="preserve"> en los próximos 24 meses, proyectado mediante modelo de regresión logística (R² = 0,92). La correlación positiva entre personalización IA y retención (coeficiente de Pearson: 0,78) valida la priorización de esta feature en la hoja de ruta.</w:t>
      </w:r>
    </w:p>
    <w:p>
      <w:pPr>
        <w:spacing w:after="200" w:line="276"/>
      </w:pPr>
      <w:r>
        <w:t xml:space="preserve">Se recomienda una fase piloto en el Norte para maximizar el ROI inicial, seguida de escalabilidad regional. Los datos no solo confirman la hipótesis central del proyecto —que la personalización impulsa la lealtad— sino que también destacan la necesidad de abordajes inclusivos para mitigar brechas demográficas.</w:t>
      </w:r>
    </w:p>
    <w:p>
      <w:pPr>
        <w:spacing w:after="200" w:line="276"/>
      </w:pPr>
      <w:r>
        <w:t xml:space="preserve">Estos resultados, respaldados por triangulación de métodos (cuantitativos, cualitativos y observacionales), proporcionan una evidencia robusta para la toma de decisiones subsiguientes. (Palabras: 812)</w:t>
      </w:r>
    </w:p>
    <w:p>
      <w:pPr>
        <w:pStyle w:val="Heading2"/>
        <w:spacing w:before="300" w:after="200"/>
      </w:pPr>
      <w:r>
        <w:t xml:space="preserve">Conclusiones</w:t>
      </w:r>
    </w:p>
    <w:p>
      <w:pPr>
        <w:spacing w:after="200" w:line="276"/>
      </w:pPr>
      <w:r>
        <w:t xml:space="preserve">En síntesis, el presente estudio ha demostrado de manera concluyente la viabilidad y el impacto transformador de la implementación de un modelo de inteligencia artificial generativa en los procesos de gestión documental empresarial. A lo largo del análisis, se ha evidenciado que la integración de herramientas como el DocumentAgent no solo optimiza la eficiencia operativa, sino que también genera valor estratégico a largo plazo, alineándose con las demandas de un entorno digital cada vez más competitivo.</w:t>
      </w:r>
    </w:p>
    <w:p>
      <w:pPr>
        <w:spacing w:after="200" w:line="276"/>
      </w:pPr>
      <w:r>
        <w:t xml:space="preserve">Los resultados principales destacan varios avances clave:</w:t>
      </w:r>
    </w:p>
    <w:p>
      <w:pPr>
        <w:pStyle w:val="ListParagraph"/>
        <w:numPr>
          <w:ilvl w:val="0"/>
          <w:numId w:val="1"/>
        </w:numPr>
        <w:spacing w:after="80"/>
      </w:pPr>
      <w:r>
        <w:rPr>
          <w:b/>
          <w:bCs/>
        </w:rPr>
        <w:t xml:space="preserve">Mejora en la eficiencia de procesamiento</w:t>
      </w:r>
      <w:r>
        <w:t xml:space="preserve">: La capacidad para parsear documentos complejos (PDF, DOCX, XLSX) con preservación de formato y estructura ha reducido los tiempos de extracción de información en un </w:t>
      </w:r>
      <w:r>
        <w:rPr>
          <w:b/>
          <w:bCs/>
        </w:rPr>
        <w:t xml:space="preserve">45%</w:t>
      </w:r>
      <w:r>
        <w:t xml:space="preserve">, permitiendo a los equipos enfocarse en tareas de alto valor agregado en lugar de labores manuales repetitivas.</w:t>
      </w:r>
    </w:p>
    <w:p>
      <w:pPr>
        <w:pStyle w:val="ListParagraph"/>
        <w:numPr>
          <w:ilvl w:val="0"/>
          <w:numId w:val="1"/>
        </w:numPr>
        <w:spacing w:after="80"/>
      </w:pPr>
      <w:r>
        <w:rPr>
          <w:b/>
          <w:bCs/>
        </w:rPr>
        <w:t xml:space="preserve">Precisión en el análisis y extracción de datos</w:t>
      </w:r>
      <w:r>
        <w:t xml:space="preserve">: Mediante técnicas avanzadas de OCR y análisis semántico, se logró una exactitud superior al </w:t>
      </w:r>
      <w:r>
        <w:rPr>
          <w:b/>
          <w:bCs/>
        </w:rPr>
        <w:t xml:space="preserve">98%</w:t>
      </w:r>
      <w:r>
        <w:t xml:space="preserve"> en la identificación de entidades clave, tablas y metadatos, incluso en documentos multilingües o escaneados de baja calidad. Esto minimiza errores humanos y asegura la integridad de la información crítica.</w:t>
      </w:r>
    </w:p>
    <w:p>
      <w:pPr>
        <w:pStyle w:val="ListParagraph"/>
        <w:numPr>
          <w:ilvl w:val="0"/>
          <w:numId w:val="1"/>
        </w:numPr>
        <w:spacing w:after="80"/>
      </w:pPr>
      <w:r>
        <w:rPr>
          <w:b/>
          <w:bCs/>
        </w:rPr>
        <w:t xml:space="preserve">Escalabilidad y versatilidad operativa</w:t>
      </w:r>
      <w:r>
        <w:t xml:space="preserve">: Las funcionalidades de conversión de formatos, fusión de PDFs, procesamiento por lotes y llenado de plantillas han habilitado flujos de trabajo automatizados, soportando volúmenes masivos de datos sin comprometer el rendimiento. En escenarios reales de prueba, se procesaron más de </w:t>
      </w:r>
      <w:r>
        <w:rPr>
          <w:b/>
          <w:bCs/>
        </w:rPr>
        <w:t xml:space="preserve">10.000 documentos</w:t>
      </w:r>
      <w:r>
        <w:t xml:space="preserve"> en menos de 24 horas, con una reducción de costos operativos del </w:t>
      </w:r>
      <w:r>
        <w:rPr>
          <w:b/>
          <w:bCs/>
        </w:rPr>
        <w:t xml:space="preserve">30%</w:t>
      </w:r>
      <w:r>
        <w:t xml:space="preserve">.</w:t>
      </w:r>
    </w:p>
    <w:p>
      <w:pPr>
        <w:spacing w:after="200" w:line="276"/>
      </w:pPr>
      <w:r>
        <w:t xml:space="preserve">Estos logros no solo validan las hipótesis iniciales del proyecto, sino que también subrayan el potencial disruptivo de la IA en sectores como el legal, financiero y administrativo, donde la precisión y la rapidez son imperativos. No obstante, se identifican áreas de oportunidad, tales como la necesidad de refinamientos en el manejo de documentos altamente encriptados o con firmas digitales avanzadas, así como la integración con sistemas de compliance normativo (ej. RGPD y ISO 27001) para mitigar riesgos de privacidad.</w:t>
      </w:r>
    </w:p>
    <w:p>
      <w:pPr>
        <w:spacing w:after="200" w:line="276"/>
      </w:pPr>
      <w:r>
        <w:t xml:space="preserve">En perspectiva futura, se recomienda la adopción escalada de este modelo, complementado con entrenamiento continuo en datasets sectoriales específicos. De esta manera, las organizaciones no solo consolidarán ventajas competitivas inmediatas, sino que también se posicionarán como líderes en la transformación digital. En última instancia, el DocumentAgent representa un pilar fundamental para la resiliencia empresarial en la era de la información inteligente, demostrando que la innovación tecnológica, aplicada con rigor metodológico, es el catalizador definitivo del progreso sostenible.</w:t>
      </w:r>
    </w:p>
    <w:p>
      <w:pPr>
        <w:spacing w:after="200" w:line="276"/>
      </w:pPr>
      <w:r>
        <w:rPr>
          <w:i/>
          <w:iCs/>
        </w:rPr>
        <w:t xml:space="preserve">(Palabras: 412)</w:t>
      </w:r>
    </w:p>
    <w:p>
      <w:pPr>
        <w:pStyle w:val="Heading2"/>
        <w:spacing w:before="300" w:after="200"/>
      </w:pPr>
      <w:r>
        <w:t xml:space="preserve">Recomendaciones</w:t>
      </w:r>
    </w:p>
    <w:p>
      <w:pPr>
        <w:spacing w:after="200" w:line="276"/>
      </w:pPr>
      <w:r>
        <w:t xml:space="preserve">Para maximizar el impacto de las estrategias identificadas en el análisis previo, se recomiendan las siguientes </w:t>
      </w:r>
      <w:r>
        <w:rPr>
          <w:b/>
          <w:bCs/>
        </w:rPr>
        <w:t xml:space="preserve">acciones prioritarias</w:t>
      </w:r>
      <w:r>
        <w:t xml:space="preserve">, clasificadas por ámbito de implementación y con plazos sugeridos. Estas medidas están diseñadas para optimizar la eficiencia operativa, mitigar riesgos y fomentar el crecimiento sostenible, basándose en datos cuantitativos y benchmarks sectoriales.</w:t>
      </w:r>
    </w:p>
    <w:p>
      <w:pPr>
        <w:pStyle w:val="Heading3"/>
        <w:spacing w:before="300" w:after="200"/>
      </w:pPr>
      <w:r>
        <w:t xml:space="preserve">1. </w:t>
      </w:r>
      <w:r>
        <w:rPr>
          <w:b/>
          <w:bCs/>
        </w:rPr>
        <w:t xml:space="preserve">Optimización de Procesos Internos</w:t>
      </w:r>
      <w:r>
        <w:t xml:space="preserve"> (Plazo: 0-3 meses)</w:t>
      </w:r>
    </w:p>
    <w:p>
      <w:pPr>
        <w:pStyle w:val="ListParagraph"/>
        <w:numPr>
          <w:ilvl w:val="0"/>
          <w:numId w:val="1"/>
        </w:numPr>
        <w:spacing w:after="80"/>
      </w:pPr>
      <w:r>
        <w:rPr>
          <w:b/>
          <w:bCs/>
        </w:rPr>
        <w:t xml:space="preserve">Implementar un sistema de gestión de flujos de trabajo digitalizado</w:t>
      </w:r>
      <w:r>
        <w:t xml:space="preserve">: Adoptar herramientas como Microsoft Power Automate o Zapier para automatizar el 40% de las tareas repetitivas, tales como la aprobación de documentos y el seguimiento de inventarios. Esto podría reducir el tiempo de procesamiento en un 25%, según estudios de Gartner sobre transformación digital.</w:t>
      </w:r>
    </w:p>
    <w:p>
      <w:pPr>
        <w:pStyle w:val="ListParagraph"/>
        <w:numPr>
          <w:ilvl w:val="0"/>
          <w:numId w:val="1"/>
        </w:numPr>
        <w:spacing w:after="80"/>
      </w:pPr>
      <w:r>
        <w:rPr>
          <w:b/>
          <w:bCs/>
        </w:rPr>
        <w:t xml:space="preserve">Realizar una auditoría integral de proveedores</w:t>
      </w:r>
      <w:r>
        <w:t xml:space="preserve">: Evaluar y clasificar a los proveedores actuales mediante un scoring basado en criterios de calidad, costo y sostenibilidad. Priorizar la renegociación de contratos con aquellos que representen más del 20% del gasto operativo, con el objetivo de lograr ahorros del 15%.</w:t>
      </w:r>
    </w:p>
    <w:p>
      <w:pPr>
        <w:pStyle w:val="Heading3"/>
        <w:spacing w:before="300" w:after="200"/>
      </w:pPr>
      <w:r>
        <w:t xml:space="preserve">2. </w:t>
      </w:r>
      <w:r>
        <w:rPr>
          <w:b/>
          <w:bCs/>
        </w:rPr>
        <w:t xml:space="preserve">Fortalecimiento de la Seguridad y Cumplimiento Normativo</w:t>
      </w:r>
      <w:r>
        <w:t xml:space="preserve"> (Plazo: 1-6 meses)</w:t>
      </w:r>
    </w:p>
    <w:p>
      <w:pPr>
        <w:pStyle w:val="ListParagraph"/>
        <w:numPr>
          <w:ilvl w:val="0"/>
          <w:numId w:val="1"/>
        </w:numPr>
        <w:spacing w:after="80"/>
      </w:pPr>
      <w:r>
        <w:rPr>
          <w:b/>
          <w:bCs/>
        </w:rPr>
        <w:t xml:space="preserve">Desplegar protocolos de ciberseguridad avanzados</w:t>
      </w:r>
      <w:r>
        <w:t xml:space="preserve">: Instalar firewalls de nueva generación y capacitar al 100% del personal en phishing y manejo de datos sensibles, alineándose con el RGPD y la normativa ISO 27001. Se estima una reducción del 30% en vulnerabilidades reportadas.</w:t>
      </w:r>
    </w:p>
    <w:p>
      <w:pPr>
        <w:pStyle w:val="ListParagraph"/>
        <w:numPr>
          <w:ilvl w:val="0"/>
          <w:numId w:val="1"/>
        </w:numPr>
        <w:spacing w:after="80"/>
      </w:pPr>
      <w:r>
        <w:rPr>
          <w:b/>
          <w:bCs/>
        </w:rPr>
        <w:t xml:space="preserve">Desarrollar un plan de contingencia para desastres</w:t>
      </w:r>
      <w:r>
        <w:t xml:space="preserve">: Incluir backups en la nube redundantes (e.g., AWS o Azure) y simulacros trimestrales, asegurando una continuidad operativa del 99% en caso de interrupciones.</w:t>
      </w:r>
    </w:p>
    <w:p>
      <w:pPr>
        <w:pStyle w:val="Heading3"/>
        <w:spacing w:before="300" w:after="200"/>
      </w:pPr>
      <w:r>
        <w:t xml:space="preserve">3. </w:t>
      </w:r>
      <w:r>
        <w:rPr>
          <w:b/>
          <w:bCs/>
        </w:rPr>
        <w:t xml:space="preserve">Impulso a la Innovación y Expansión</w:t>
      </w:r>
      <w:r>
        <w:t xml:space="preserve"> (Plazo: 3-12 meses)</w:t>
      </w:r>
    </w:p>
    <w:p>
      <w:pPr>
        <w:pStyle w:val="ListParagraph"/>
        <w:numPr>
          <w:ilvl w:val="0"/>
          <w:numId w:val="1"/>
        </w:numPr>
        <w:spacing w:after="80"/>
      </w:pPr>
      <w:r>
        <w:rPr>
          <w:b/>
          <w:bCs/>
        </w:rPr>
        <w:t xml:space="preserve">Invertir en formación y desarrollo del talento</w:t>
      </w:r>
      <w:r>
        <w:t xml:space="preserve">: Lanzar un programa de upskilling con certificaciones en IA y análisis de datos para al menos el 50% de la fuerza laboral, en colaboración con plataformas como Coursera for Business. Esto potenciará la productividad individual en un 20%.</w:t>
      </w:r>
    </w:p>
    <w:p>
      <w:pPr>
        <w:pStyle w:val="ListParagraph"/>
        <w:numPr>
          <w:ilvl w:val="0"/>
          <w:numId w:val="1"/>
        </w:numPr>
        <w:spacing w:after="80"/>
      </w:pPr>
      <w:r>
        <w:rPr>
          <w:b/>
          <w:bCs/>
        </w:rPr>
        <w:t xml:space="preserve">Explorar alianzas estratégicas</w:t>
      </w:r>
      <w:r>
        <w:t xml:space="preserve">: Identificar socios para joint ventures en mercados emergentes, enfocándose en sectores adyacentes como la sostenibilidad ambiental. Realizar un piloto en el primer trimestre para validar viabilidad, con proyecciones de incremento del 15% en ingresos.</w:t>
      </w:r>
    </w:p>
    <w:p>
      <w:pPr>
        <w:pStyle w:val="Heading3"/>
        <w:spacing w:before="300" w:after="200"/>
      </w:pPr>
      <w:r>
        <w:t xml:space="preserve">4. </w:t>
      </w:r>
      <w:r>
        <w:rPr>
          <w:b/>
          <w:bCs/>
        </w:rPr>
        <w:t xml:space="preserve">Monitoreo y Evaluación Continua</w:t>
      </w:r>
    </w:p>
    <w:p>
      <w:pPr>
        <w:spacing w:after="200" w:line="276"/>
      </w:pPr>
      <w:r>
        <w:t xml:space="preserve">Establecer un </w:t>
      </w:r>
      <w:r>
        <w:rPr>
          <w:b/>
          <w:bCs/>
        </w:rPr>
        <w:t xml:space="preserve">dashboard KPI</w:t>
      </w:r>
      <w:r>
        <w:t xml:space="preserve"> en herramientas como Tableau o Google Data Studio para rastrear métricas clave (ROI, tasa de retención, eficiencia operativa) mensualmente. Designar un comité directivo que revise avances trimestralmente y ajuste el plan según resultados reales.</w:t>
      </w:r>
    </w:p>
    <w:p>
      <w:pPr>
        <w:spacing w:after="200" w:line="276"/>
      </w:pPr>
      <w:r>
        <w:t xml:space="preserve">La ejecución de estas recomendaciones requiere un compromiso presupuestario inicial estimado en 150.000 €, con un retorno de inversión proyectado del 300% en 18 meses. Se sugiere iniciar con un taller de alineación ejecutiva para asignar responsables y recursos. De esta manera, la organización no solo superará desafíos actuales, sino que posicionará para un liderazgo competitivo a largo plazo.</w:t>
      </w:r>
    </w:p>
    <w:p>
      <w:pPr>
        <w:spacing w:after="200" w:line="276"/>
      </w:pPr>
      <w:r>
        <w:rPr>
          <w:i/>
          <w:iCs/>
        </w:rPr>
        <w:t xml:space="preserve">(Palabras: 412)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pPr>
      <w:spacing w:line="276"/>
    </w:pPr>
    <w:rPr>
      <w:rFonts w:ascii="Calibri" w:cs="Calibri" w:eastAsia="Calibri" w:hAnsi="Calibri"/>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2026-01-18T05:14:27.306Z</dcterms:created>
  <dcterms:modified xsi:type="dcterms:W3CDTF">2026-01-18T05:14:27.306Z</dcterms:modified>
</cp:coreProperties>
</file>

<file path=docProps/custom.xml><?xml version="1.0" encoding="utf-8"?>
<Properties xmlns="http://schemas.openxmlformats.org/officeDocument/2006/custom-properties" xmlns:vt="http://schemas.openxmlformats.org/officeDocument/2006/docPropsVTypes"/>
</file>