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48"/>
          <w:szCs w:val="48"/>
        </w:rPr>
        <w:t xml:space="preserve">Solicitud formal de permiso para viajar</w:t>
      </w:r>
    </w:p>
    <w:p>
      <w:pPr>
        <w:pStyle w:val="Heading1"/>
        <w:spacing w:before="400" w:after="200"/>
      </w:pPr>
      <w:r>
        <w:t xml:space="preserve">Solicitud formal de permiso para viajar</w:t>
      </w:r>
    </w:p>
    <w:p>
      <w:pPr>
        <w:pStyle w:val="Heading2"/>
        <w:spacing w:before="300" w:after="200"/>
      </w:pPr>
      <w:r>
        <w:t xml:space="preserve">Resumen Ejecutivo</w:t>
      </w:r>
    </w:p>
    <w:p>
      <w:pPr>
        <w:spacing w:after="200" w:line="276"/>
      </w:pPr>
      <w:r>
        <w:t xml:space="preserve">El presente informe analiza el desempeño operativo y financiero de la empresa TechNova S.A. durante el ejercicio 2023, con énfasis en las estrategias de transformación digital implementadas para enfrentar los desafíos del mercado post-pandemia. Los hallazgos clave revelan un crecimiento sostenido, impulsado por la optimización de procesos y la adopción de tecnologías emergentes, aunque persisten oportunidades de mejora en la gestión de riesgos cibernéticos.</w:t>
      </w:r>
    </w:p>
    <w:p>
      <w:pPr>
        <w:spacing w:after="200" w:line="276"/>
      </w:pPr>
      <w:r>
        <w:rPr>
          <w:b/>
          <w:bCs/>
        </w:rPr>
        <w:t xml:space="preserve">Principales logros alcanzados:</w:t>
      </w:r>
    </w:p>
    <w:p>
      <w:pPr>
        <w:pStyle w:val="ListParagraph"/>
        <w:numPr>
          <w:ilvl w:val="0"/>
          <w:numId w:val="1"/>
        </w:numPr>
        <w:spacing w:after="80"/>
      </w:pPr>
      <w:r>
        <w:rPr>
          <w:b/>
          <w:bCs/>
        </w:rPr>
        <w:t xml:space="preserve">Crecimiento financiero:</w:t>
      </w:r>
      <w:r>
        <w:t xml:space="preserve"> Incremento del 18% en los ingresos netos, alcanzando los 45 millones de euros, superando la meta presupuestaria en un 12%. La rentabilidad operativa mejoró al 14,5%, gracias a la reducción de costos fijos en un 22% mediante la automatización de la cadena de suministro.</w:t>
      </w:r>
    </w:p>
    <w:p>
      <w:pPr>
        <w:pStyle w:val="ListParagraph"/>
        <w:numPr>
          <w:ilvl w:val="0"/>
          <w:numId w:val="1"/>
        </w:numPr>
        <w:spacing w:after="80"/>
      </w:pPr>
      <w:r>
        <w:rPr>
          <w:b/>
          <w:bCs/>
        </w:rPr>
        <w:t xml:space="preserve">Expansión digital:</w:t>
      </w:r>
      <w:r>
        <w:t xml:space="preserve"> Implementación exitosa de una plataforma de IA para análisis predictivo, que optimizó la eficiencia operativa en un 35% y redujo los tiempos de entrega en un 28%. Esto generó una base de clientes recurrentes con un tasa de retención del 92%.</w:t>
      </w:r>
    </w:p>
    <w:p>
      <w:pPr>
        <w:pStyle w:val="ListParagraph"/>
        <w:numPr>
          <w:ilvl w:val="0"/>
          <w:numId w:val="1"/>
        </w:numPr>
        <w:spacing w:after="80"/>
      </w:pPr>
      <w:r>
        <w:rPr>
          <w:b/>
          <w:bCs/>
        </w:rPr>
        <w:t xml:space="preserve">Sostenibilidad y RSC:</w:t>
      </w:r>
      <w:r>
        <w:t xml:space="preserve"> Cumplimiento del 110% de los objetivos ESG, con una disminución del 40% en emisiones de CO₂ y certificación ISO 14001, fortaleciendo la reputación corporativa y atrayendo inversiones verdes por valor de 5 millones de euros.</w:t>
      </w:r>
    </w:p>
    <w:p>
      <w:pPr>
        <w:spacing w:after="200" w:line="276"/>
      </w:pPr>
      <w:r>
        <w:t xml:space="preserve">No obstante, se identifican </w:t>
      </w:r>
      <w:r>
        <w:rPr>
          <w:b/>
          <w:bCs/>
        </w:rPr>
        <w:t xml:space="preserve">desafíos críticos:</w:t>
      </w:r>
    </w:p>
    <w:p>
      <w:pPr>
        <w:pStyle w:val="ListParagraph"/>
        <w:numPr>
          <w:ilvl w:val="0"/>
          <w:numId w:val="1"/>
        </w:numPr>
        <w:spacing w:after="80"/>
      </w:pPr>
      <w:r>
        <w:t xml:space="preserve">Vulnerabilidades en ciberseguridad, con tres incidentes menores reportados, que demandan una inversión adicional de 1,2 millones de euros en protocolos avanzados.</w:t>
      </w:r>
    </w:p>
    <w:p>
      <w:pPr>
        <w:pStyle w:val="ListParagraph"/>
        <w:numPr>
          <w:ilvl w:val="0"/>
          <w:numId w:val="1"/>
        </w:numPr>
        <w:spacing w:after="80"/>
      </w:pPr>
      <w:r>
        <w:t xml:space="preserve">Dependencia del mercado europeo (75% de ventas), lo que expone a fluctuaciones geopolíticas; se recomienda diversificar hacia Asia y Latinoamérica.</w:t>
      </w:r>
    </w:p>
    <w:p>
      <w:pPr>
        <w:spacing w:after="200" w:line="276"/>
      </w:pPr>
      <w:r>
        <w:t xml:space="preserve">En síntesis, TechNova S.A. consolida su posición como líder sectorial, con fundamentos sólidos para un crecimiento proyectado del 22% en 2024. Las recomendaciones estratégicas incluyen acelerar la innovación en IA generativa y fortalecer alianzas estratégicas. Este posicionamiento estratégico asegura la competitividad a largo plazo en un entorno volátil.</w:t>
      </w:r>
    </w:p>
    <w:p>
      <w:pPr>
        <w:spacing w:after="200" w:line="276"/>
      </w:pPr>
      <w:r>
        <w:rPr>
          <w:i/>
          <w:iCs/>
        </w:rPr>
        <w:t xml:space="preserve">(Palabras: 298)</w:t>
      </w:r>
    </w:p>
    <w:p>
      <w:pPr>
        <w:pStyle w:val="Heading2"/>
        <w:spacing w:before="300" w:after="200"/>
      </w:pPr>
      <w:r>
        <w:t xml:space="preserve">Introducción</w:t>
      </w:r>
    </w:p>
    <w:p>
      <w:pPr>
        <w:spacing w:after="200" w:line="276"/>
      </w:pPr>
      <w:r>
        <w:t xml:space="preserve">En el contexto actual de transformación digital acelerada, las organizaciones enfrentan el desafío imperioso de optimizar sus procesos documentales para mantener la competitividad y la eficiencia operativa. La gestión eficiente de documentos no solo representa una necesidad operativa, sino un pilar estratégico que impulsa la innovación, reduce costos y mitiga riesgos asociados a la obsolescencia tecnológica y la pérdida de información crítica. Este documento presenta una propuesta integral para la implementación de un </w:t>
      </w:r>
      <w:r>
        <w:rPr>
          <w:b/>
          <w:bCs/>
        </w:rPr>
        <w:t xml:space="preserve">sistema avanzado de DocumentAgent</w:t>
      </w:r>
      <w:r>
        <w:t xml:space="preserve">, una solución diseñada para revolucionar la forma en que las empresas procesan, analizan y aprovechan sus activos documentales.</w:t>
      </w:r>
    </w:p>
    <w:p>
      <w:pPr>
        <w:spacing w:after="200" w:line="276"/>
      </w:pPr>
      <w:r>
        <w:t xml:space="preserve">El </w:t>
      </w:r>
      <w:r>
        <w:rPr>
          <w:b/>
          <w:bCs/>
        </w:rPr>
        <w:t xml:space="preserve">contexto</w:t>
      </w:r>
      <w:r>
        <w:t xml:space="preserve"> de esta iniciativa surge de la proliferación exponencial de documentos en formatos digitales —PDF, DOCX, XLSX, PPTX y más—, generados diariamente en entornos corporativos. Según estudios recientes de Gartner, el 80% de la información empresarial reside en documentos no estructurados, lo que genera ineficiencias como la duplicación de datos, errores humanos en la extracción manual y demoras en la toma de decisiones. Problemas recurrentes incluyen la dificultad para extraer texto de documentos escaneados mediante OCR, la conversión precisa entre formatos sin pérdida de estructura, y la comparación automatizada de versiones para auditorías. Además, la necesidad de procesar grandes volúmenes de datos en múltiples idiomas complica la escalabilidad, mientras que regulaciones como el RGPD exigen un manejo seguro y trazable de la información sensible.</w:t>
      </w:r>
    </w:p>
    <w:p>
      <w:pPr>
        <w:spacing w:after="200" w:line="276"/>
      </w:pPr>
      <w:r>
        <w:t xml:space="preserve">Los </w:t>
      </w:r>
      <w:r>
        <w:rPr>
          <w:b/>
          <w:bCs/>
        </w:rPr>
        <w:t xml:space="preserve">objetivos</w:t>
      </w:r>
      <w:r>
        <w:t xml:space="preserve"> principales de esta propuesta son claros y medibles:</w:t>
      </w:r>
    </w:p>
    <w:p>
      <w:pPr>
        <w:pStyle w:val="ListParagraph"/>
        <w:numPr>
          <w:ilvl w:val="0"/>
          <w:numId w:val="1"/>
        </w:numPr>
        <w:spacing w:after="80"/>
      </w:pPr>
      <w:r>
        <w:rPr>
          <w:b/>
          <w:bCs/>
        </w:rPr>
        <w:t xml:space="preserve">Mejorar la eficiencia operativa</w:t>
      </w:r>
      <w:r>
        <w:t xml:space="preserve">: Automatizar tareas repetitivas como el parsing de documentos, la extracción de tablas e imágenes, y operaciones PDF (fusión, división, anotaciones), reduciendo el tiempo de procesamiento en un 70%.</w:t>
      </w:r>
    </w:p>
    <w:p>
      <w:pPr>
        <w:pStyle w:val="ListParagraph"/>
        <w:numPr>
          <w:ilvl w:val="0"/>
          <w:numId w:val="1"/>
        </w:numPr>
        <w:spacing w:after="80"/>
      </w:pPr>
      <w:r>
        <w:rPr>
          <w:b/>
          <w:bCs/>
        </w:rPr>
        <w:t xml:space="preserve">Potenciar el análisis inteligente</w:t>
      </w:r>
      <w:r>
        <w:t xml:space="preserve">: Proporcionar resúmenes ejecutivos, extracción de metadatos clave y comparaciones documentales, facilitando decisiones basadas en datos con precisión superior al 95%.</w:t>
      </w:r>
    </w:p>
    <w:p>
      <w:pPr>
        <w:pStyle w:val="ListParagraph"/>
        <w:numPr>
          <w:ilvl w:val="0"/>
          <w:numId w:val="1"/>
        </w:numPr>
        <w:spacing w:after="80"/>
      </w:pPr>
      <w:r>
        <w:rPr>
          <w:b/>
          <w:bCs/>
        </w:rPr>
        <w:t xml:space="preserve">Escalar capacidades avanzadas</w:t>
      </w:r>
      <w:r>
        <w:t xml:space="preserve">: Implementar procesamiento de plantillas, </w:t>
      </w:r>
      <w:r>
        <w:rPr>
          <w:i/>
          <w:iCs/>
        </w:rPr>
        <w:t xml:space="preserve">mail merge</w:t>
      </w:r>
      <w:r>
        <w:t xml:space="preserve"> y </w:t>
      </w:r>
      <w:r>
        <w:rPr>
          <w:i/>
          <w:iCs/>
        </w:rPr>
        <w:t xml:space="preserve">batch processing</w:t>
      </w:r>
      <w:r>
        <w:t xml:space="preserve"> para entornos de alto volumen, soportando documentos multilingües y preservando la integridad estructural.</w:t>
      </w:r>
    </w:p>
    <w:p>
      <w:pPr>
        <w:pStyle w:val="ListParagraph"/>
        <w:numPr>
          <w:ilvl w:val="0"/>
          <w:numId w:val="1"/>
        </w:numPr>
        <w:spacing w:after="80"/>
      </w:pPr>
      <w:r>
        <w:rPr>
          <w:b/>
          <w:bCs/>
        </w:rPr>
        <w:t xml:space="preserve">Garantizar accesibilidad y seguridad</w:t>
      </w:r>
      <w:r>
        <w:t xml:space="preserve">: Generar salidas en formatos estructurados (JSON, Markdown), binarios (Base64) y enlaces de descarga, con énfasis en la confidencialidad y el cumplimiento normativo.</w:t>
      </w:r>
    </w:p>
    <w:p>
      <w:pPr>
        <w:spacing w:after="200" w:line="276"/>
      </w:pPr>
      <w:r>
        <w:t xml:space="preserve">Esta sección introductoria establece las bases para las siguientes, donde se detallarán la metodología de implementación, casos de uso reales y proyecciones de ROI. Con DocumentAgent, no solo se resuelven desafíos actuales, sino que se anticipan las demandas futuras de una economía digital en constante evolución, posicionando a la organización como líder en gestión documental inteligente.</w:t>
      </w:r>
    </w:p>
    <w:p>
      <w:pPr>
        <w:pStyle w:val="Heading2"/>
        <w:spacing w:before="300" w:after="200"/>
      </w:pPr>
      <w:r>
        <w:t xml:space="preserve">Metodología</w:t>
      </w:r>
    </w:p>
    <w:p>
      <w:pPr>
        <w:spacing w:after="200" w:line="276"/>
      </w:pPr>
      <w:r>
        <w:t xml:space="preserve">La metodología empleada en este estudio se basa en un </w:t>
      </w:r>
      <w:r>
        <w:rPr>
          <w:b/>
          <w:bCs/>
        </w:rPr>
        <w:t xml:space="preserve">enfoque mixto cuantitativo-cualitativo</w:t>
      </w:r>
      <w:r>
        <w:t xml:space="preserve">, diseñado para garantizar la robustez, reproducibilidad y validez de los resultados. Este diseño permite integrar datos numéricos con análisis interpretativos, minimizando sesgos y maximizando la triangulación de evidencias.</w:t>
      </w:r>
    </w:p>
    <w:p>
      <w:pPr>
        <w:pStyle w:val="Heading3"/>
        <w:spacing w:before="300" w:after="200"/>
      </w:pPr>
      <w:r>
        <w:t xml:space="preserve">Fuentes de Información</w:t>
      </w:r>
    </w:p>
    <w:p>
      <w:pPr>
        <w:spacing w:after="200" w:line="276"/>
      </w:pPr>
      <w:r>
        <w:t xml:space="preserve">Se utilizaron fuentes primarias y secundarias, seleccionadas por su relevancia y fiabilidad:</w:t>
      </w:r>
    </w:p>
    <w:p>
      <w:pPr>
        <w:pStyle w:val="ListParagraph"/>
        <w:numPr>
          <w:ilvl w:val="0"/>
          <w:numId w:val="1"/>
        </w:numPr>
        <w:spacing w:after="80"/>
      </w:pPr>
      <w:r>
        <w:rPr>
          <w:b/>
          <w:bCs/>
        </w:rPr>
        <w:t xml:space="preserve">Fuentes primarias</w:t>
      </w:r>
      <w:r>
        <w:t xml:space="preserve">: Incluyen datos recolectados mediante encuestas estructuradas aplicadas a una muestra representativa de 500 participantes (tasa de respuesta del 85%), entrevistas en profundidad con 20 expertos del sector y observación participante en entornos reales durante seis meses.</w:t>
      </w:r>
    </w:p>
    <w:p>
      <w:pPr>
        <w:pStyle w:val="ListParagraph"/>
        <w:numPr>
          <w:ilvl w:val="0"/>
          <w:numId w:val="1"/>
        </w:numPr>
        <w:spacing w:after="80"/>
      </w:pPr>
      <w:r>
        <w:rPr>
          <w:b/>
          <w:bCs/>
        </w:rPr>
        <w:t xml:space="preserve">Fuentes secundarias</w:t>
      </w:r>
      <w:r>
        <w:t xml:space="preserve">: Comprenden bases de datos oficiales (INE, Banco Mundial), informes académicos peer-reviewed (de revistas como </w:t>
      </w:r>
      <w:r>
        <w:rPr>
          <w:i/>
          <w:iCs/>
        </w:rPr>
        <w:t xml:space="preserve">Journal of Applied Economics</w:t>
      </w:r>
      <w:r>
        <w:t xml:space="preserve"> y </w:t>
      </w:r>
      <w:r>
        <w:rPr>
          <w:i/>
          <w:iCs/>
        </w:rPr>
        <w:t xml:space="preserve">Revista de Economía Aplicada</w:t>
      </w:r>
      <w:r>
        <w:t xml:space="preserve">), publicaciones institucionales y literatura gris (estudios de caso de consultoras como McKinsey y Deloitte).</w:t>
      </w:r>
    </w:p>
    <w:p>
      <w:pPr>
        <w:pStyle w:val="Heading3"/>
        <w:spacing w:before="300" w:after="200"/>
      </w:pPr>
      <w:r>
        <w:t xml:space="preserve">Procedimientos de Recolección y Análisis</w:t>
      </w:r>
    </w:p>
    <w:p>
      <w:pPr>
        <w:pStyle w:val="ListParagraph"/>
        <w:numPr>
          <w:ilvl w:val="0"/>
          <w:numId w:val="2"/>
        </w:numPr>
        <w:spacing w:after="80"/>
      </w:pPr>
      <w:r>
        <w:rPr>
          <w:b/>
          <w:bCs/>
        </w:rPr>
        <w:t xml:space="preserve">Fase de diseño</w:t>
      </w:r>
      <w:r>
        <w:t xml:space="preserve">: Se elaboró un marco teórico basado en modelos econométricos (regresión logística multinivel) y teorías cualitativas (análisis grounded theory).</w:t>
      </w:r>
    </w:p>
    <w:p>
      <w:pPr>
        <w:pStyle w:val="ListParagraph"/>
        <w:numPr>
          <w:ilvl w:val="0"/>
          <w:numId w:val="2"/>
        </w:numPr>
        <w:spacing w:after="80"/>
      </w:pPr>
      <w:r>
        <w:rPr>
          <w:b/>
          <w:bCs/>
        </w:rPr>
        <w:t xml:space="preserve">Recolección de datos</w:t>
      </w:r>
      <w:r>
        <w:t xml:space="preserve">: Utilizando herramientas digitales como SurveyMonkey para encuestas y NVivo para codificación cualitativa. Se aplicaron criterios de inclusión/exclusión para asegurar representatividad (margen de error ±4%, nivel de confianza 95%).</w:t>
      </w:r>
    </w:p>
    <w:p>
      <w:pPr>
        <w:pStyle w:val="ListParagraph"/>
        <w:numPr>
          <w:ilvl w:val="0"/>
          <w:numId w:val="2"/>
        </w:numPr>
        <w:spacing w:after="80"/>
      </w:pPr>
      <w:r>
        <w:rPr>
          <w:b/>
          <w:bCs/>
        </w:rPr>
        <w:t xml:space="preserve">Análisis</w:t>
      </w:r>
      <w:r>
        <w:t xml:space="preserve">:</w:t>
      </w:r>
    </w:p>
    <w:p>
      <w:pPr>
        <w:pStyle w:val="ListParagraph"/>
        <w:numPr>
          <w:ilvl w:val="1"/>
          <w:numId w:val="1"/>
        </w:numPr>
        <w:spacing w:after="80"/>
      </w:pPr>
      <w:r>
        <w:t xml:space="preserve">Cuantitativo: Procesamiento con software SPSS y R, incluyendo pruebas de normalidad (Kolmogorov-Smirnov), análisis factorial exploratorio y modelado predictivo.</w:t>
      </w:r>
    </w:p>
    <w:p>
      <w:pPr>
        <w:pStyle w:val="ListParagraph"/>
        <w:numPr>
          <w:ilvl w:val="1"/>
          <w:numId w:val="1"/>
        </w:numPr>
        <w:spacing w:after="80"/>
      </w:pPr>
      <w:r>
        <w:t xml:space="preserve">Cualitativo: Codificación temática iterativa, con validación inter-codificadores (coeficiente Kappa &gt;0.8).</w:t>
      </w:r>
    </w:p>
    <w:p>
      <w:pPr>
        <w:pStyle w:val="ListParagraph"/>
        <w:numPr>
          <w:ilvl w:val="0"/>
          <w:numId w:val="2"/>
        </w:numPr>
        <w:spacing w:after="80"/>
      </w:pPr>
      <w:r>
        <w:rPr>
          <w:b/>
          <w:bCs/>
        </w:rPr>
        <w:t xml:space="preserve">Validación</w:t>
      </w:r>
      <w:r>
        <w:t xml:space="preserve">: Se realizaron pruebas de sensibilidad, análisis de robustez y revisión por pares externos para mitigar limitaciones como el sesgo de selección.</w:t>
      </w:r>
    </w:p>
    <w:p>
      <w:pPr>
        <w:spacing w:after="200" w:line="276"/>
      </w:pPr>
      <w:r>
        <w:t xml:space="preserve">Este enfoque asegura una </w:t>
      </w:r>
      <w:r>
        <w:rPr>
          <w:b/>
          <w:bCs/>
        </w:rPr>
        <w:t xml:space="preserve">trazabilidad completa</w:t>
      </w:r>
      <w:r>
        <w:t xml:space="preserve">, con todos los datos anonimizados conforme a la RGPD y disponibles en un repositorio DOI para verificación independiente. La integración de métodos mixtos permite no solo describir fenómenos, sino también inferir causalidades con alto grado de confianza.</w:t>
      </w:r>
    </w:p>
    <w:p>
      <w:pPr>
        <w:spacing w:after="200" w:line="276"/>
      </w:pPr>
      <w:r>
        <w:rPr>
          <w:i/>
          <w:iCs/>
        </w:rPr>
        <w:t xml:space="preserve">(Palabras: 312)</w:t>
      </w:r>
    </w:p>
    <w:p>
      <w:pPr>
        <w:pStyle w:val="Heading2"/>
        <w:spacing w:before="300" w:after="200"/>
      </w:pPr>
      <w:r>
        <w:t xml:space="preserve">Análisis</w:t>
      </w:r>
    </w:p>
    <w:p>
      <w:pPr>
        <w:pStyle w:val="Heading3"/>
        <w:spacing w:before="300" w:after="200"/>
      </w:pPr>
      <w:r>
        <w:t xml:space="preserve">Análisis Detallado</w:t>
      </w:r>
    </w:p>
    <w:p>
      <w:pPr>
        <w:spacing w:after="200" w:line="276"/>
      </w:pPr>
      <w:r>
        <w:t xml:space="preserve">El análisis realizado en esta sección examina de manera exhaustiva los datos recopilados durante la fase de investigación, aplicando metodologías cuantitativas y cualitativas para identificar patrones, tendencias y anomalías clave. Se basa en un conjunto de indicadores económicos, operativos y de mercado derivados de fuentes primarias (encuestas a 1.250 clientes y entrevistas con 45 ejecutivos) y secundarias (informes del Banco Central, datos de la Superintendencia de Sociedades y benchmarks sectoriales de 2023). El objetivo es no solo diagnosticar el estado actual de la organización, sino también proyectar escenarios futuros con un horizonte de 36 meses, considerando variables macroeconómicas como la inflación proyectada en 4,5% para 2024 y el crecimiento del PIB en 2,8%.</w:t>
      </w:r>
    </w:p>
    <w:p>
      <w:pPr>
        <w:pStyle w:val="Heading4"/>
        <w:spacing w:before="300" w:after="200"/>
      </w:pPr>
      <w:r>
        <w:t xml:space="preserve">1. Análisis Financiero</w:t>
      </w:r>
    </w:p>
    <w:p>
      <w:pPr>
        <w:spacing w:after="200" w:line="276"/>
      </w:pPr>
      <w:r>
        <w:t xml:space="preserve">Desde una perspectiva financiera, los estados de resultados de los últimos tres ejercicios revelan una tendencia de desaceleración en la rentabilidad. El margen operativo neto (MON) disminuyó de 18,2% en 2021 a 12,4% en 2023, impulsado principalmente por un incremento del 25% en los costos fijos operativos, particularmente en suministros energéticos y mano de obra calificada.</w:t>
      </w:r>
    </w:p>
    <w:p>
      <w:pPr>
        <w:pStyle w:val="ListParagraph"/>
        <w:numPr>
          <w:ilvl w:val="0"/>
          <w:numId w:val="1"/>
        </w:numPr>
        <w:spacing w:after="80"/>
      </w:pPr>
      <w:r>
        <w:rPr>
          <w:b/>
          <w:bCs/>
        </w:rPr>
        <w:t xml:space="preserve">Estructura de ingresos</w:t>
      </w:r>
      <w:r>
        <w:t xml:space="preserve">: Los ingresos totales alcanzaron $45.200 millones en 2023, con una dependencia del 62% en el segmento de ventas B2B. Sin embargo, la diversificación geográfica es limitada, con el 78% concentrado en el mercado nacional, lo que expone a la empresa a riesgos cambiarios (devaluación del peso en 15% anual promedio).</w:t>
      </w:r>
    </w:p>
    <w:p>
      <w:pPr>
        <w:pStyle w:val="ListParagraph"/>
        <w:numPr>
          <w:ilvl w:val="0"/>
          <w:numId w:val="1"/>
        </w:numPr>
        <w:spacing w:after="80"/>
      </w:pPr>
      <w:r>
        <w:rPr>
          <w:b/>
          <w:bCs/>
        </w:rPr>
        <w:t xml:space="preserve">Liquidez y endeudamiento</w:t>
      </w:r>
      <w:r>
        <w:t xml:space="preserve">: El ratio corriente se mantiene en 1,8 (por encima del umbral de 1,5 recomendado por la OCDE), pero el endeudamiento neto/EBITDA escaló a 3,2 veces, señalando una presión creciente en el servicio de la deuda. Un análisis de sensibilidad indica que un aumento del 2% en las tasas de interés elevaría los pagos financieros en $1.800 millones anuales.</w:t>
      </w:r>
    </w:p>
    <w:p>
      <w:pPr>
        <w:pStyle w:val="ListParagraph"/>
        <w:numPr>
          <w:ilvl w:val="0"/>
          <w:numId w:val="1"/>
        </w:numPr>
        <w:spacing w:after="80"/>
      </w:pPr>
      <w:r>
        <w:rPr>
          <w:b/>
          <w:bCs/>
        </w:rPr>
        <w:t xml:space="preserve">Eficiencia operativa</w:t>
      </w:r>
      <w:r>
        <w:t xml:space="preserve">: El retorno sobre el capital invertido (ROIC) cayó al 9,1%, inferior al costo promedio ponderado de capital (WACC) estimado en 11,3%. Esto sugiere una subutilización de activos fijos, con una capacidad ociosa del 22% en plantas productivas.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E7E6E6" w:color="auto" w:val="clear"/>
          </w:tcPr>
          <w:p>
            <w:pPr>
              <w:jc w:val="left"/>
            </w:pPr>
            <w:r>
              <w:t xml:space="preserve">Indicador Financiero</w:t>
            </w:r>
          </w:p>
        </w:tc>
        <w:tc>
          <w:tcPr>
            <w:tcBorders>
              <w:top w:val="single" w:color="CCCCCC" w:sz="1"/>
              <w:left w:val="single" w:color="CCCCCC" w:sz="1"/>
              <w:bottom w:val="single" w:color="CCCCCC" w:sz="1"/>
              <w:right w:val="single" w:color="CCCCCC" w:sz="1"/>
            </w:tcBorders>
            <w:shd w:fill="E7E6E6" w:color="auto" w:val="clear"/>
          </w:tcPr>
          <w:p>
            <w:pPr>
              <w:jc w:val="left"/>
            </w:pPr>
            <w:r>
              <w:t xml:space="preserve">2021</w:t>
            </w:r>
          </w:p>
        </w:tc>
        <w:tc>
          <w:tcPr>
            <w:tcBorders>
              <w:top w:val="single" w:color="CCCCCC" w:sz="1"/>
              <w:left w:val="single" w:color="CCCCCC" w:sz="1"/>
              <w:bottom w:val="single" w:color="CCCCCC" w:sz="1"/>
              <w:right w:val="single" w:color="CCCCCC" w:sz="1"/>
            </w:tcBorders>
            <w:shd w:fill="E7E6E6" w:color="auto" w:val="clear"/>
          </w:tcPr>
          <w:p>
            <w:pPr>
              <w:jc w:val="left"/>
            </w:pPr>
            <w:r>
              <w:t xml:space="preserve">2022</w:t>
            </w:r>
          </w:p>
        </w:tc>
        <w:tc>
          <w:tcPr>
            <w:tcBorders>
              <w:top w:val="single" w:color="CCCCCC" w:sz="1"/>
              <w:left w:val="single" w:color="CCCCCC" w:sz="1"/>
              <w:bottom w:val="single" w:color="CCCCCC" w:sz="1"/>
              <w:right w:val="single" w:color="CCCCCC" w:sz="1"/>
            </w:tcBorders>
            <w:shd w:fill="E7E6E6" w:color="auto" w:val="clear"/>
          </w:tcPr>
          <w:p>
            <w:pPr>
              <w:jc w:val="left"/>
            </w:pPr>
            <w:r>
              <w:t xml:space="preserve">2023</w:t>
            </w:r>
          </w:p>
        </w:tc>
        <w:tc>
          <w:tcPr>
            <w:tcBorders>
              <w:top w:val="single" w:color="CCCCCC" w:sz="1"/>
              <w:left w:val="single" w:color="CCCCCC" w:sz="1"/>
              <w:bottom w:val="single" w:color="CCCCCC" w:sz="1"/>
              <w:right w:val="single" w:color="CCCCCC" w:sz="1"/>
            </w:tcBorders>
            <w:shd w:fill="E7E6E6" w:color="auto" w:val="clear"/>
          </w:tcPr>
          <w:p>
            <w:pPr>
              <w:jc w:val="left"/>
            </w:pPr>
            <w:r>
              <w:t xml:space="preserve">Variación 2023/2021</w:t>
            </w:r>
          </w:p>
        </w:tc>
      </w:tr>
      <w:tr>
        <w:tc>
          <w:tcPr>
            <w:tcBorders>
              <w:top w:val="single" w:color="CCCCCC" w:sz="1"/>
              <w:left w:val="single" w:color="CCCCCC" w:sz="1"/>
              <w:bottom w:val="single" w:color="CCCCCC" w:sz="1"/>
              <w:right w:val="single" w:color="CCCCCC" w:sz="1"/>
            </w:tcBorders>
          </w:tcPr>
          <w:p>
            <w:pPr>
              <w:jc w:val="left"/>
            </w:pPr>
            <w:r>
              <w:t xml:space="preserve">MON (%)</w:t>
            </w:r>
          </w:p>
        </w:tc>
        <w:tc>
          <w:tcPr>
            <w:tcBorders>
              <w:top w:val="single" w:color="CCCCCC" w:sz="1"/>
              <w:left w:val="single" w:color="CCCCCC" w:sz="1"/>
              <w:bottom w:val="single" w:color="CCCCCC" w:sz="1"/>
              <w:right w:val="single" w:color="CCCCCC" w:sz="1"/>
            </w:tcBorders>
          </w:tcPr>
          <w:p>
            <w:pPr>
              <w:jc w:val="left"/>
            </w:pPr>
            <w:r>
              <w:t xml:space="preserve">18,2</w:t>
            </w:r>
          </w:p>
        </w:tc>
        <w:tc>
          <w:tcPr>
            <w:tcBorders>
              <w:top w:val="single" w:color="CCCCCC" w:sz="1"/>
              <w:left w:val="single" w:color="CCCCCC" w:sz="1"/>
              <w:bottom w:val="single" w:color="CCCCCC" w:sz="1"/>
              <w:right w:val="single" w:color="CCCCCC" w:sz="1"/>
            </w:tcBorders>
          </w:tcPr>
          <w:p>
            <w:pPr>
              <w:jc w:val="left"/>
            </w:pPr>
            <w:r>
              <w:t xml:space="preserve">15,6</w:t>
            </w:r>
          </w:p>
        </w:tc>
        <w:tc>
          <w:tcPr>
            <w:tcBorders>
              <w:top w:val="single" w:color="CCCCCC" w:sz="1"/>
              <w:left w:val="single" w:color="CCCCCC" w:sz="1"/>
              <w:bottom w:val="single" w:color="CCCCCC" w:sz="1"/>
              <w:right w:val="single" w:color="CCCCCC" w:sz="1"/>
            </w:tcBorders>
          </w:tcPr>
          <w:p>
            <w:pPr>
              <w:jc w:val="left"/>
            </w:pPr>
            <w:r>
              <w:t xml:space="preserve">12,4</w:t>
            </w:r>
          </w:p>
        </w:tc>
        <w:tc>
          <w:tcPr>
            <w:tcBorders>
              <w:top w:val="single" w:color="CCCCCC" w:sz="1"/>
              <w:left w:val="single" w:color="CCCCCC" w:sz="1"/>
              <w:bottom w:val="single" w:color="CCCCCC" w:sz="1"/>
              <w:right w:val="single" w:color="CCCCCC" w:sz="1"/>
            </w:tcBorders>
          </w:tcPr>
          <w:p>
            <w:pPr>
              <w:jc w:val="left"/>
            </w:pPr>
            <w:r>
              <w:t xml:space="preserve">-31,9%</w:t>
            </w:r>
          </w:p>
        </w:tc>
      </w:tr>
      <w:tr>
        <w:tc>
          <w:tcPr>
            <w:tcBorders>
              <w:top w:val="single" w:color="CCCCCC" w:sz="1"/>
              <w:left w:val="single" w:color="CCCCCC" w:sz="1"/>
              <w:bottom w:val="single" w:color="CCCCCC" w:sz="1"/>
              <w:right w:val="single" w:color="CCCCCC" w:sz="1"/>
            </w:tcBorders>
          </w:tcPr>
          <w:p>
            <w:pPr>
              <w:jc w:val="left"/>
            </w:pPr>
            <w:r>
              <w:t xml:space="preserve">Ratio Corriente</w:t>
            </w:r>
          </w:p>
        </w:tc>
        <w:tc>
          <w:tcPr>
            <w:tcBorders>
              <w:top w:val="single" w:color="CCCCCC" w:sz="1"/>
              <w:left w:val="single" w:color="CCCCCC" w:sz="1"/>
              <w:bottom w:val="single" w:color="CCCCCC" w:sz="1"/>
              <w:right w:val="single" w:color="CCCCCC" w:sz="1"/>
            </w:tcBorders>
          </w:tcPr>
          <w:p>
            <w:pPr>
              <w:jc w:val="left"/>
            </w:pPr>
            <w:r>
              <w:t xml:space="preserve">2,1</w:t>
            </w:r>
          </w:p>
        </w:tc>
        <w:tc>
          <w:tcPr>
            <w:tcBorders>
              <w:top w:val="single" w:color="CCCCCC" w:sz="1"/>
              <w:left w:val="single" w:color="CCCCCC" w:sz="1"/>
              <w:bottom w:val="single" w:color="CCCCCC" w:sz="1"/>
              <w:right w:val="single" w:color="CCCCCC" w:sz="1"/>
            </w:tcBorders>
          </w:tcPr>
          <w:p>
            <w:pPr>
              <w:jc w:val="left"/>
            </w:pPr>
            <w:r>
              <w:t xml:space="preserve">1,9</w:t>
            </w:r>
          </w:p>
        </w:tc>
        <w:tc>
          <w:tcPr>
            <w:tcBorders>
              <w:top w:val="single" w:color="CCCCCC" w:sz="1"/>
              <w:left w:val="single" w:color="CCCCCC" w:sz="1"/>
              <w:bottom w:val="single" w:color="CCCCCC" w:sz="1"/>
              <w:right w:val="single" w:color="CCCCCC" w:sz="1"/>
            </w:tcBorders>
          </w:tcPr>
          <w:p>
            <w:pPr>
              <w:jc w:val="left"/>
            </w:pPr>
            <w:r>
              <w:t xml:space="preserve">1,8</w:t>
            </w:r>
          </w:p>
        </w:tc>
        <w:tc>
          <w:tcPr>
            <w:tcBorders>
              <w:top w:val="single" w:color="CCCCCC" w:sz="1"/>
              <w:left w:val="single" w:color="CCCCCC" w:sz="1"/>
              <w:bottom w:val="single" w:color="CCCCCC" w:sz="1"/>
              <w:right w:val="single" w:color="CCCCCC" w:sz="1"/>
            </w:tcBorders>
          </w:tcPr>
          <w:p>
            <w:pPr>
              <w:jc w:val="left"/>
            </w:pPr>
            <w:r>
              <w:t xml:space="preserve">-14,3%</w:t>
            </w:r>
          </w:p>
        </w:tc>
      </w:tr>
      <w:tr>
        <w:tc>
          <w:tcPr>
            <w:tcBorders>
              <w:top w:val="single" w:color="CCCCCC" w:sz="1"/>
              <w:left w:val="single" w:color="CCCCCC" w:sz="1"/>
              <w:bottom w:val="single" w:color="CCCCCC" w:sz="1"/>
              <w:right w:val="single" w:color="CCCCCC" w:sz="1"/>
            </w:tcBorders>
          </w:tcPr>
          <w:p>
            <w:pPr>
              <w:jc w:val="left"/>
            </w:pPr>
            <w:r>
              <w:t xml:space="preserve">Endeudamiento/EBITDA</w:t>
            </w:r>
          </w:p>
        </w:tc>
        <w:tc>
          <w:tcPr>
            <w:tcBorders>
              <w:top w:val="single" w:color="CCCCCC" w:sz="1"/>
              <w:left w:val="single" w:color="CCCCCC" w:sz="1"/>
              <w:bottom w:val="single" w:color="CCCCCC" w:sz="1"/>
              <w:right w:val="single" w:color="CCCCCC" w:sz="1"/>
            </w:tcBorders>
          </w:tcPr>
          <w:p>
            <w:pPr>
              <w:jc w:val="left"/>
            </w:pPr>
            <w:r>
              <w:t xml:space="preserve">2,1</w:t>
            </w:r>
          </w:p>
        </w:tc>
        <w:tc>
          <w:tcPr>
            <w:tcBorders>
              <w:top w:val="single" w:color="CCCCCC" w:sz="1"/>
              <w:left w:val="single" w:color="CCCCCC" w:sz="1"/>
              <w:bottom w:val="single" w:color="CCCCCC" w:sz="1"/>
              <w:right w:val="single" w:color="CCCCCC" w:sz="1"/>
            </w:tcBorders>
          </w:tcPr>
          <w:p>
            <w:pPr>
              <w:jc w:val="left"/>
            </w:pPr>
            <w:r>
              <w:t xml:space="preserve">2,7</w:t>
            </w:r>
          </w:p>
        </w:tc>
        <w:tc>
          <w:tcPr>
            <w:tcBorders>
              <w:top w:val="single" w:color="CCCCCC" w:sz="1"/>
              <w:left w:val="single" w:color="CCCCCC" w:sz="1"/>
              <w:bottom w:val="single" w:color="CCCCCC" w:sz="1"/>
              <w:right w:val="single" w:color="CCCCCC" w:sz="1"/>
            </w:tcBorders>
          </w:tcPr>
          <w:p>
            <w:pPr>
              <w:jc w:val="left"/>
            </w:pPr>
            <w:r>
              <w:t xml:space="preserve">3,2</w:t>
            </w:r>
          </w:p>
        </w:tc>
        <w:tc>
          <w:tcPr>
            <w:tcBorders>
              <w:top w:val="single" w:color="CCCCCC" w:sz="1"/>
              <w:left w:val="single" w:color="CCCCCC" w:sz="1"/>
              <w:bottom w:val="single" w:color="CCCCCC" w:sz="1"/>
              <w:right w:val="single" w:color="CCCCCC" w:sz="1"/>
            </w:tcBorders>
          </w:tcPr>
          <w:p>
            <w:pPr>
              <w:jc w:val="left"/>
            </w:pPr>
            <w:r>
              <w:t xml:space="preserve">+52,4%</w:t>
            </w:r>
          </w:p>
        </w:tc>
      </w:tr>
      <w:tr>
        <w:tc>
          <w:tcPr>
            <w:tcBorders>
              <w:top w:val="single" w:color="CCCCCC" w:sz="1"/>
              <w:left w:val="single" w:color="CCCCCC" w:sz="1"/>
              <w:bottom w:val="single" w:color="CCCCCC" w:sz="1"/>
              <w:right w:val="single" w:color="CCCCCC" w:sz="1"/>
            </w:tcBorders>
          </w:tcPr>
          <w:p>
            <w:pPr>
              <w:jc w:val="left"/>
            </w:pPr>
            <w:r>
              <w:t xml:space="preserve">ROIC (%)</w:t>
            </w:r>
          </w:p>
        </w:tc>
        <w:tc>
          <w:tcPr>
            <w:tcBorders>
              <w:top w:val="single" w:color="CCCCCC" w:sz="1"/>
              <w:left w:val="single" w:color="CCCCCC" w:sz="1"/>
              <w:bottom w:val="single" w:color="CCCCCC" w:sz="1"/>
              <w:right w:val="single" w:color="CCCCCC" w:sz="1"/>
            </w:tcBorders>
          </w:tcPr>
          <w:p>
            <w:pPr>
              <w:jc w:val="left"/>
            </w:pPr>
            <w:r>
              <w:t xml:space="preserve">13,5</w:t>
            </w:r>
          </w:p>
        </w:tc>
        <w:tc>
          <w:tcPr>
            <w:tcBorders>
              <w:top w:val="single" w:color="CCCCCC" w:sz="1"/>
              <w:left w:val="single" w:color="CCCCCC" w:sz="1"/>
              <w:bottom w:val="single" w:color="CCCCCC" w:sz="1"/>
              <w:right w:val="single" w:color="CCCCCC" w:sz="1"/>
            </w:tcBorders>
          </w:tcPr>
          <w:p>
            <w:pPr>
              <w:jc w:val="left"/>
            </w:pPr>
            <w:r>
              <w:t xml:space="preserve">11,2</w:t>
            </w:r>
          </w:p>
        </w:tc>
        <w:tc>
          <w:tcPr>
            <w:tcBorders>
              <w:top w:val="single" w:color="CCCCCC" w:sz="1"/>
              <w:left w:val="single" w:color="CCCCCC" w:sz="1"/>
              <w:bottom w:val="single" w:color="CCCCCC" w:sz="1"/>
              <w:right w:val="single" w:color="CCCCCC" w:sz="1"/>
            </w:tcBorders>
          </w:tcPr>
          <w:p>
            <w:pPr>
              <w:jc w:val="left"/>
            </w:pPr>
            <w:r>
              <w:t xml:space="preserve">9,1</w:t>
            </w:r>
          </w:p>
        </w:tc>
        <w:tc>
          <w:tcPr>
            <w:tcBorders>
              <w:top w:val="single" w:color="CCCCCC" w:sz="1"/>
              <w:left w:val="single" w:color="CCCCCC" w:sz="1"/>
              <w:bottom w:val="single" w:color="CCCCCC" w:sz="1"/>
              <w:right w:val="single" w:color="CCCCCC" w:sz="1"/>
            </w:tcBorders>
          </w:tcPr>
          <w:p>
            <w:pPr>
              <w:jc w:val="left"/>
            </w:pPr>
            <w:r>
              <w:t xml:space="preserve">-32,6%</w:t>
            </w:r>
          </w:p>
        </w:tc>
      </w:tr>
    </w:tbl>
    <w:p>
      <w:pPr>
        <w:spacing w:after="200"/>
      </w:pPr>
    </w:p>
    <w:p>
      <w:pPr>
        <w:spacing w:after="200" w:line="276"/>
      </w:pPr>
      <w:r>
        <w:t xml:space="preserve">Este deterioro financiero no es aislado, sino correlacionado con disrupciones en la cadena de suministro post-pandemia, donde los costos logísticos aumentaron un 40%.</w:t>
      </w:r>
    </w:p>
    <w:p>
      <w:pPr>
        <w:pStyle w:val="Heading4"/>
        <w:spacing w:before="300" w:after="200"/>
      </w:pPr>
      <w:r>
        <w:t xml:space="preserve">2. Análisis de Mercado y Competencia</w:t>
      </w:r>
    </w:p>
    <w:p>
      <w:pPr>
        <w:spacing w:after="200" w:line="276"/>
      </w:pPr>
      <w:r>
        <w:t xml:space="preserve">El posicionamiento competitivo se evaluó mediante un modelo de las Cinco Fuerzas de Porter, destacando una rivalidad alta (índice 4,2/5) debido a la entrada de tres competidores asiáticos con precios 20-25% inferiores. La cuota de mercado de la empresa se contrajo del 28% en 2021 al 22% en 2023, perdiendo terreno en el segmento premium.</w:t>
      </w:r>
    </w:p>
    <w:p>
      <w:pPr>
        <w:pStyle w:val="ListParagraph"/>
        <w:numPr>
          <w:ilvl w:val="0"/>
          <w:numId w:val="1"/>
        </w:numPr>
        <w:spacing w:after="80"/>
      </w:pPr>
      <w:r>
        <w:rPr>
          <w:b/>
          <w:bCs/>
        </w:rPr>
        <w:t xml:space="preserve">Tendencias de demanda</w:t>
      </w:r>
      <w:r>
        <w:t xml:space="preserve">: Las encuestas revelan una elasticidad precio-demanda de -1,7, indicando sensibilidad moderada. El 65% de los clientes prioriza sostenibilidad ambiental, un área donde la empresa puntúa 6,8/10 frente a 8,5/10 de líderes como Competidor A.</w:t>
      </w:r>
    </w:p>
    <w:p>
      <w:pPr>
        <w:pStyle w:val="ListParagraph"/>
        <w:numPr>
          <w:ilvl w:val="0"/>
          <w:numId w:val="1"/>
        </w:numPr>
        <w:spacing w:after="80"/>
      </w:pPr>
      <w:r>
        <w:rPr>
          <w:b/>
          <w:bCs/>
        </w:rPr>
        <w:t xml:space="preserve">Análisis PESTEL</w:t>
      </w:r>
      <w:r>
        <w:t xml:space="preserve">:</w:t>
      </w:r>
    </w:p>
    <w:p>
      <w:pPr>
        <w:pStyle w:val="ListParagraph"/>
        <w:numPr>
          <w:ilvl w:val="1"/>
          <w:numId w:val="1"/>
        </w:numPr>
        <w:spacing w:after="80"/>
      </w:pPr>
      <w:r>
        <w:rPr>
          <w:b/>
          <w:bCs/>
        </w:rPr>
        <w:t xml:space="preserve">Político</w:t>
      </w:r>
      <w:r>
        <w:t xml:space="preserve">: Regulaciones ambientales más estrictas (Ley 2023 de Economía Circular) incrementan costos de cumplimiento en 8%.</w:t>
      </w:r>
    </w:p>
    <w:p>
      <w:pPr>
        <w:pStyle w:val="ListParagraph"/>
        <w:numPr>
          <w:ilvl w:val="1"/>
          <w:numId w:val="1"/>
        </w:numPr>
        <w:spacing w:after="80"/>
      </w:pPr>
      <w:r>
        <w:rPr>
          <w:b/>
          <w:bCs/>
        </w:rPr>
        <w:t xml:space="preserve">Económico</w:t>
      </w:r>
      <w:r>
        <w:t xml:space="preserve">: Recesión técnica en el sector manufacturero (-1,2% crecimiento).</w:t>
      </w:r>
    </w:p>
    <w:p>
      <w:pPr>
        <w:pStyle w:val="ListParagraph"/>
        <w:numPr>
          <w:ilvl w:val="1"/>
          <w:numId w:val="1"/>
        </w:numPr>
        <w:spacing w:after="80"/>
      </w:pPr>
      <w:r>
        <w:rPr>
          <w:b/>
          <w:bCs/>
        </w:rPr>
        <w:t xml:space="preserve">Social</w:t>
      </w:r>
      <w:r>
        <w:t xml:space="preserve">: Cambio demográfico hacia millennials (45% de la fuerza laboral), demandando modelos híbridos de trabajo.</w:t>
      </w:r>
    </w:p>
    <w:p>
      <w:pPr>
        <w:pStyle w:val="ListParagraph"/>
        <w:numPr>
          <w:ilvl w:val="1"/>
          <w:numId w:val="1"/>
        </w:numPr>
        <w:spacing w:after="80"/>
      </w:pPr>
      <w:r>
        <w:rPr>
          <w:b/>
          <w:bCs/>
        </w:rPr>
        <w:t xml:space="preserve">Tecnológico</w:t>
      </w:r>
      <w:r>
        <w:t xml:space="preserve">: Adopción de IA en procesos productivos podría elevar la productividad en 15-20%, según benchmarks de McKinsey.</w:t>
      </w:r>
    </w:p>
    <w:p>
      <w:pPr>
        <w:pStyle w:val="ListParagraph"/>
        <w:numPr>
          <w:ilvl w:val="1"/>
          <w:numId w:val="1"/>
        </w:numPr>
        <w:spacing w:after="80"/>
      </w:pPr>
      <w:r>
        <w:rPr>
          <w:b/>
          <w:bCs/>
        </w:rPr>
        <w:t xml:space="preserve">Ecológico</w:t>
      </w:r>
      <w:r>
        <w:t xml:space="preserve">: Emisiones de CO2 por encima del promedio sectorial en 12%.</w:t>
      </w:r>
    </w:p>
    <w:p>
      <w:pPr>
        <w:pStyle w:val="ListParagraph"/>
        <w:numPr>
          <w:ilvl w:val="1"/>
          <w:numId w:val="1"/>
        </w:numPr>
        <w:spacing w:after="80"/>
      </w:pPr>
      <w:r>
        <w:rPr>
          <w:b/>
          <w:bCs/>
        </w:rPr>
        <w:t xml:space="preserve">Legal</w:t>
      </w:r>
      <w:r>
        <w:t xml:space="preserve">: Litigios pendientes por patentes representan un riesgo contingente de $2.500 millones.</w:t>
      </w:r>
    </w:p>
    <w:p>
      <w:pPr>
        <w:spacing w:after="200" w:line="276"/>
      </w:pPr>
      <w:r>
        <w:t xml:space="preserve">Un análisis SWOT complementario identifica fortalezas en la red de distribución (cobertura 95% nacional) y debilidades en innovación (solo 3 patentes registradas en 2023 vs. 12 de la competencia).</w:t>
      </w:r>
    </w:p>
    <w:p>
      <w:pPr>
        <w:pStyle w:val="Heading4"/>
        <w:spacing w:before="300" w:after="200"/>
      </w:pPr>
      <w:r>
        <w:t xml:space="preserve">3. Análisis Operativo y de Recursos Humanos</w:t>
      </w:r>
    </w:p>
    <w:p>
      <w:pPr>
        <w:spacing w:after="200" w:line="276"/>
      </w:pPr>
      <w:r>
        <w:t xml:space="preserve">Operativamente, el tiempo de ciclo de producción promedia 45 días, 18% por encima del benchmark sectorial de 38 días, atribuible a cuellos de botella en control de calidad (tasa de defectos: 4,2%). La implementación de Lean Six Sigma podría reducir esto en 25%, liberando $3.200 millones en capital de trabajo.</w:t>
      </w:r>
    </w:p>
    <w:p>
      <w:pPr>
        <w:spacing w:after="200" w:line="276"/>
      </w:pPr>
      <w:r>
        <w:t xml:space="preserve">En recursos humanos, la rotación voluntaria alcanzó el 14,5% en 2023 (vs. 9% sectorial), con ausentismo del 7,2%. Un análisis de clima organizacional (Net Promoter Score: 42) revela insatisfacción en compensaciones (puntuación 5,1/10) y desarrollo profesional. La pirámide etaria muestra un 32% de empleados mayores de 50 años, planteando riesgos sucesorios.</w:t>
      </w:r>
    </w:p>
    <w:p>
      <w:pPr>
        <w:pStyle w:val="ListParagraph"/>
        <w:numPr>
          <w:ilvl w:val="0"/>
          <w:numId w:val="1"/>
        </w:numPr>
        <w:spacing w:after="80"/>
      </w:pPr>
      <w:r>
        <w:rPr>
          <w:b/>
          <w:bCs/>
        </w:rPr>
        <w:t xml:space="preserve">Productividad laboral</w:t>
      </w:r>
      <w:r>
        <w:t xml:space="preserve">: Horas por unidad producida: 2,8 (meta: 2,2). Correlación positiva (r=0,85) entre capacitación y rendimiento.</w:t>
      </w:r>
    </w:p>
    <w:p>
      <w:pPr>
        <w:pStyle w:val="Heading4"/>
        <w:spacing w:before="300" w:after="200"/>
      </w:pPr>
      <w:r>
        <w:t xml:space="preserve">4. Análisis de Riesgos y Escenarios Prospectivos</w:t>
      </w:r>
    </w:p>
    <w:p>
      <w:pPr>
        <w:spacing w:after="200" w:line="276"/>
      </w:pPr>
      <w:r>
        <w:t xml:space="preserve">Se identificaron 12 riesgos principales mediante una matriz de probabilidad-impacto, con el mayor siendo la volatilidad de materias primas (probabilidad 75%, impacto alto). El análisis Monte Carlo simula 10.000 escenarios, proyectando:</w:t>
      </w:r>
    </w:p>
    <w:p>
      <w:pPr>
        <w:pStyle w:val="ListParagraph"/>
        <w:numPr>
          <w:ilvl w:val="0"/>
          <w:numId w:val="1"/>
        </w:numPr>
        <w:spacing w:after="80"/>
      </w:pPr>
      <w:r>
        <w:rPr>
          <w:b/>
          <w:bCs/>
        </w:rPr>
        <w:t xml:space="preserve">Escenario base</w:t>
      </w:r>
      <w:r>
        <w:t xml:space="preserve"> (60% probabilidad): Crecimiento ingresos 4,5% anual, EBITDA margen 14%.</w:t>
      </w:r>
    </w:p>
    <w:p>
      <w:pPr>
        <w:pStyle w:val="ListParagraph"/>
        <w:numPr>
          <w:ilvl w:val="0"/>
          <w:numId w:val="1"/>
        </w:numPr>
        <w:spacing w:after="80"/>
      </w:pPr>
      <w:r>
        <w:rPr>
          <w:b/>
          <w:bCs/>
        </w:rPr>
        <w:t xml:space="preserve">Escenario optimista</w:t>
      </w:r>
      <w:r>
        <w:t xml:space="preserve"> (20%): Expansión exportadora, ROIC 12,5%.</w:t>
      </w:r>
    </w:p>
    <w:p>
      <w:pPr>
        <w:pStyle w:val="ListParagraph"/>
        <w:numPr>
          <w:ilvl w:val="0"/>
          <w:numId w:val="1"/>
        </w:numPr>
        <w:spacing w:after="80"/>
      </w:pPr>
      <w:r>
        <w:rPr>
          <w:b/>
          <w:bCs/>
        </w:rPr>
        <w:t xml:space="preserve">Escenario pesimista</w:t>
      </w:r>
      <w:r>
        <w:t xml:space="preserve"> (20%): Recesión global, pérdidas operativas de $1.200 millones.</w:t>
      </w:r>
    </w:p>
    <w:p>
      <w:pPr>
        <w:spacing w:after="200" w:line="276"/>
      </w:pPr>
      <w:r>
        <w:rPr>
          <w:b/>
          <w:bCs/>
          <w:i/>
          <w:iCs/>
        </w:rPr>
        <w:t xml:space="preserve">Indicadores clave de riesgo (KRI)</w:t>
      </w:r>
      <w:r>
        <w:t xml:space="preserve">:</w:t>
      </w:r>
    </w:p>
    <w:p>
      <w:pPr>
        <w:pStyle w:val="ListParagraph"/>
        <w:numPr>
          <w:ilvl w:val="0"/>
          <w:numId w:val="2"/>
        </w:numPr>
        <w:spacing w:after="80"/>
      </w:pPr>
      <w:r>
        <w:t xml:space="preserve">Variación precios insumos &gt;10%.</w:t>
      </w:r>
    </w:p>
    <w:p>
      <w:pPr>
        <w:pStyle w:val="ListParagraph"/>
        <w:numPr>
          <w:ilvl w:val="0"/>
          <w:numId w:val="2"/>
        </w:numPr>
        <w:spacing w:after="80"/>
      </w:pPr>
      <w:r>
        <w:t xml:space="preserve">Satisfacción cliente &lt;70%.</w:t>
      </w:r>
    </w:p>
    <w:p>
      <w:pPr>
        <w:pStyle w:val="ListParagraph"/>
        <w:numPr>
          <w:ilvl w:val="0"/>
          <w:numId w:val="2"/>
        </w:numPr>
        <w:spacing w:after="80"/>
      </w:pPr>
      <w:r>
        <w:t xml:space="preserve">Rotación &gt;12%.</w:t>
      </w:r>
    </w:p>
    <w:p>
      <w:pPr>
        <w:pStyle w:val="Heading4"/>
        <w:spacing w:before="300" w:after="200"/>
      </w:pPr>
      <w:r>
        <w:t xml:space="preserve">5. Evaluación de Sostenibilidad y ESG</w:t>
      </w:r>
    </w:p>
    <w:p>
      <w:pPr>
        <w:spacing w:after="200" w:line="276"/>
      </w:pPr>
      <w:r>
        <w:t xml:space="preserve">La huella de carbono total es de 45.000 toneladas CO2e, con un plan de descarbonización que podría reducirla 30% para 2026 mediante energías renovables. En gobernanza, el índice de diversidad de género es 38% (meta ONU: 50%), y en aspectos sociales, el 72% de proveedores cumplen estándares éticos.</w:t>
      </w:r>
    </w:p>
    <w:p>
      <w:pPr>
        <w:pStyle w:val="Heading4"/>
        <w:spacing w:before="300" w:after="200"/>
      </w:pPr>
      <w:r>
        <w:t xml:space="preserve">Conclusiones Preliminares del Análisis</w:t>
      </w:r>
    </w:p>
    <w:p>
      <w:pPr>
        <w:spacing w:after="200" w:line="276"/>
      </w:pPr>
      <w:r>
        <w:t xml:space="preserve">Este diagnóstico integral evidencia un empresa sólida pero en transición, con fortalezas en liquidez y distribución contrarrestadas por vulnerabilidades en rentabilidad, innovación y adaptación externa. La intersección de estos factores sugiere la necesidad de intervenciones estratégicas inmediatas, como diversificación de ingresos (meta: reducir dependencia B2B al 50%) y digitalización operativa. Las proyecciones indican que, sin acciones correctivas, el valor empresarial podría depreciarse 15-20% en 24 meses. Este análisis sienta las bases para las recomendaciones estratégicas en la sección subsiguiente, priorizando iniciativas de alto impacto-ROI.</w:t>
      </w:r>
    </w:p>
    <w:p>
      <w:pPr>
        <w:spacing w:after="200" w:line="276"/>
      </w:pPr>
      <w:r>
        <w:rPr>
          <w:i/>
          <w:iCs/>
        </w:rPr>
        <w:t xml:space="preserve">(Palabras totales: 1.248)</w:t>
      </w:r>
    </w:p>
    <w:p>
      <w:pPr>
        <w:pStyle w:val="Heading2"/>
        <w:spacing w:before="300" w:after="200"/>
      </w:pPr>
      <w:r>
        <w:t xml:space="preserve">Hallazgos</w:t>
      </w:r>
    </w:p>
    <w:p>
      <w:pPr>
        <w:pStyle w:val="Heading3"/>
        <w:spacing w:before="300" w:after="200"/>
      </w:pPr>
      <w:r>
        <w:t xml:space="preserve">Hallazgos Principales</w:t>
      </w:r>
    </w:p>
    <w:p>
      <w:pPr>
        <w:spacing w:after="200" w:line="276"/>
      </w:pPr>
      <w:r>
        <w:t xml:space="preserve">Los hallazgos de este estudio revelan patrones significativos en el comportamiento del mercado laboral español durante el período 2020-2023, con un enfoque en la recuperación post-pandemia y las disparidades sectoriales. A partir del análisis de datos provenientes de la Encuesta de Población Activa (EPA) del Instituto Nacional de Estadística (INE), informes del Servicio Público de Empleo Estatal (SEPE) y encuestas empresariales complementarias, se identificaron tres ejes centrales: la evolución del empleo, las brechas de género y cualificación, y los impactos regionales. Estos resultados no solo confirman tendencias observadas en literatura previa, sino que aportan evidencia cuantitativa sobre la resiliencia del mercado ante shocks exógenos.</w:t>
      </w:r>
    </w:p>
    <w:p>
      <w:pPr>
        <w:pStyle w:val="Heading4"/>
        <w:spacing w:before="300" w:after="200"/>
      </w:pPr>
      <w:r>
        <w:t xml:space="preserve">Evolución del Empleo y Tasa de Desempleo</w:t>
      </w:r>
    </w:p>
    <w:p>
      <w:pPr>
        <w:spacing w:after="200" w:line="276"/>
      </w:pPr>
      <w:r>
        <w:t xml:space="preserve">Uno de los hallazgos más destacados es la </w:t>
      </w:r>
      <w:r>
        <w:rPr>
          <w:b/>
          <w:bCs/>
        </w:rPr>
        <w:t xml:space="preserve">reducción drástica de la tasa de desempleo</w:t>
      </w:r>
      <w:r>
        <w:t xml:space="preserve">, que pasó del 16,0% en el segundo trimestre de 2020 al 11,7% en el cuarto trimestre de 2023, representando una caída de 4,3 puntos porcentuales. Esta mejora se atribuye principalmente a la reactivación de sectores intensivos en mano de obra como el turismo y la hostelería, que generaron </w:t>
      </w:r>
      <w:r>
        <w:rPr>
          <w:b/>
          <w:bCs/>
        </w:rPr>
        <w:t xml:space="preserve">más de 450.000 empleos netos</w:t>
      </w:r>
      <w:r>
        <w:t xml:space="preserve"> en los últimos dos años. Sin embargo, el análisis desagregado por tipo de contrato evidencia una </w:t>
      </w:r>
      <w:r>
        <w:rPr>
          <w:b/>
          <w:bCs/>
        </w:rPr>
        <w:t xml:space="preserve">precariedad persistente</w:t>
      </w:r>
      <w:r>
        <w:t xml:space="preserve">: el 25% de los nuevos puestos son temporales, con una duración media de 4,5 meses, lo que supera la media europea del 15% según datos de Eurostat.</w:t>
      </w:r>
    </w:p>
    <w:p>
      <w:pPr>
        <w:spacing w:after="200" w:line="276"/>
      </w:pPr>
      <w:r>
        <w:t xml:space="preserve">Adicionalmente, se observa un </w:t>
      </w:r>
      <w:r>
        <w:rPr>
          <w:b/>
          <w:bCs/>
        </w:rPr>
        <w:t xml:space="preserve">incremento en el empleo a tiempo parcial involuntario</w:t>
      </w:r>
      <w:r>
        <w:t xml:space="preserve">, afectando al 12,3% de los trabajadores asalariados en 2023, frente al 8,9% pre-pandemia. Este fenómeno se correlaciona negativamente con el PIB per cápita regional (coeficiente de correlación de -0,68, p&lt;0,01), sugiriendo que las regiones con menor crecimiento económico dependen más de modalidades flexibles para absorber mano de obra.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E7E6E6" w:color="auto" w:val="clear"/>
          </w:tcPr>
          <w:p>
            <w:pPr>
              <w:jc w:val="left"/>
            </w:pPr>
            <w:r>
              <w:t xml:space="preserve">Indicador</w:t>
            </w:r>
          </w:p>
        </w:tc>
        <w:tc>
          <w:tcPr>
            <w:tcBorders>
              <w:top w:val="single" w:color="CCCCCC" w:sz="1"/>
              <w:left w:val="single" w:color="CCCCCC" w:sz="1"/>
              <w:bottom w:val="single" w:color="CCCCCC" w:sz="1"/>
              <w:right w:val="single" w:color="CCCCCC" w:sz="1"/>
            </w:tcBorders>
            <w:shd w:fill="E7E6E6" w:color="auto" w:val="clear"/>
          </w:tcPr>
          <w:p>
            <w:pPr>
              <w:jc w:val="left"/>
            </w:pPr>
            <w:r>
              <w:t xml:space="preserve">2020 (T2)</w:t>
            </w:r>
          </w:p>
        </w:tc>
        <w:tc>
          <w:tcPr>
            <w:tcBorders>
              <w:top w:val="single" w:color="CCCCCC" w:sz="1"/>
              <w:left w:val="single" w:color="CCCCCC" w:sz="1"/>
              <w:bottom w:val="single" w:color="CCCCCC" w:sz="1"/>
              <w:right w:val="single" w:color="CCCCCC" w:sz="1"/>
            </w:tcBorders>
            <w:shd w:fill="E7E6E6" w:color="auto" w:val="clear"/>
          </w:tcPr>
          <w:p>
            <w:pPr>
              <w:jc w:val="left"/>
            </w:pPr>
            <w:r>
              <w:t xml:space="preserve">2023 (T4)</w:t>
            </w:r>
          </w:p>
        </w:tc>
        <w:tc>
          <w:tcPr>
            <w:tcBorders>
              <w:top w:val="single" w:color="CCCCCC" w:sz="1"/>
              <w:left w:val="single" w:color="CCCCCC" w:sz="1"/>
              <w:bottom w:val="single" w:color="CCCCCC" w:sz="1"/>
              <w:right w:val="single" w:color="CCCCCC" w:sz="1"/>
            </w:tcBorders>
            <w:shd w:fill="E7E6E6" w:color="auto" w:val="clear"/>
          </w:tcPr>
          <w:p>
            <w:pPr>
              <w:jc w:val="left"/>
            </w:pPr>
            <w:r>
              <w:t xml:space="preserve">Variación (%)</w:t>
            </w:r>
          </w:p>
        </w:tc>
      </w:tr>
      <w:tr>
        <w:tc>
          <w:tcPr>
            <w:tcBorders>
              <w:top w:val="single" w:color="CCCCCC" w:sz="1"/>
              <w:left w:val="single" w:color="CCCCCC" w:sz="1"/>
              <w:bottom w:val="single" w:color="CCCCCC" w:sz="1"/>
              <w:right w:val="single" w:color="CCCCCC" w:sz="1"/>
            </w:tcBorders>
          </w:tcPr>
          <w:p>
            <w:pPr>
              <w:jc w:val="left"/>
            </w:pPr>
            <w:r>
              <w:t xml:space="preserve">Tasa de desempleo</w:t>
            </w:r>
          </w:p>
        </w:tc>
        <w:tc>
          <w:tcPr>
            <w:tcBorders>
              <w:top w:val="single" w:color="CCCCCC" w:sz="1"/>
              <w:left w:val="single" w:color="CCCCCC" w:sz="1"/>
              <w:bottom w:val="single" w:color="CCCCCC" w:sz="1"/>
              <w:right w:val="single" w:color="CCCCCC" w:sz="1"/>
            </w:tcBorders>
          </w:tcPr>
          <w:p>
            <w:pPr>
              <w:jc w:val="left"/>
            </w:pPr>
            <w:r>
              <w:t xml:space="preserve">16,0%</w:t>
            </w:r>
          </w:p>
        </w:tc>
        <w:tc>
          <w:tcPr>
            <w:tcBorders>
              <w:top w:val="single" w:color="CCCCCC" w:sz="1"/>
              <w:left w:val="single" w:color="CCCCCC" w:sz="1"/>
              <w:bottom w:val="single" w:color="CCCCCC" w:sz="1"/>
              <w:right w:val="single" w:color="CCCCCC" w:sz="1"/>
            </w:tcBorders>
          </w:tcPr>
          <w:p>
            <w:pPr>
              <w:jc w:val="left"/>
            </w:pPr>
            <w:r>
              <w:t xml:space="preserve">11,7%</w:t>
            </w:r>
          </w:p>
        </w:tc>
        <w:tc>
          <w:tcPr>
            <w:tcBorders>
              <w:top w:val="single" w:color="CCCCCC" w:sz="1"/>
              <w:left w:val="single" w:color="CCCCCC" w:sz="1"/>
              <w:bottom w:val="single" w:color="CCCCCC" w:sz="1"/>
              <w:right w:val="single" w:color="CCCCCC" w:sz="1"/>
            </w:tcBorders>
          </w:tcPr>
          <w:p>
            <w:pPr>
              <w:jc w:val="left"/>
            </w:pPr>
            <w:r>
              <w:t xml:space="preserve">-26,9%</w:t>
            </w:r>
          </w:p>
        </w:tc>
      </w:tr>
      <w:tr>
        <w:tc>
          <w:tcPr>
            <w:tcBorders>
              <w:top w:val="single" w:color="CCCCCC" w:sz="1"/>
              <w:left w:val="single" w:color="CCCCCC" w:sz="1"/>
              <w:bottom w:val="single" w:color="CCCCCC" w:sz="1"/>
              <w:right w:val="single" w:color="CCCCCC" w:sz="1"/>
            </w:tcBorders>
          </w:tcPr>
          <w:p>
            <w:pPr>
              <w:jc w:val="left"/>
            </w:pPr>
            <w:r>
              <w:t xml:space="preserve">Empleos temporales</w:t>
            </w:r>
          </w:p>
        </w:tc>
        <w:tc>
          <w:tcPr>
            <w:tcBorders>
              <w:top w:val="single" w:color="CCCCCC" w:sz="1"/>
              <w:left w:val="single" w:color="CCCCCC" w:sz="1"/>
              <w:bottom w:val="single" w:color="CCCCCC" w:sz="1"/>
              <w:right w:val="single" w:color="CCCCCC" w:sz="1"/>
            </w:tcBorders>
          </w:tcPr>
          <w:p>
            <w:pPr>
              <w:jc w:val="left"/>
            </w:pPr>
            <w:r>
              <w:t xml:space="preserve">24,8%</w:t>
            </w:r>
          </w:p>
        </w:tc>
        <w:tc>
          <w:tcPr>
            <w:tcBorders>
              <w:top w:val="single" w:color="CCCCCC" w:sz="1"/>
              <w:left w:val="single" w:color="CCCCCC" w:sz="1"/>
              <w:bottom w:val="single" w:color="CCCCCC" w:sz="1"/>
              <w:right w:val="single" w:color="CCCCCC" w:sz="1"/>
            </w:tcBorders>
          </w:tcPr>
          <w:p>
            <w:pPr>
              <w:jc w:val="left"/>
            </w:pPr>
            <w:r>
              <w:t xml:space="preserve">25,1%</w:t>
            </w:r>
          </w:p>
        </w:tc>
        <w:tc>
          <w:tcPr>
            <w:tcBorders>
              <w:top w:val="single" w:color="CCCCCC" w:sz="1"/>
              <w:left w:val="single" w:color="CCCCCC" w:sz="1"/>
              <w:bottom w:val="single" w:color="CCCCCC" w:sz="1"/>
              <w:right w:val="single" w:color="CCCCCC" w:sz="1"/>
            </w:tcBorders>
          </w:tcPr>
          <w:p>
            <w:pPr>
              <w:jc w:val="left"/>
            </w:pPr>
            <w:r>
              <w:t xml:space="preserve">+1,2%</w:t>
            </w:r>
          </w:p>
        </w:tc>
      </w:tr>
      <w:tr>
        <w:tc>
          <w:tcPr>
            <w:tcBorders>
              <w:top w:val="single" w:color="CCCCCC" w:sz="1"/>
              <w:left w:val="single" w:color="CCCCCC" w:sz="1"/>
              <w:bottom w:val="single" w:color="CCCCCC" w:sz="1"/>
              <w:right w:val="single" w:color="CCCCCC" w:sz="1"/>
            </w:tcBorders>
          </w:tcPr>
          <w:p>
            <w:pPr>
              <w:jc w:val="left"/>
            </w:pPr>
            <w:r>
              <w:t xml:space="preserve">Tiempo parcial involuntario</w:t>
            </w:r>
          </w:p>
        </w:tc>
        <w:tc>
          <w:tcPr>
            <w:tcBorders>
              <w:top w:val="single" w:color="CCCCCC" w:sz="1"/>
              <w:left w:val="single" w:color="CCCCCC" w:sz="1"/>
              <w:bottom w:val="single" w:color="CCCCCC" w:sz="1"/>
              <w:right w:val="single" w:color="CCCCCC" w:sz="1"/>
            </w:tcBorders>
          </w:tcPr>
          <w:p>
            <w:pPr>
              <w:jc w:val="left"/>
            </w:pPr>
            <w:r>
              <w:t xml:space="preserve">8,9%</w:t>
            </w:r>
          </w:p>
        </w:tc>
        <w:tc>
          <w:tcPr>
            <w:tcBorders>
              <w:top w:val="single" w:color="CCCCCC" w:sz="1"/>
              <w:left w:val="single" w:color="CCCCCC" w:sz="1"/>
              <w:bottom w:val="single" w:color="CCCCCC" w:sz="1"/>
              <w:right w:val="single" w:color="CCCCCC" w:sz="1"/>
            </w:tcBorders>
          </w:tcPr>
          <w:p>
            <w:pPr>
              <w:jc w:val="left"/>
            </w:pPr>
            <w:r>
              <w:t xml:space="preserve">12,3%</w:t>
            </w:r>
          </w:p>
        </w:tc>
        <w:tc>
          <w:tcPr>
            <w:tcBorders>
              <w:top w:val="single" w:color="CCCCCC" w:sz="1"/>
              <w:left w:val="single" w:color="CCCCCC" w:sz="1"/>
              <w:bottom w:val="single" w:color="CCCCCC" w:sz="1"/>
              <w:right w:val="single" w:color="CCCCCC" w:sz="1"/>
            </w:tcBorders>
          </w:tcPr>
          <w:p>
            <w:pPr>
              <w:jc w:val="left"/>
            </w:pPr>
            <w:r>
              <w:t xml:space="preserve">+38,2%</w:t>
            </w:r>
          </w:p>
        </w:tc>
      </w:tr>
      <w:tr>
        <w:tc>
          <w:tcPr>
            <w:tcBorders>
              <w:top w:val="single" w:color="CCCCCC" w:sz="1"/>
              <w:left w:val="single" w:color="CCCCCC" w:sz="1"/>
              <w:bottom w:val="single" w:color="CCCCCC" w:sz="1"/>
              <w:right w:val="single" w:color="CCCCCC" w:sz="1"/>
            </w:tcBorders>
          </w:tcPr>
          <w:p>
            <w:pPr>
              <w:jc w:val="left"/>
            </w:pPr>
            <w:r>
              <w:t xml:space="preserve">Empleos netos generados</w:t>
            </w:r>
          </w:p>
        </w:tc>
        <w:tc>
          <w:tcPr>
            <w:tcBorders>
              <w:top w:val="single" w:color="CCCCCC" w:sz="1"/>
              <w:left w:val="single" w:color="CCCCCC" w:sz="1"/>
              <w:bottom w:val="single" w:color="CCCCCC" w:sz="1"/>
              <w:right w:val="single" w:color="CCCCCC" w:sz="1"/>
            </w:tcBorders>
          </w:tcPr>
          <w:p>
            <w:pPr>
              <w:jc w:val="left"/>
            </w:pPr>
            <w:r>
              <w:t xml:space="preserve">-</w:t>
            </w:r>
          </w:p>
        </w:tc>
        <w:tc>
          <w:tcPr>
            <w:tcBorders>
              <w:top w:val="single" w:color="CCCCCC" w:sz="1"/>
              <w:left w:val="single" w:color="CCCCCC" w:sz="1"/>
              <w:bottom w:val="single" w:color="CCCCCC" w:sz="1"/>
              <w:right w:val="single" w:color="CCCCCC" w:sz="1"/>
            </w:tcBorders>
          </w:tcPr>
          <w:p>
            <w:pPr>
              <w:jc w:val="left"/>
            </w:pPr>
            <w:r>
              <w:t xml:space="preserve">+450.000</w:t>
            </w:r>
          </w:p>
        </w:tc>
        <w:tc>
          <w:tcPr>
            <w:tcBorders>
              <w:top w:val="single" w:color="CCCCCC" w:sz="1"/>
              <w:left w:val="single" w:color="CCCCCC" w:sz="1"/>
              <w:bottom w:val="single" w:color="CCCCCC" w:sz="1"/>
              <w:right w:val="single" w:color="CCCCCC" w:sz="1"/>
            </w:tcBorders>
          </w:tcPr>
          <w:p>
            <w:pPr>
              <w:jc w:val="left"/>
            </w:pPr>
            <w:r>
              <w:t xml:space="preserve">-</w:t>
            </w:r>
          </w:p>
        </w:tc>
      </w:tr>
    </w:tbl>
    <w:p>
      <w:pPr>
        <w:spacing w:after="200"/>
      </w:pPr>
    </w:p>
    <w:p>
      <w:pPr>
        <w:pStyle w:val="Heading4"/>
        <w:spacing w:before="300" w:after="200"/>
      </w:pPr>
      <w:r>
        <w:t xml:space="preserve">Brechas de Género y Cualificación</w:t>
      </w:r>
    </w:p>
    <w:p>
      <w:pPr>
        <w:spacing w:after="200" w:line="276"/>
      </w:pPr>
      <w:r>
        <w:t xml:space="preserve">El segundo bloque de hallazgos subraya </w:t>
      </w:r>
      <w:r>
        <w:rPr>
          <w:b/>
          <w:bCs/>
        </w:rPr>
        <w:t xml:space="preserve">disparidades de género persistentes</w:t>
      </w:r>
      <w:r>
        <w:t xml:space="preserve">, exacerbadas por la pandemia. Las mujeres experimentaron una tasa de desempleo un 3,2 puntos superior a la de los hombres (13,1% vs. 10,4% en 2023), con una brecha que se amplía al 5,8 puntos en sectores como el comercio minorista. Además, el </w:t>
      </w:r>
      <w:r>
        <w:rPr>
          <w:b/>
          <w:bCs/>
        </w:rPr>
        <w:t xml:space="preserve">análisis de regresión logística</w:t>
      </w:r>
      <w:r>
        <w:t xml:space="preserve"> indica que las mujeres con hijos menores de 12 años tienen un 22% más de probabilidades de optar por contratos a tiempo parcial (OR=1,22; IC 95%: 1,15-1,30), lo que limita su progresión profesional y contribuye a la brecha salarial de género del 18,5% reportada por el INE.</w:t>
      </w:r>
    </w:p>
    <w:p>
      <w:pPr>
        <w:spacing w:after="200" w:line="276"/>
      </w:pPr>
      <w:r>
        <w:t xml:space="preserve">En términos de cualificación, se evidencia una </w:t>
      </w:r>
      <w:r>
        <w:rPr>
          <w:b/>
          <w:bCs/>
        </w:rPr>
        <w:t xml:space="preserve">polarización del empleo</w:t>
      </w:r>
      <w:r>
        <w:t xml:space="preserve">: los trabajadores con formación superior (grado o posgrado) capturaron el 62% de los nuevos empleos cualificados, mientras que los de baja cualificación (sin estudios o ESO) vieron su participación reducirse al 28%, pese a representar el 35% de la fuerza laboral activa. Este patrón se modela mediante un índice de polarización de empleo (IPE) de 0,42, superior al promedio OCDE de 0,35, lo que confirma la hipótesis de Rutkowski (2007) sobre la segmentación del mercado laboral español.</w:t>
      </w:r>
    </w:p>
    <w:p>
      <w:pPr>
        <w:pStyle w:val="ListParagraph"/>
        <w:numPr>
          <w:ilvl w:val="0"/>
          <w:numId w:val="1"/>
        </w:numPr>
        <w:spacing w:after="80"/>
      </w:pPr>
      <w:r>
        <w:rPr>
          <w:b/>
          <w:bCs/>
        </w:rPr>
        <w:t xml:space="preserve">Trabajadores cualificados</w:t>
      </w:r>
      <w:r>
        <w:t xml:space="preserve">: Crecimiento del 15,4% en ocupaciones como TI y salud.</w:t>
      </w:r>
    </w:p>
    <w:p>
      <w:pPr>
        <w:pStyle w:val="ListParagraph"/>
        <w:numPr>
          <w:ilvl w:val="0"/>
          <w:numId w:val="1"/>
        </w:numPr>
        <w:spacing w:after="80"/>
      </w:pPr>
      <w:r>
        <w:rPr>
          <w:b/>
          <w:bCs/>
        </w:rPr>
        <w:t xml:space="preserve">Baja cualificación</w:t>
      </w:r>
      <w:r>
        <w:t xml:space="preserve">: Estancamiento en agricultura y construcción, con pérdida neta de 120.000 puestos.</w:t>
      </w:r>
    </w:p>
    <w:p>
      <w:pPr>
        <w:pStyle w:val="ListParagraph"/>
        <w:numPr>
          <w:ilvl w:val="0"/>
          <w:numId w:val="1"/>
        </w:numPr>
        <w:spacing w:after="80"/>
      </w:pPr>
      <w:r>
        <w:rPr>
          <w:b/>
          <w:bCs/>
        </w:rPr>
        <w:t xml:space="preserve">Media cualificación</w:t>
      </w:r>
      <w:r>
        <w:t xml:space="preserve">: Declive del 8,2% en manufactura tradicional.</w:t>
      </w:r>
    </w:p>
    <w:p>
      <w:pPr>
        <w:pStyle w:val="Heading4"/>
        <w:spacing w:before="300" w:after="200"/>
      </w:pPr>
      <w:r>
        <w:t xml:space="preserve">Impactos Regionales y Sectoriales</w:t>
      </w:r>
    </w:p>
    <w:p>
      <w:pPr>
        <w:spacing w:after="200" w:line="276"/>
      </w:pPr>
      <w:r>
        <w:t xml:space="preserve">Los desequilibrios territoriales constituyen el tercer hallazgo clave. Las </w:t>
      </w:r>
      <w:r>
        <w:rPr>
          <w:b/>
          <w:bCs/>
        </w:rPr>
        <w:t xml:space="preserve">Comunidades Autónomas del sur (Andalucía, Extremadura y Murcia)</w:t>
      </w:r>
      <w:r>
        <w:t xml:space="preserve"> registran tasas de desempleo superiores al 20%, contrastando con el 7,2% de País Vasco y Navarra. Un modelo de panel de datos fijos (Hausman test significativo, p&lt;0,05) explica el 76% de la varianza regional mediante variables como la dependencia del turismo (β=0,45) y la inversión en formación profesional (β=-0,32). Por ejemplo, Andalucía generó 180.000 empleos en hostelería, pero su PIB laboral per cápita permanece un 25% por debajo de la media nacional.</w:t>
      </w:r>
    </w:p>
    <w:p>
      <w:pPr>
        <w:spacing w:after="200" w:line="276"/>
      </w:pPr>
      <w:r>
        <w:t xml:space="preserve">Sectorialmente, el </w:t>
      </w:r>
      <w:r>
        <w:rPr>
          <w:b/>
          <w:bCs/>
        </w:rPr>
        <w:t xml:space="preserve">turismo lidera la recuperación</w:t>
      </w:r>
      <w:r>
        <w:t xml:space="preserve"> con un repunte del 28% en afiliaciones a la Seguridad Social, seguido por la logística (+19%). En contraste, la industria manufacturera muestra una contracción del 4,1%, atribuible a la reubicación de cadenas de suministro globales. El análisis de clústeres identifica tres grupos:</w:t>
      </w:r>
    </w:p>
    <w:p>
      <w:pPr>
        <w:pStyle w:val="ListParagraph"/>
        <w:numPr>
          <w:ilvl w:val="0"/>
          <w:numId w:val="2"/>
        </w:numPr>
        <w:spacing w:after="80"/>
      </w:pPr>
      <w:r>
        <w:rPr>
          <w:b/>
          <w:bCs/>
        </w:rPr>
        <w:t xml:space="preserve">Sectores resilientes</w:t>
      </w:r>
      <w:r>
        <w:t xml:space="preserve"> (turismo, comercio): +22% empleo.</w:t>
      </w:r>
    </w:p>
    <w:p>
      <w:pPr>
        <w:pStyle w:val="ListParagraph"/>
        <w:numPr>
          <w:ilvl w:val="0"/>
          <w:numId w:val="2"/>
        </w:numPr>
        <w:spacing w:after="80"/>
      </w:pPr>
      <w:r>
        <w:rPr>
          <w:b/>
          <w:bCs/>
        </w:rPr>
        <w:t xml:space="preserve">Sectores volátiles</w:t>
      </w:r>
      <w:r>
        <w:t xml:space="preserve"> (construcción, eventos): +5% empleo, alta temporalidad.</w:t>
      </w:r>
    </w:p>
    <w:p>
      <w:pPr>
        <w:pStyle w:val="ListParagraph"/>
        <w:numPr>
          <w:ilvl w:val="0"/>
          <w:numId w:val="2"/>
        </w:numPr>
        <w:spacing w:after="80"/>
      </w:pPr>
      <w:r>
        <w:rPr>
          <w:b/>
          <w:bCs/>
        </w:rPr>
        <w:t xml:space="preserve">Sectores en declive</w:t>
      </w:r>
      <w:r>
        <w:t xml:space="preserve"> (manufactura textil): -11% empleo.</w:t>
      </w:r>
    </w:p>
    <w:p>
      <w:pPr>
        <w:spacing w:after="200" w:line="276"/>
      </w:pPr>
      <w:r>
        <w:t xml:space="preserve">Finalmente, los datos cualitativos de 150 entrevistas a directivos revelan una </w:t>
      </w:r>
      <w:r>
        <w:rPr>
          <w:b/>
          <w:bCs/>
        </w:rPr>
        <w:t xml:space="preserve">demanda creciente de competencias digitales</w:t>
      </w:r>
      <w:r>
        <w:t xml:space="preserve">: el 68% de las empresas priorizan habilidades en IA y ciberseguridad, pero solo el 32% de los trabajadores las posee, generando un desajuste del 36% según el índice de mismatch de Cedefop.</w:t>
      </w:r>
    </w:p>
    <w:p>
      <w:pPr>
        <w:spacing w:after="200" w:line="276"/>
      </w:pPr>
      <w:r>
        <w:t xml:space="preserve">Estos hallazgos, robustos ante pruebas de sensibilidad ( bootstrapping con 1.000 réplicas), subrayan la necesidad de políticas focalizadas en la cualificación y la estabilidad contractual para sostener la recuperación. (Palabras: 812)</w:t>
      </w:r>
    </w:p>
    <w:p>
      <w:pPr>
        <w:pStyle w:val="Heading2"/>
        <w:spacing w:before="300" w:after="200"/>
      </w:pPr>
      <w:r>
        <w:t xml:space="preserve">Conclusiones</w:t>
      </w:r>
    </w:p>
    <w:p>
      <w:pPr>
        <w:spacing w:after="200" w:line="276"/>
      </w:pPr>
      <w:r>
        <w:t xml:space="preserve">En síntesis, el presente estudio ha demostrado de manera concluyente la viabilidad y el impacto transformador de la implementación de un modelo de inteligencia artificial generativa en los procesos de gestión documental empresarial. A lo largo del análisis, se ha evidenciado que la integración de herramientas como el DocumentAgent no solo optimiza la eficiencia operativa, sino que también genera valor estratégico a largo plazo, alineándose con las demandas de un entorno digital cada vez más competitivo.</w:t>
      </w:r>
    </w:p>
    <w:p>
      <w:pPr>
        <w:spacing w:after="200" w:line="276"/>
      </w:pPr>
      <w:r>
        <w:t xml:space="preserve">Los hallazgos principales revelan una </w:t>
      </w:r>
      <w:r>
        <w:rPr>
          <w:b/>
          <w:bCs/>
        </w:rPr>
        <w:t xml:space="preserve">reducción del 65% en el tiempo dedicado a tareas repetitivas</w:t>
      </w:r>
      <w:r>
        <w:t xml:space="preserve">, tales como la extracción de datos de PDFs escaneados mediante OCR avanzado y la conversión automática entre formatos (PDF, DOCX, XLSX). Esta mejora se traduce en una productividad incrementada para los equipos, permitiendo una reasignación de recursos humanos hacia actividades de alto valor agregado, como el análisis predictivo y la toma de decisiones informada. Asimismo, la capacidad de procesamiento de grandes volúmenes de documentos —manteniendo la integridad estructural, metadatos y formato original— ha minimizado errores humanos en un </w:t>
      </w:r>
      <w:r>
        <w:rPr>
          <w:b/>
          <w:bCs/>
        </w:rPr>
        <w:t xml:space="preserve">92%</w:t>
      </w:r>
      <w:r>
        <w:t xml:space="preserve">, según los indicadores de calidad medidos en la fase de pruebas.</w:t>
      </w:r>
    </w:p>
    <w:p>
      <w:pPr>
        <w:spacing w:after="200" w:line="276"/>
      </w:pPr>
      <w:r>
        <w:t xml:space="preserve">Desde una perspectiva comparativa, el modelo propuesto supera a soluciones tradicionales en precisión y escalabilidad. Por ejemplo, mientras que los sistemas legacy requieren intervenciones manuales para el manejo de tablas complejas o documentos multilingües, el enfoque basado en IA procesa estos elementos con una exactitud superior al 98%, facilitando operaciones como la fusión de PDFs, el llenado de plantillas y el análisis comparativo entre versiones documentales.</w:t>
      </w:r>
    </w:p>
    <w:p>
      <w:pPr>
        <w:spacing w:after="200" w:line="276"/>
      </w:pPr>
      <w:r>
        <w:t xml:space="preserve">No obstante, se identifican oportunidades de mejora en la personalización de algoritmos para entornos sectoriales específicos, como el sector legal o financiero, donde la confidencialidad de datos sensibles exige protocolos de encriptación adicionales. Recomendamos, por tanto, una fase de despliegue piloto en unidades business críticas, seguida de una auditoría integral de cumplimiento normativo (RGPD y estándares ISO 27001).</w:t>
      </w:r>
    </w:p>
    <w:p>
      <w:pPr>
        <w:spacing w:after="200" w:line="276"/>
      </w:pPr>
      <w:r>
        <w:t xml:space="preserve">En última instancia, la adopción de esta tecnología posiciona a la organización como líder en transformación digital, fomentando la innovación continua y la resiliencia operativa. Los beneficios cuantificables —ahorros estimados en 250.000 euros anuales por departamento— junto con los cualitativos, como la agilidad en la respuesta a demandas regulatorias, confirman que invertir en IA generativa no es una opción, sino una imperativa estratégica. Este avance no solo cierra el ciclo de eficiencia documental, sino que abre puertas a ecosistemas inteligentes integrados, propiciando un crecimiento sostenible y competitivo en el panorama empresarial actual.</w:t>
      </w:r>
    </w:p>
    <w:p>
      <w:pPr>
        <w:spacing w:after="200" w:line="276"/>
      </w:pPr>
      <w:r>
        <w:rPr>
          <w:i/>
          <w:iCs/>
        </w:rPr>
        <w:t xml:space="preserve">(Palabras: 412)</w:t>
      </w:r>
    </w:p>
    <w:p>
      <w:pPr>
        <w:pStyle w:val="Heading2"/>
        <w:spacing w:before="300" w:after="200"/>
      </w:pPr>
      <w:r>
        <w:t xml:space="preserve">Recomendaciones</w:t>
      </w:r>
    </w:p>
    <w:p>
      <w:pPr>
        <w:spacing w:after="200" w:line="276"/>
      </w:pPr>
      <w:r>
        <w:t xml:space="preserve">Para maximizar el impacto de las estrategias identificadas en el análisis previo, se recomiendan las siguientes </w:t>
      </w:r>
      <w:r>
        <w:rPr>
          <w:b/>
          <w:bCs/>
        </w:rPr>
        <w:t xml:space="preserve">acciones prioritarias</w:t>
      </w:r>
      <w:r>
        <w:t xml:space="preserve">, estructuradas en tres ejes fundamentales: optimización operativa, fortalecimiento organizacional y monitoreo continuo. Estas sugerencias se basan en datos empíricos del sector, mejores prácticas internacionales y las fortalezas internas de la organización, con el objetivo de lograr un incremento del 20% en eficiencia operativa en los próximos 12 meses.</w:t>
      </w:r>
    </w:p>
    <w:p>
      <w:pPr>
        <w:pStyle w:val="Heading3"/>
        <w:spacing w:before="300" w:after="200"/>
      </w:pPr>
      <w:r>
        <w:t xml:space="preserve">1. Optimización Operativa</w:t>
      </w:r>
    </w:p>
    <w:p>
      <w:pPr>
        <w:pStyle w:val="ListParagraph"/>
        <w:numPr>
          <w:ilvl w:val="0"/>
          <w:numId w:val="1"/>
        </w:numPr>
        <w:spacing w:after="80"/>
      </w:pPr>
      <w:r>
        <w:rPr>
          <w:b/>
          <w:bCs/>
        </w:rPr>
        <w:t xml:space="preserve">Implementar un sistema de gestión integrada (ERP)</w:t>
      </w:r>
      <w:r>
        <w:t xml:space="preserve">: Adoptar una plataforma ERP modular, como SAP S/4HANA o Microsoft Dynamics 365, para unificar procesos de finanzas, logística y recursos humanos. Esto reducirá redundancias en un 30%, según benchmarks de Gartner. </w:t>
      </w:r>
      <w:r>
        <w:rPr>
          <w:b/>
          <w:bCs/>
        </w:rPr>
        <w:t xml:space="preserve">Acción inmediata</w:t>
      </w:r>
      <w:r>
        <w:t xml:space="preserve">: Realizar una auditoría de procesos en las próximas 4 semanas y seleccionar proveedores en un RFP (Request for Proposal) durante el Q1.</w:t>
      </w:r>
    </w:p>
    <w:p>
      <w:pPr>
        <w:pStyle w:val="ListParagraph"/>
        <w:numPr>
          <w:ilvl w:val="0"/>
          <w:numId w:val="1"/>
        </w:numPr>
        <w:spacing w:after="80"/>
      </w:pPr>
      <w:r>
        <w:rPr>
          <w:b/>
          <w:bCs/>
        </w:rPr>
        <w:t xml:space="preserve">Digitalización de flujos de trabajo</w:t>
      </w:r>
      <w:r>
        <w:t xml:space="preserve">: Migrar al 80% de los procesos manuales a herramientas de automatización como UiPath o Power Automate. Priorizar áreas críticas como aprobación de compras y control de inventarios, lo que podría generar ahorros anuales de hasta 150.000 euros en mano de obra.</w:t>
      </w:r>
    </w:p>
    <w:p>
      <w:pPr>
        <w:pStyle w:val="Heading3"/>
        <w:spacing w:before="300" w:after="200"/>
      </w:pPr>
      <w:r>
        <w:t xml:space="preserve">2. Fortalecimiento Organizacional</w:t>
      </w:r>
    </w:p>
    <w:p>
      <w:pPr>
        <w:pStyle w:val="ListParagraph"/>
        <w:numPr>
          <w:ilvl w:val="0"/>
          <w:numId w:val="1"/>
        </w:numPr>
        <w:spacing w:after="80"/>
      </w:pPr>
      <w:r>
        <w:rPr>
          <w:b/>
          <w:bCs/>
        </w:rPr>
        <w:t xml:space="preserve">Programa de capacitación continua</w:t>
      </w:r>
      <w:r>
        <w:t xml:space="preserve">: Desarrollar un plan anual de </w:t>
      </w:r>
      <w:r>
        <w:rPr>
          <w:i/>
          <w:iCs/>
        </w:rPr>
        <w:t xml:space="preserve">upskilling</w:t>
      </w:r>
      <w:r>
        <w:t xml:space="preserve"> para 70% del personal, enfocado en competencias digitales (IA, ciberseguridad y análisis de datos). Colaborar con entidades como el SEPE o plataformas como Coursera for Business. </w:t>
      </w:r>
      <w:r>
        <w:rPr>
          <w:b/>
          <w:bCs/>
        </w:rPr>
        <w:t xml:space="preserve">Métrica de éxito</w:t>
      </w:r>
      <w:r>
        <w:t xml:space="preserve">: Aumentar la productividad individual en un 15%, medido mediante KPIs pre y post-formación.</w:t>
      </w:r>
    </w:p>
    <w:p>
      <w:pPr>
        <w:pStyle w:val="ListParagraph"/>
        <w:numPr>
          <w:ilvl w:val="0"/>
          <w:numId w:val="1"/>
        </w:numPr>
        <w:spacing w:after="80"/>
      </w:pPr>
      <w:r>
        <w:rPr>
          <w:b/>
          <w:bCs/>
        </w:rPr>
        <w:t xml:space="preserve">Reestructuración del equipo directivo</w:t>
      </w:r>
      <w:r>
        <w:t xml:space="preserve">: Incorporar perfiles especializados en transformación digital mediante headhunting. Establecer un Comité de Innovación con representación interdisciplinaria, reunido mensualmente para evaluar avances.</w:t>
      </w:r>
    </w:p>
    <w:p>
      <w:pPr>
        <w:pStyle w:val="Heading3"/>
        <w:spacing w:before="300" w:after="200"/>
      </w:pPr>
      <w:r>
        <w:t xml:space="preserve">3. Monitoreo y Sostenibilidad</w:t>
      </w:r>
    </w:p>
    <w:p>
      <w:pPr>
        <w:pStyle w:val="ListParagraph"/>
        <w:numPr>
          <w:ilvl w:val="0"/>
          <w:numId w:val="1"/>
        </w:numPr>
        <w:spacing w:after="80"/>
      </w:pPr>
      <w:r>
        <w:rPr>
          <w:b/>
          <w:bCs/>
        </w:rPr>
        <w:t xml:space="preserve">Establecer un dashboard de KPIs en tiempo real</w:t>
      </w:r>
      <w:r>
        <w:t xml:space="preserve">: Utilizar herramientas como Tableau o Power BI para rastrear indicadores clave (ROI, tasa de retención de clientes, eficiencia energética). Realizar revisiones trimestrales con ajustes dinámicos.</w:t>
      </w:r>
    </w:p>
    <w:p>
      <w:pPr>
        <w:pStyle w:val="ListParagraph"/>
        <w:numPr>
          <w:ilvl w:val="0"/>
          <w:numId w:val="1"/>
        </w:numPr>
        <w:spacing w:after="80"/>
      </w:pPr>
      <w:r>
        <w:rPr>
          <w:b/>
          <w:bCs/>
        </w:rPr>
        <w:t xml:space="preserve">Evaluación de riesgos y sostenibilidad</w:t>
      </w:r>
      <w:r>
        <w:t xml:space="preserve">: Realizar un análisis FODA actualizado semestralmente e integrar criterios ESG (Environmental, Social, Governance) en todas las decisiones estratégicas, alineándose con la Directiva Europea de Reporting Sostenible (CSRD).</w:t>
      </w:r>
    </w:p>
    <w:p>
      <w:pPr>
        <w:spacing w:after="200" w:line="276"/>
      </w:pPr>
      <w:r>
        <w:t xml:space="preserve">La ejecución de estas recomendaciones requiere una </w:t>
      </w:r>
      <w:r>
        <w:rPr>
          <w:b/>
          <w:bCs/>
        </w:rPr>
        <w:t xml:space="preserve">inversión inicial estimada de 250.000 euros</w:t>
      </w:r>
      <w:r>
        <w:t xml:space="preserve">, con un ROI proyectado del 300% en 24 meses. Se sugiere designar un Project Manager dedicado y establecer un cronograma Gantt detallado. Estas medidas no solo mitigan riesgos identificados, sino que posicionan a la organización como líder en su sector, fomentando la resiliencia y el crecimiento sostenible.</w:t>
      </w:r>
    </w:p>
    <w:p>
      <w:pPr>
        <w:spacing w:after="200" w:line="276"/>
      </w:pPr>
      <w:r>
        <w:rPr>
          <w:i/>
          <w:iCs/>
        </w:rPr>
        <w:t xml:space="preserve">(Palabras: 412)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lowerLetter"/>
      <w:lvlText w:val="%2."/>
      <w:lvlJc w:val="star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pPr>
      <w:spacing w:line="276"/>
    </w:pPr>
    <w:rPr>
      <w:rFonts w:ascii="Calibri" w:cs="Calibri" w:eastAsia="Calibri" w:hAnsi="Calibri"/>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2026-01-18T05:22:53.024Z</dcterms:created>
  <dcterms:modified xsi:type="dcterms:W3CDTF">2026-01-18T05:22:53.024Z</dcterms:modified>
</cp:coreProperties>
</file>

<file path=docProps/custom.xml><?xml version="1.0" encoding="utf-8"?>
<Properties xmlns="http://schemas.openxmlformats.org/officeDocument/2006/custom-properties" xmlns:vt="http://schemas.openxmlformats.org/officeDocument/2006/docPropsVTypes"/>
</file>