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B98A" w14:textId="77777777" w:rsidR="006A5DB0" w:rsidRDefault="00CC4575" w:rsidP="00D21365">
      <w:r>
        <w:rPr>
          <w:noProof/>
          <w:lang w:val="en-US"/>
        </w:rPr>
        <w:drawing>
          <wp:anchor distT="0" distB="0" distL="114300" distR="114300" simplePos="0" relativeHeight="251659264" behindDoc="1" locked="0" layoutInCell="1" allowOverlap="1" wp14:anchorId="69679927" wp14:editId="5CA6541B">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r w:rsidR="00E410E0">
        <w:rPr>
          <w:color w:val="404040"/>
          <w:sz w:val="31"/>
          <w:szCs w:val="31"/>
        </w:rPr>
        <w:t>Xxxxxxxx</w:t>
      </w:r>
    </w:p>
    <w:p w14:paraId="6C3C6C61" w14:textId="52B7D3B0" w:rsidR="006A5DB0" w:rsidRDefault="006A5DB0" w:rsidP="00CC4575">
      <w:pPr>
        <w:spacing w:before="120" w:after="0" w:line="360" w:lineRule="auto"/>
        <w:jc w:val="center"/>
        <w:rPr>
          <w:sz w:val="38"/>
        </w:rPr>
      </w:pPr>
      <w:r>
        <w:rPr>
          <w:color w:val="404040"/>
          <w:sz w:val="38"/>
        </w:rPr>
        <w:t>“</w:t>
      </w:r>
      <w:r w:rsidR="0038375A" w:rsidRPr="0038375A">
        <w:rPr>
          <w:color w:val="404040"/>
          <w:sz w:val="32"/>
        </w:rPr>
        <w:t>Experiencia del consumidor y fidelización de marca en entornos digitales: una revisión narrativa</w:t>
      </w:r>
      <w:r>
        <w:rPr>
          <w:color w:val="404040"/>
          <w:sz w:val="38"/>
        </w:rPr>
        <w:t>”</w:t>
      </w:r>
    </w:p>
    <w:p w14:paraId="6516AAFD" w14:textId="77777777" w:rsidR="006A5DB0" w:rsidRDefault="006A5DB0" w:rsidP="001B59DB">
      <w:pPr>
        <w:spacing w:before="120" w:after="0" w:line="360" w:lineRule="auto"/>
        <w:rPr>
          <w:color w:val="404040" w:themeColor="text1" w:themeTint="BF"/>
          <w:sz w:val="32"/>
          <w:szCs w:val="32"/>
        </w:rPr>
      </w:pPr>
    </w:p>
    <w:p w14:paraId="31AA9F87" w14:textId="77777777" w:rsidR="001B59DB" w:rsidRDefault="001B59DB" w:rsidP="007E70E3">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14:paraId="79B6BBEE" w14:textId="219D598D" w:rsidR="001B59DB" w:rsidRPr="001B59DB" w:rsidRDefault="001B59DB" w:rsidP="001B59DB">
      <w:pPr>
        <w:spacing w:before="120" w:after="0" w:line="360" w:lineRule="auto"/>
        <w:jc w:val="center"/>
        <w:rPr>
          <w:b/>
          <w:color w:val="404040" w:themeColor="text1" w:themeTint="BF"/>
          <w:sz w:val="32"/>
          <w:szCs w:val="32"/>
        </w:rPr>
      </w:pPr>
      <w:r w:rsidRPr="001B59DB">
        <w:rPr>
          <w:b/>
          <w:color w:val="404040" w:themeColor="text1" w:themeTint="BF"/>
          <w:sz w:val="32"/>
          <w:szCs w:val="32"/>
        </w:rPr>
        <w:t xml:space="preserve">Bachiller en </w:t>
      </w:r>
      <w:r w:rsidR="00A21CA2">
        <w:rPr>
          <w:b/>
          <w:color w:val="404040" w:themeColor="text1" w:themeTint="BF"/>
          <w:sz w:val="32"/>
          <w:szCs w:val="32"/>
        </w:rPr>
        <w:t>Xxxxxxxxxxxxxxx</w:t>
      </w:r>
    </w:p>
    <w:p w14:paraId="72549B02" w14:textId="77777777" w:rsidR="00CA5C49" w:rsidRDefault="00CA5C49" w:rsidP="009A5027">
      <w:pPr>
        <w:pStyle w:val="autoresasesores"/>
        <w:jc w:val="center"/>
        <w:rPr>
          <w:b w:val="0"/>
          <w:lang w:val="es-PE"/>
        </w:rPr>
      </w:pPr>
    </w:p>
    <w:p w14:paraId="32CB9E2E" w14:textId="252B78F2" w:rsidR="00CA5C49" w:rsidRPr="00CA5C49" w:rsidRDefault="00CA5C49" w:rsidP="00D6099F">
      <w:pPr>
        <w:pStyle w:val="autoresasesores"/>
        <w:spacing w:line="240" w:lineRule="auto"/>
        <w:ind w:firstLine="0"/>
        <w:jc w:val="center"/>
        <w:rPr>
          <w:lang w:val="es-PE"/>
        </w:rPr>
      </w:pPr>
      <w:r w:rsidRPr="00CA5C49">
        <w:rPr>
          <w:lang w:val="es-PE"/>
        </w:rPr>
        <w:t>Autor</w:t>
      </w:r>
      <w:r w:rsidR="00176EE3">
        <w:rPr>
          <w:lang w:val="es-PE"/>
        </w:rPr>
        <w:t xml:space="preserve"> (a) (</w:t>
      </w:r>
      <w:r w:rsidRPr="00CA5C49">
        <w:rPr>
          <w:lang w:val="es-PE"/>
        </w:rPr>
        <w:t>es</w:t>
      </w:r>
      <w:r w:rsidR="00176EE3">
        <w:rPr>
          <w:lang w:val="es-PE"/>
        </w:rPr>
        <w:t>) (as)</w:t>
      </w:r>
      <w:r w:rsidRPr="00CA5C49">
        <w:rPr>
          <w:lang w:val="es-PE"/>
        </w:rPr>
        <w:t>:</w:t>
      </w:r>
    </w:p>
    <w:p w14:paraId="48800754" w14:textId="77777777"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77777777" w:rsidR="006A5DB0" w:rsidRDefault="006A5DB0" w:rsidP="00D6099F">
      <w:pPr>
        <w:pStyle w:val="Nombresyapellidos"/>
        <w:spacing w:line="240" w:lineRule="auto"/>
        <w:ind w:firstLine="0"/>
        <w:jc w:val="center"/>
        <w:rPr>
          <w:lang w:val="es-PE"/>
        </w:rPr>
      </w:pPr>
      <w:r w:rsidRPr="006A5DB0">
        <w:rPr>
          <w:lang w:val="es-PE"/>
        </w:rPr>
        <w:t>Nombres y Apellidos</w:t>
      </w:r>
    </w:p>
    <w:p w14:paraId="20298ACF" w14:textId="77777777" w:rsidR="00121D8E" w:rsidRPr="006A5DB0" w:rsidRDefault="00121D8E" w:rsidP="00121D8E">
      <w:pPr>
        <w:pStyle w:val="Nombresyapellidos"/>
        <w:spacing w:line="240" w:lineRule="auto"/>
        <w:ind w:firstLine="0"/>
        <w:jc w:val="center"/>
        <w:rPr>
          <w:lang w:val="es-PE"/>
        </w:rPr>
      </w:pPr>
      <w:r w:rsidRPr="006A5DB0">
        <w:rPr>
          <w:lang w:val="es-PE"/>
        </w:rPr>
        <w:t>Nombres y Apellidos</w:t>
      </w:r>
    </w:p>
    <w:p w14:paraId="645B0738" w14:textId="77777777" w:rsidR="006A5DB0" w:rsidRPr="006A5DB0" w:rsidRDefault="006A5DB0" w:rsidP="00D21365">
      <w:pPr>
        <w:pStyle w:val="Nombresyapellidos"/>
        <w:spacing w:line="240" w:lineRule="auto"/>
        <w:rPr>
          <w:lang w:val="es-PE"/>
        </w:rPr>
      </w:pPr>
    </w:p>
    <w:p w14:paraId="1330EB5A" w14:textId="726DC686" w:rsidR="006A5DB0" w:rsidRPr="006A5DB0" w:rsidRDefault="006A5DB0" w:rsidP="00D6099F">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14:paraId="56C1A6C6" w14:textId="0339976C" w:rsidR="006A5DB0" w:rsidRDefault="00E410E0" w:rsidP="009A5027">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Mg. Nombres y Apellidos del Asesor</w:t>
      </w:r>
    </w:p>
    <w:p w14:paraId="5E27D3EB" w14:textId="07C6372A" w:rsidR="009A5027" w:rsidRPr="00176EE3" w:rsidRDefault="009A5027" w:rsidP="009A5027">
      <w:pPr>
        <w:spacing w:before="120" w:after="0"/>
        <w:jc w:val="center"/>
        <w:rPr>
          <w:color w:val="404040" w:themeColor="text1" w:themeTint="BF"/>
          <w:sz w:val="31"/>
          <w:szCs w:val="31"/>
          <w:lang w:val="pt-BR"/>
        </w:rPr>
      </w:pPr>
      <w:r w:rsidRPr="00176EE3">
        <w:rPr>
          <w:color w:val="404040" w:themeColor="text1" w:themeTint="BF"/>
          <w:sz w:val="31"/>
          <w:szCs w:val="31"/>
          <w:lang w:val="pt-BR"/>
        </w:rPr>
        <w:t>Código ORCID</w:t>
      </w:r>
      <w:r w:rsidR="00D6099F" w:rsidRPr="00176EE3">
        <w:rPr>
          <w:color w:val="404040" w:themeColor="text1" w:themeTint="BF"/>
          <w:sz w:val="31"/>
          <w:szCs w:val="31"/>
          <w:lang w:val="pt-BR"/>
        </w:rPr>
        <w:t>:</w:t>
      </w:r>
      <w:r w:rsidRPr="00176EE3">
        <w:rPr>
          <w:color w:val="404040" w:themeColor="text1" w:themeTint="BF"/>
          <w:sz w:val="31"/>
          <w:szCs w:val="31"/>
          <w:lang w:val="pt-BR"/>
        </w:rPr>
        <w:t xml:space="preserve"> </w:t>
      </w:r>
      <w:r w:rsidR="00E410E0" w:rsidRPr="00176EE3">
        <w:rPr>
          <w:color w:val="404040" w:themeColor="text1" w:themeTint="BF"/>
          <w:sz w:val="31"/>
          <w:szCs w:val="31"/>
          <w:lang w:val="pt-BR"/>
        </w:rPr>
        <w:t>número ORCID de 1</w:t>
      </w:r>
      <w:r w:rsidR="00F71721" w:rsidRPr="00176EE3">
        <w:rPr>
          <w:color w:val="404040" w:themeColor="text1" w:themeTint="BF"/>
          <w:sz w:val="31"/>
          <w:szCs w:val="31"/>
          <w:lang w:val="pt-BR"/>
        </w:rPr>
        <w:t>6</w:t>
      </w:r>
      <w:r w:rsidR="00E410E0" w:rsidRPr="00176EE3">
        <w:rPr>
          <w:color w:val="404040" w:themeColor="text1" w:themeTint="BF"/>
          <w:sz w:val="31"/>
          <w:szCs w:val="31"/>
          <w:lang w:val="pt-BR"/>
        </w:rPr>
        <w:t xml:space="preserve"> dígitos</w:t>
      </w:r>
    </w:p>
    <w:p w14:paraId="38F9BDFB" w14:textId="4138AB6A" w:rsidR="006A5DB0" w:rsidRPr="00176EE3" w:rsidRDefault="006A5DB0" w:rsidP="00D21365">
      <w:pPr>
        <w:jc w:val="right"/>
        <w:rPr>
          <w:color w:val="404040" w:themeColor="text1" w:themeTint="BF"/>
          <w:sz w:val="31"/>
          <w:szCs w:val="31"/>
          <w:lang w:val="pt-BR"/>
        </w:rPr>
      </w:pPr>
    </w:p>
    <w:p w14:paraId="5FFA1754" w14:textId="77777777" w:rsidR="009A5027" w:rsidRPr="00176EE3" w:rsidRDefault="009A5027" w:rsidP="00D21365">
      <w:pPr>
        <w:jc w:val="right"/>
        <w:rPr>
          <w:color w:val="404040" w:themeColor="text1" w:themeTint="BF"/>
          <w:sz w:val="31"/>
          <w:szCs w:val="31"/>
          <w:lang w:val="pt-BR"/>
        </w:rPr>
      </w:pPr>
    </w:p>
    <w:p w14:paraId="185DE6DB" w14:textId="1FEC7E8D" w:rsidR="00CA5C49" w:rsidRPr="00176EE3" w:rsidRDefault="00CA5C49" w:rsidP="00D21365">
      <w:pPr>
        <w:jc w:val="right"/>
        <w:rPr>
          <w:color w:val="404040" w:themeColor="text1" w:themeTint="BF"/>
          <w:sz w:val="31"/>
          <w:szCs w:val="31"/>
          <w:lang w:val="pt-BR"/>
        </w:rPr>
      </w:pPr>
    </w:p>
    <w:p w14:paraId="656E2444" w14:textId="77777777" w:rsidR="008B79CE" w:rsidRPr="00176EE3" w:rsidRDefault="008B79CE" w:rsidP="00D21365">
      <w:pPr>
        <w:jc w:val="right"/>
        <w:rPr>
          <w:color w:val="404040" w:themeColor="text1" w:themeTint="BF"/>
          <w:sz w:val="31"/>
          <w:szCs w:val="31"/>
          <w:lang w:val="pt-BR"/>
        </w:rPr>
      </w:pPr>
    </w:p>
    <w:p w14:paraId="4D723432" w14:textId="5956E3BD" w:rsidR="006A5DB0" w:rsidRDefault="006A5DB0" w:rsidP="009A5027">
      <w:pPr>
        <w:jc w:val="center"/>
        <w:rPr>
          <w:color w:val="404040" w:themeColor="text1" w:themeTint="BF"/>
          <w:sz w:val="31"/>
          <w:szCs w:val="31"/>
        </w:rPr>
      </w:pPr>
      <w:r>
        <w:rPr>
          <w:color w:val="404040" w:themeColor="text1" w:themeTint="BF"/>
          <w:sz w:val="31"/>
          <w:szCs w:val="31"/>
        </w:rPr>
        <w:t>Lima – Perú</w:t>
      </w:r>
    </w:p>
    <w:p w14:paraId="314946CB" w14:textId="555A1B62" w:rsidR="00D73BF2" w:rsidRDefault="00E410E0" w:rsidP="002C5E8A">
      <w:pPr>
        <w:jc w:val="center"/>
        <w:rPr>
          <w:color w:val="404040" w:themeColor="text1" w:themeTint="BF"/>
          <w:sz w:val="31"/>
          <w:szCs w:val="31"/>
        </w:rPr>
      </w:pPr>
      <w:r>
        <w:rPr>
          <w:color w:val="404040" w:themeColor="text1" w:themeTint="BF"/>
          <w:sz w:val="31"/>
          <w:szCs w:val="31"/>
        </w:rPr>
        <w:lastRenderedPageBreak/>
        <w:t>Año de elaboración de la RSL</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lang w:val="en-US"/>
        </w:rPr>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7593" id="Rectángulo 3" o:spid="_x0000_s1026"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&#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2ACF8F03" w14:textId="7C78EC44" w:rsidR="00E74F5B" w:rsidRPr="00E74F5B" w:rsidRDefault="00E74F5B" w:rsidP="00A24DFF">
      <w:pPr>
        <w:pStyle w:val="Ttulo1"/>
      </w:pPr>
      <w:bookmarkStart w:id="0" w:name="_Toc132062603"/>
      <w:bookmarkStart w:id="1" w:name="_Toc204239209"/>
      <w:bookmarkStart w:id="2" w:name="_Toc140826824"/>
      <w:r w:rsidRPr="00E74F5B">
        <w:t>I</w:t>
      </w:r>
      <w:bookmarkEnd w:id="0"/>
      <w:r>
        <w:t>nforme de Similitud</w:t>
      </w:r>
      <w:bookmarkEnd w:id="1"/>
      <w:r w:rsidRPr="00E74F5B">
        <w:t xml:space="preserve"> </w:t>
      </w:r>
    </w:p>
    <w:p w14:paraId="3A46D996" w14:textId="12B7EEAB" w:rsidR="00E74F5B" w:rsidRDefault="00E74F5B" w:rsidP="00A24DFF">
      <w:pPr>
        <w:pStyle w:val="Textoindependiente"/>
      </w:pPr>
      <w:r>
        <w:t>Incluir la imagen del reporte de similitud con el porcentaje de similitud alcanzado. Este porcentaje no debe superar el 2</w:t>
      </w:r>
      <w:r w:rsidR="001D90B7">
        <w:t>9</w:t>
      </w:r>
      <w:r>
        <w:t>%, medida tolerada por casos de falsos positivos. El porcentaje esperado, luego de eliminar falsos positivos, es de 0%.</w:t>
      </w:r>
    </w:p>
    <w:p w14:paraId="36ED229F" w14:textId="7639CF9D" w:rsidR="00E74F5B" w:rsidRDefault="00E74F5B" w:rsidP="00A24DFF">
      <w:pPr>
        <w:pStyle w:val="Textoindependiente"/>
        <w:ind w:firstLine="0"/>
      </w:pPr>
    </w:p>
    <w:p w14:paraId="22DE9ED1" w14:textId="0DBFB621" w:rsidR="00A24DFF" w:rsidRDefault="00365DFD" w:rsidP="00A24DFF">
      <w:pPr>
        <w:pStyle w:val="Textoindependiente"/>
        <w:ind w:firstLine="0"/>
      </w:pPr>
      <w:r w:rsidRPr="00D8614E">
        <w:rPr>
          <w:b/>
          <w:noProof/>
          <w:lang w:val="en-US"/>
        </w:rPr>
        <mc:AlternateContent>
          <mc:Choice Requires="wps">
            <w:drawing>
              <wp:anchor distT="45720" distB="45720" distL="114300" distR="114300" simplePos="0" relativeHeight="251662336" behindDoc="0" locked="0" layoutInCell="1" allowOverlap="1" wp14:anchorId="0EBAC903" wp14:editId="459AF63D">
                <wp:simplePos x="0" y="0"/>
                <wp:positionH relativeFrom="column">
                  <wp:posOffset>736600</wp:posOffset>
                </wp:positionH>
                <wp:positionV relativeFrom="paragraph">
                  <wp:posOffset>43180</wp:posOffset>
                </wp:positionV>
                <wp:extent cx="4148455" cy="3962400"/>
                <wp:effectExtent l="0" t="0" r="23495" b="19050"/>
                <wp:wrapSquare wrapText="bothSides"/>
                <wp:docPr id="10458342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3962400"/>
                        </a:xfrm>
                        <a:prstGeom prst="rect">
                          <a:avLst/>
                        </a:prstGeom>
                        <a:solidFill>
                          <a:srgbClr val="FFFF00"/>
                        </a:solidFill>
                        <a:ln w="9525">
                          <a:solidFill>
                            <a:srgbClr val="000000"/>
                          </a:solidFill>
                          <a:miter lim="800000"/>
                          <a:headEnd/>
                          <a:tailEnd/>
                        </a:ln>
                      </wps:spPr>
                      <wps:txb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Times New Roman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AC903" id="_x0000_t202" coordsize="21600,21600" o:spt="202" path="m,l,21600r21600,l21600,xe">
                <v:stroke joinstyle="miter"/>
                <v:path gradientshapeok="t" o:connecttype="rect"/>
              </v:shapetype>
              <v:shape id="Cuadro de texto 3" o:spid="_x0000_s1027" type="#_x0000_t202" style="position:absolute;margin-left:58pt;margin-top:3.4pt;width:326.65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" fillcolor="yellow">
                <v:textbo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Times New Roman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v:textbox>
                <w10:wrap type="square"/>
              </v:shape>
            </w:pict>
          </mc:Fallback>
        </mc:AlternateContent>
      </w:r>
    </w:p>
    <w:p w14:paraId="220E4BA9" w14:textId="19794679" w:rsidR="00A24DFF" w:rsidRDefault="00A24DFF" w:rsidP="00A24DFF">
      <w:pPr>
        <w:pStyle w:val="Textoindependiente"/>
        <w:ind w:firstLine="0"/>
      </w:pPr>
    </w:p>
    <w:p w14:paraId="5C914CA6" w14:textId="0AEE0FCA" w:rsidR="00A24DFF" w:rsidRDefault="00A24DFF" w:rsidP="00A24DFF">
      <w:pPr>
        <w:pStyle w:val="Textoindependiente"/>
        <w:ind w:firstLine="0"/>
      </w:pPr>
    </w:p>
    <w:p w14:paraId="69E06111" w14:textId="5FF8BB37" w:rsidR="00365DFD" w:rsidRDefault="00365DFD" w:rsidP="00A24DFF">
      <w:pPr>
        <w:pStyle w:val="Textoindependiente"/>
        <w:ind w:firstLine="0"/>
      </w:pPr>
    </w:p>
    <w:p w14:paraId="6433185A" w14:textId="173A19B4" w:rsidR="00365DFD" w:rsidRDefault="00365DFD" w:rsidP="00A24DFF">
      <w:pPr>
        <w:pStyle w:val="Textoindependiente"/>
        <w:ind w:firstLine="0"/>
      </w:pPr>
    </w:p>
    <w:p w14:paraId="2AF8BC2C" w14:textId="2357BD27" w:rsidR="00365DFD" w:rsidRDefault="00365DFD" w:rsidP="00A24DFF">
      <w:pPr>
        <w:pStyle w:val="Textoindependiente"/>
        <w:ind w:firstLine="0"/>
      </w:pPr>
    </w:p>
    <w:p w14:paraId="78003A7C" w14:textId="3BD0A587" w:rsidR="00365DFD" w:rsidRDefault="00365DFD" w:rsidP="00A24DFF">
      <w:pPr>
        <w:pStyle w:val="Textoindependiente"/>
        <w:ind w:firstLine="0"/>
      </w:pPr>
    </w:p>
    <w:p w14:paraId="4E6AF6E5" w14:textId="77777777" w:rsidR="00365DFD" w:rsidRDefault="00365DFD" w:rsidP="00A24DFF">
      <w:pPr>
        <w:pStyle w:val="Textoindependiente"/>
        <w:ind w:firstLine="0"/>
      </w:pPr>
    </w:p>
    <w:p w14:paraId="75975CD8" w14:textId="4AD1C02E" w:rsidR="00E74F5B" w:rsidRDefault="00E74F5B" w:rsidP="00A24DFF">
      <w:pPr>
        <w:pStyle w:val="Textoindependiente"/>
        <w:ind w:firstLine="0"/>
      </w:pPr>
    </w:p>
    <w:p w14:paraId="6BC68C56" w14:textId="460CE962" w:rsidR="00E74F5B" w:rsidRDefault="00E74F5B">
      <w:pPr>
        <w:spacing w:after="160" w:line="259" w:lineRule="auto"/>
        <w:jc w:val="left"/>
        <w:rPr>
          <w:rFonts w:ascii="Times New Roman" w:eastAsia="Times New Roman" w:hAnsi="Times New Roman" w:cs="Times New Roman"/>
          <w:sz w:val="24"/>
          <w:szCs w:val="24"/>
          <w:lang w:val="es-ES"/>
        </w:rPr>
      </w:pPr>
      <w:r>
        <w:br w:type="page"/>
      </w:r>
    </w:p>
    <w:p w14:paraId="4989945E" w14:textId="407D31F6" w:rsidR="00075270" w:rsidRDefault="00075270" w:rsidP="00075270">
      <w:pPr>
        <w:spacing w:after="160" w:line="259" w:lineRule="auto"/>
        <w:jc w:val="left"/>
        <w:rPr>
          <w:rFonts w:ascii="Times New Roman" w:eastAsia="Times New Roman" w:hAnsi="Times New Roman" w:cs="Times New Roman"/>
          <w:sz w:val="24"/>
          <w:szCs w:val="24"/>
          <w:lang w:val="es-ES"/>
        </w:rPr>
      </w:pPr>
      <w:bookmarkStart w:id="3" w:name="_bookmark1"/>
      <w:bookmarkEnd w:id="2"/>
      <w:bookmarkEnd w:id="3"/>
    </w:p>
    <w:p w14:paraId="0E12CA93" w14:textId="77777777" w:rsidR="00176EE3" w:rsidRPr="00176EE3" w:rsidRDefault="006A0CFC" w:rsidP="00176EE3">
      <w:pPr>
        <w:pStyle w:val="TDC1"/>
        <w:tabs>
          <w:tab w:val="right" w:leader="dot" w:pos="9020"/>
        </w:tabs>
        <w:jc w:val="center"/>
        <w:rPr>
          <w:rFonts w:eastAsia="Times New Roman" w:cs="Times New Roman"/>
          <w:b/>
          <w:caps w:val="0"/>
          <w:sz w:val="28"/>
          <w:szCs w:val="24"/>
          <w:lang w:val="es-ES"/>
        </w:rPr>
      </w:pPr>
      <w:bookmarkStart w:id="4" w:name="_Toc204239210"/>
      <w:r w:rsidRPr="00176EE3">
        <w:rPr>
          <w:rFonts w:eastAsia="Times New Roman" w:cs="Times New Roman"/>
          <w:b/>
          <w:caps w:val="0"/>
          <w:sz w:val="28"/>
          <w:szCs w:val="24"/>
          <w:lang w:val="es-ES"/>
        </w:rPr>
        <w:t>Índice de Contenido</w:t>
      </w:r>
      <w:bookmarkEnd w:id="4"/>
    </w:p>
    <w:p w14:paraId="15B62470" w14:textId="16852CC2" w:rsidR="00176EE3" w:rsidRPr="00176EE3" w:rsidRDefault="00C873A9" w:rsidP="00176EE3">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14:paraId="07A097BC" w14:textId="665CF3DE" w:rsidR="00176EE3" w:rsidRPr="00176EE3" w:rsidRDefault="00176EE3" w:rsidP="00176EE3">
      <w:pPr>
        <w:pStyle w:val="TDC1"/>
        <w:tabs>
          <w:tab w:val="right" w:leader="dot" w:pos="9020"/>
        </w:tabs>
        <w:spacing w:line="360" w:lineRule="auto"/>
        <w:rPr>
          <w:rStyle w:val="Hipervnculo"/>
          <w:noProof/>
        </w:rPr>
      </w:pPr>
      <w:hyperlink w:anchor="_Toc204239209" w:history="1">
        <w:r w:rsidRPr="00770F81">
          <w:rPr>
            <w:rStyle w:val="Hipervnculo"/>
            <w:caps w:val="0"/>
            <w:noProof/>
          </w:rPr>
          <w:t xml:space="preserve">Informe </w:t>
        </w:r>
        <w:r w:rsidR="008041F4">
          <w:rPr>
            <w:rStyle w:val="Hipervnculo"/>
            <w:caps w:val="0"/>
            <w:noProof/>
          </w:rPr>
          <w:t>d</w:t>
        </w:r>
        <w:r w:rsidRPr="00770F81">
          <w:rPr>
            <w:rStyle w:val="Hipervnculo"/>
            <w:caps w:val="0"/>
            <w:noProof/>
          </w:rPr>
          <w:t>e Similitud</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_Toc204239209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2</w:t>
        </w:r>
        <w:r w:rsidRPr="00176EE3">
          <w:rPr>
            <w:rStyle w:val="Hipervnculo"/>
            <w:caps w:val="0"/>
            <w:noProof/>
            <w:webHidden/>
          </w:rPr>
          <w:fldChar w:fldCharType="end"/>
        </w:r>
      </w:hyperlink>
    </w:p>
    <w:p w14:paraId="36E9BFDE" w14:textId="7B48330D" w:rsidR="00176EE3" w:rsidRPr="00176EE3" w:rsidRDefault="00176EE3" w:rsidP="00176EE3">
      <w:pPr>
        <w:pStyle w:val="TDC1"/>
        <w:tabs>
          <w:tab w:val="right" w:leader="dot" w:pos="9020"/>
        </w:tabs>
        <w:spacing w:line="360" w:lineRule="auto"/>
        <w:rPr>
          <w:rStyle w:val="Hipervnculo"/>
          <w:noProof/>
        </w:rPr>
      </w:pPr>
      <w:hyperlink w:anchor="_Toc204239210" w:history="1">
        <w:r w:rsidRPr="00770F81">
          <w:rPr>
            <w:rStyle w:val="Hipervnculo"/>
            <w:caps w:val="0"/>
            <w:noProof/>
          </w:rPr>
          <w:t xml:space="preserve">Índice </w:t>
        </w:r>
        <w:r w:rsidR="008041F4">
          <w:rPr>
            <w:rStyle w:val="Hipervnculo"/>
            <w:caps w:val="0"/>
            <w:noProof/>
          </w:rPr>
          <w:t>d</w:t>
        </w:r>
        <w:r w:rsidRPr="00770F81">
          <w:rPr>
            <w:rStyle w:val="Hipervnculo"/>
            <w:caps w:val="0"/>
            <w:noProof/>
          </w:rPr>
          <w:t>e Contenido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3</w:t>
        </w:r>
        <w:r w:rsidRPr="00176EE3">
          <w:rPr>
            <w:rStyle w:val="Hipervnculo"/>
            <w:caps w:val="0"/>
            <w:noProof/>
            <w:webHidden/>
          </w:rPr>
          <w:fldChar w:fldCharType="end"/>
        </w:r>
      </w:hyperlink>
    </w:p>
    <w:p w14:paraId="407286CF" w14:textId="56B0DAD2" w:rsidR="00176EE3" w:rsidRPr="00176EE3" w:rsidRDefault="00176EE3" w:rsidP="00176EE3">
      <w:pPr>
        <w:pStyle w:val="TDC1"/>
        <w:tabs>
          <w:tab w:val="right" w:leader="dot" w:pos="9020"/>
        </w:tabs>
        <w:spacing w:line="360" w:lineRule="auto"/>
        <w:rPr>
          <w:rStyle w:val="Hipervnculo"/>
          <w:noProof/>
        </w:rPr>
      </w:pPr>
      <w:hyperlink w:anchor="_Toc204239211" w:history="1">
        <w:r w:rsidRPr="00176EE3">
          <w:rPr>
            <w:rStyle w:val="Hipervnculo"/>
            <w:caps w:val="0"/>
            <w:noProof/>
          </w:rPr>
          <w:t xml:space="preserve">Índice </w:t>
        </w:r>
        <w:r w:rsidR="008041F4">
          <w:rPr>
            <w:rStyle w:val="Hipervnculo"/>
            <w:caps w:val="0"/>
            <w:noProof/>
          </w:rPr>
          <w:t>d</w:t>
        </w:r>
        <w:r w:rsidRPr="00176EE3">
          <w:rPr>
            <w:rStyle w:val="Hipervnculo"/>
            <w:caps w:val="0"/>
            <w:noProof/>
          </w:rPr>
          <w:t>e Tablas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_Toc204239211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4</w:t>
        </w:r>
        <w:r w:rsidRPr="00176EE3">
          <w:rPr>
            <w:rStyle w:val="Hipervnculo"/>
            <w:caps w:val="0"/>
            <w:noProof/>
            <w:webHidden/>
          </w:rPr>
          <w:fldChar w:fldCharType="end"/>
        </w:r>
      </w:hyperlink>
    </w:p>
    <w:p w14:paraId="1C1FDF42" w14:textId="6B7101B6" w:rsidR="00176EE3" w:rsidRPr="00176EE3" w:rsidRDefault="00176EE3" w:rsidP="00176EE3">
      <w:pPr>
        <w:pStyle w:val="TDC1"/>
        <w:tabs>
          <w:tab w:val="right" w:leader="dot" w:pos="9020"/>
        </w:tabs>
        <w:spacing w:line="360" w:lineRule="auto"/>
        <w:rPr>
          <w:rStyle w:val="Hipervnculo"/>
          <w:noProof/>
        </w:rPr>
      </w:pPr>
      <w:hyperlink w:anchor="_Toc204239213" w:history="1">
        <w:r w:rsidRPr="00176EE3">
          <w:rPr>
            <w:rStyle w:val="Hipervnculo"/>
            <w:caps w:val="0"/>
            <w:noProof/>
          </w:rPr>
          <w:t>Resumen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_Toc204239213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5</w:t>
        </w:r>
        <w:r w:rsidRPr="00176EE3">
          <w:rPr>
            <w:rStyle w:val="Hipervnculo"/>
            <w:caps w:val="0"/>
            <w:noProof/>
            <w:webHidden/>
          </w:rPr>
          <w:fldChar w:fldCharType="end"/>
        </w:r>
      </w:hyperlink>
    </w:p>
    <w:p w14:paraId="0DC4A971" w14:textId="77458432" w:rsidR="00176EE3" w:rsidRPr="00176EE3" w:rsidRDefault="00176EE3" w:rsidP="00176EE3">
      <w:pPr>
        <w:pStyle w:val="TDC1"/>
        <w:tabs>
          <w:tab w:val="right" w:leader="dot" w:pos="9020"/>
        </w:tabs>
        <w:spacing w:line="360" w:lineRule="auto"/>
        <w:rPr>
          <w:rStyle w:val="Hipervnculo"/>
          <w:noProof/>
        </w:rPr>
      </w:pPr>
      <w:hyperlink w:anchor="_Toc204239214" w:history="1">
        <w:r w:rsidRPr="00176EE3">
          <w:rPr>
            <w:rStyle w:val="Hipervnculo"/>
            <w:caps w:val="0"/>
            <w:noProof/>
          </w:rPr>
          <w:t>Abstract</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_Toc204239214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6</w:t>
        </w:r>
        <w:r w:rsidRPr="00176EE3">
          <w:rPr>
            <w:rStyle w:val="Hipervnculo"/>
            <w:caps w:val="0"/>
            <w:noProof/>
            <w:webHidden/>
          </w:rPr>
          <w:fldChar w:fldCharType="end"/>
        </w:r>
      </w:hyperlink>
    </w:p>
    <w:p w14:paraId="4CA50BF2" w14:textId="6CF39861" w:rsidR="00176EE3" w:rsidRPr="00176EE3" w:rsidRDefault="00176EE3" w:rsidP="00176EE3">
      <w:pPr>
        <w:pStyle w:val="TDC1"/>
        <w:tabs>
          <w:tab w:val="right" w:leader="dot" w:pos="9020"/>
        </w:tabs>
        <w:spacing w:line="360" w:lineRule="auto"/>
        <w:rPr>
          <w:rStyle w:val="Hipervnculo"/>
          <w:noProof/>
        </w:rPr>
      </w:pPr>
      <w:hyperlink w:anchor="_Toc204239215" w:history="1">
        <w:r w:rsidRPr="00176EE3">
          <w:rPr>
            <w:rStyle w:val="Hipervnculo"/>
            <w:caps w:val="0"/>
            <w:noProof/>
          </w:rPr>
          <w:t xml:space="preserve">Capítulo </w:t>
        </w:r>
        <w:r w:rsidRPr="00770F81">
          <w:rPr>
            <w:rStyle w:val="Hipervnculo"/>
            <w:caps w:val="0"/>
            <w:noProof/>
          </w:rPr>
          <w:t xml:space="preserve">1. </w:t>
        </w:r>
        <w:r w:rsidRPr="00176EE3">
          <w:rPr>
            <w:rStyle w:val="Hipervnculo"/>
            <w:caps w:val="0"/>
            <w:noProof/>
          </w:rPr>
          <w:t>Introducción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_Toc204239215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7</w:t>
        </w:r>
        <w:r w:rsidRPr="00176EE3">
          <w:rPr>
            <w:rStyle w:val="Hipervnculo"/>
            <w:caps w:val="0"/>
            <w:noProof/>
            <w:webHidden/>
          </w:rPr>
          <w:fldChar w:fldCharType="end"/>
        </w:r>
      </w:hyperlink>
    </w:p>
    <w:p w14:paraId="72C83015" w14:textId="50A7AF25" w:rsidR="00176EE3" w:rsidRPr="00176EE3" w:rsidRDefault="00176EE3" w:rsidP="00176EE3">
      <w:pPr>
        <w:pStyle w:val="TDC1"/>
        <w:tabs>
          <w:tab w:val="right" w:leader="dot" w:pos="9020"/>
        </w:tabs>
        <w:spacing w:line="360" w:lineRule="auto"/>
        <w:rPr>
          <w:rStyle w:val="Hipervnculo"/>
          <w:noProof/>
        </w:rPr>
      </w:pPr>
      <w:hyperlink w:anchor="_Toc204239216" w:history="1">
        <w:r w:rsidRPr="00176EE3">
          <w:rPr>
            <w:rStyle w:val="Hipervnculo"/>
            <w:caps w:val="0"/>
            <w:noProof/>
          </w:rPr>
          <w:t xml:space="preserve">Capítulo </w:t>
        </w:r>
        <w:r w:rsidRPr="00770F81">
          <w:rPr>
            <w:rStyle w:val="Hipervnculo"/>
            <w:caps w:val="0"/>
            <w:noProof/>
          </w:rPr>
          <w:t xml:space="preserve">2. </w:t>
        </w:r>
        <w:r w:rsidRPr="00176EE3">
          <w:rPr>
            <w:rStyle w:val="Hipervnculo"/>
            <w:caps w:val="0"/>
            <w:noProof/>
          </w:rPr>
          <w:t>Método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_Toc204239216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8</w:t>
        </w:r>
        <w:r w:rsidRPr="00176EE3">
          <w:rPr>
            <w:rStyle w:val="Hipervnculo"/>
            <w:caps w:val="0"/>
            <w:noProof/>
            <w:webHidden/>
          </w:rPr>
          <w:fldChar w:fldCharType="end"/>
        </w:r>
      </w:hyperlink>
    </w:p>
    <w:p w14:paraId="04E9886C" w14:textId="5E3AC155" w:rsidR="00176EE3" w:rsidRPr="00176EE3" w:rsidRDefault="00176EE3" w:rsidP="00176EE3">
      <w:pPr>
        <w:pStyle w:val="TDC1"/>
        <w:tabs>
          <w:tab w:val="right" w:leader="dot" w:pos="9020"/>
        </w:tabs>
        <w:spacing w:line="360" w:lineRule="auto"/>
        <w:rPr>
          <w:rStyle w:val="Hipervnculo"/>
          <w:noProof/>
        </w:rPr>
      </w:pPr>
      <w:hyperlink w:anchor="_Toc204239217" w:history="1">
        <w:r w:rsidRPr="00176EE3">
          <w:rPr>
            <w:rStyle w:val="Hipervnculo"/>
            <w:caps w:val="0"/>
            <w:noProof/>
          </w:rPr>
          <w:t xml:space="preserve">Capítulo </w:t>
        </w:r>
        <w:r w:rsidRPr="00770F81">
          <w:rPr>
            <w:rStyle w:val="Hipervnculo"/>
            <w:caps w:val="0"/>
            <w:noProof/>
          </w:rPr>
          <w:t xml:space="preserve">3. </w:t>
        </w:r>
        <w:r w:rsidRPr="00176EE3">
          <w:rPr>
            <w:rStyle w:val="Hipervnculo"/>
            <w:caps w:val="0"/>
            <w:noProof/>
          </w:rPr>
          <w:t>Resultados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_Toc204239217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10</w:t>
        </w:r>
        <w:r w:rsidRPr="00176EE3">
          <w:rPr>
            <w:rStyle w:val="Hipervnculo"/>
            <w:caps w:val="0"/>
            <w:noProof/>
            <w:webHidden/>
          </w:rPr>
          <w:fldChar w:fldCharType="end"/>
        </w:r>
      </w:hyperlink>
    </w:p>
    <w:p w14:paraId="0E235534" w14:textId="1EF12201" w:rsidR="00176EE3" w:rsidRPr="00176EE3" w:rsidRDefault="00176EE3" w:rsidP="00176EE3">
      <w:pPr>
        <w:pStyle w:val="TDC1"/>
        <w:tabs>
          <w:tab w:val="right" w:leader="dot" w:pos="9020"/>
        </w:tabs>
        <w:spacing w:line="360" w:lineRule="auto"/>
        <w:rPr>
          <w:rStyle w:val="Hipervnculo"/>
          <w:noProof/>
        </w:rPr>
      </w:pPr>
      <w:hyperlink w:anchor="_Toc204239218" w:history="1">
        <w:r w:rsidRPr="00176EE3">
          <w:rPr>
            <w:rStyle w:val="Hipervnculo"/>
            <w:caps w:val="0"/>
            <w:noProof/>
          </w:rPr>
          <w:t xml:space="preserve">Capítulo </w:t>
        </w:r>
        <w:r w:rsidRPr="00770F81">
          <w:rPr>
            <w:rStyle w:val="Hipervnculo"/>
            <w:caps w:val="0"/>
            <w:noProof/>
          </w:rPr>
          <w:t xml:space="preserve">4. </w:t>
        </w:r>
        <w:r w:rsidRPr="00176EE3">
          <w:rPr>
            <w:rStyle w:val="Hipervnculo"/>
            <w:caps w:val="0"/>
            <w:noProof/>
          </w:rPr>
          <w:t>Discusión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_Toc204239218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12</w:t>
        </w:r>
        <w:r w:rsidRPr="00176EE3">
          <w:rPr>
            <w:rStyle w:val="Hipervnculo"/>
            <w:caps w:val="0"/>
            <w:noProof/>
            <w:webHidden/>
          </w:rPr>
          <w:fldChar w:fldCharType="end"/>
        </w:r>
      </w:hyperlink>
    </w:p>
    <w:p w14:paraId="7C8867AE" w14:textId="09640F49" w:rsidR="00176EE3" w:rsidRPr="00176EE3" w:rsidRDefault="00176EE3" w:rsidP="00176EE3">
      <w:pPr>
        <w:pStyle w:val="TDC1"/>
        <w:tabs>
          <w:tab w:val="right" w:leader="dot" w:pos="9020"/>
        </w:tabs>
        <w:spacing w:line="360" w:lineRule="auto"/>
        <w:rPr>
          <w:rStyle w:val="Hipervnculo"/>
          <w:noProof/>
        </w:rPr>
      </w:pPr>
      <w:hyperlink w:anchor="_Toc204239219" w:history="1">
        <w:r w:rsidRPr="00176EE3">
          <w:rPr>
            <w:rStyle w:val="Hipervnculo"/>
            <w:caps w:val="0"/>
            <w:noProof/>
          </w:rPr>
          <w:t>Referencias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13</w:t>
        </w:r>
        <w:r w:rsidRPr="00176EE3">
          <w:rPr>
            <w:rStyle w:val="Hipervnculo"/>
            <w:caps w:val="0"/>
            <w:noProof/>
            <w:webHidden/>
          </w:rPr>
          <w:fldChar w:fldCharType="end"/>
        </w:r>
      </w:hyperlink>
    </w:p>
    <w:p w14:paraId="17FE7C78" w14:textId="65925B50" w:rsidR="00176EE3" w:rsidRDefault="00176EE3" w:rsidP="00176EE3">
      <w:pPr>
        <w:pStyle w:val="TDC1"/>
        <w:tabs>
          <w:tab w:val="right" w:leader="dot" w:pos="9020"/>
        </w:tabs>
        <w:spacing w:line="360" w:lineRule="auto"/>
        <w:rPr>
          <w:rFonts w:asciiTheme="minorHAnsi" w:eastAsiaTheme="minorEastAsia" w:hAnsiTheme="minorHAnsi" w:cstheme="minorBidi"/>
          <w:bCs w:val="0"/>
          <w:caps w:val="0"/>
          <w:noProof/>
          <w:sz w:val="22"/>
          <w:szCs w:val="22"/>
          <w:lang w:val="en-US"/>
        </w:rPr>
      </w:pPr>
      <w:hyperlink w:anchor="_Toc204239220" w:history="1">
        <w:r w:rsidRPr="00176EE3">
          <w:rPr>
            <w:rStyle w:val="Hipervnculo"/>
            <w:caps w:val="0"/>
            <w:noProof/>
          </w:rPr>
          <w:t>Anexos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_Toc204239220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14</w:t>
        </w:r>
        <w:r w:rsidRPr="00176EE3">
          <w:rPr>
            <w:rStyle w:val="Hipervnculo"/>
            <w:caps w:val="0"/>
            <w:noProof/>
            <w:webHidden/>
          </w:rPr>
          <w:fldChar w:fldCharType="end"/>
        </w:r>
      </w:hyperlink>
    </w:p>
    <w:p w14:paraId="00444511" w14:textId="24326B07" w:rsidR="00075270" w:rsidRDefault="00C873A9" w:rsidP="00176EE3">
      <w:pPr>
        <w:pStyle w:val="Textoindependiente"/>
        <w:spacing w:line="360" w:lineRule="auto"/>
        <w:rPr>
          <w:b/>
        </w:rPr>
      </w:pPr>
      <w:r>
        <w:rPr>
          <w:b/>
        </w:rPr>
        <w:fldChar w:fldCharType="end"/>
      </w:r>
    </w:p>
    <w:p w14:paraId="1B8868C5" w14:textId="77777777" w:rsidR="00467699" w:rsidRPr="00301EE2" w:rsidRDefault="00467699" w:rsidP="006A5DB0">
      <w:pPr>
        <w:pStyle w:val="Textoindependiente"/>
        <w:rPr>
          <w:b/>
        </w:rPr>
      </w:pPr>
    </w:p>
    <w:p w14:paraId="3E0DC18D"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CA6EDBB" w14:textId="7F5D1965" w:rsidR="006A5DB0" w:rsidRDefault="006A5DB0" w:rsidP="00A24DFF">
      <w:pPr>
        <w:pStyle w:val="Ttulo1"/>
      </w:pPr>
      <w:bookmarkStart w:id="5" w:name="_bookmark2"/>
      <w:bookmarkStart w:id="6" w:name="_Toc204239211"/>
      <w:bookmarkEnd w:id="5"/>
      <w:r w:rsidRPr="00A24DFF">
        <w:lastRenderedPageBreak/>
        <w:t>Í</w:t>
      </w:r>
      <w:r w:rsidR="00D37C1A" w:rsidRPr="00A24DFF">
        <w:t>ndice de Tablas</w:t>
      </w:r>
      <w:bookmarkEnd w:id="6"/>
    </w:p>
    <w:p w14:paraId="31A43DE4" w14:textId="29233832" w:rsidR="008041F4" w:rsidRDefault="008041F4" w:rsidP="00A24DFF">
      <w:pPr>
        <w:pStyle w:val="Ttulo1"/>
      </w:pPr>
    </w:p>
    <w:p w14:paraId="0AFB17F2" w14:textId="30263A27" w:rsidR="00921F24" w:rsidRDefault="008041F4" w:rsidP="008041F4">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proofErr w:type="gramStart"/>
      <w:r>
        <w:rPr>
          <w:b w:val="0"/>
          <w:sz w:val="24"/>
        </w:rPr>
        <w:t>…….</w:t>
      </w:r>
      <w:proofErr w:type="gramEnd"/>
      <w:r w:rsidRPr="008041F4">
        <w:rPr>
          <w:b w:val="0"/>
          <w:sz w:val="24"/>
        </w:rPr>
        <w:t>………………</w:t>
      </w:r>
      <w:proofErr w:type="gramStart"/>
      <w:r w:rsidRPr="008041F4">
        <w:rPr>
          <w:b w:val="0"/>
          <w:sz w:val="24"/>
        </w:rPr>
        <w:t>…….</w:t>
      </w:r>
      <w:proofErr w:type="spellStart"/>
      <w:proofErr w:type="gramEnd"/>
      <w:r>
        <w:rPr>
          <w:b w:val="0"/>
          <w:sz w:val="24"/>
        </w:rPr>
        <w:t>yy</w:t>
      </w:r>
      <w:proofErr w:type="spellEnd"/>
    </w:p>
    <w:p w14:paraId="3F129176" w14:textId="28A5A3CE" w:rsidR="008041F4" w:rsidRPr="008041F4" w:rsidRDefault="008041F4" w:rsidP="008041F4">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gramStart"/>
      <w:r>
        <w:rPr>
          <w:b w:val="0"/>
          <w:sz w:val="24"/>
        </w:rPr>
        <w:t>…….</w:t>
      </w:r>
      <w:proofErr w:type="gramEnd"/>
      <w:r>
        <w:rPr>
          <w:b w:val="0"/>
          <w:sz w:val="24"/>
        </w:rPr>
        <w:t>.</w:t>
      </w:r>
      <w:proofErr w:type="spellStart"/>
      <w:r>
        <w:rPr>
          <w:b w:val="0"/>
          <w:sz w:val="24"/>
        </w:rPr>
        <w:t>yy</w:t>
      </w:r>
      <w:proofErr w:type="spellEnd"/>
    </w:p>
    <w:p w14:paraId="5DD25FCD" w14:textId="583A3B2F" w:rsidR="00921F24" w:rsidRDefault="00921F24" w:rsidP="00E410E0">
      <w:pPr>
        <w:pStyle w:val="Textoindependiente"/>
      </w:pPr>
    </w:p>
    <w:p w14:paraId="6AB220D9" w14:textId="77777777" w:rsidR="00921F24" w:rsidRDefault="00921F24" w:rsidP="00E410E0">
      <w:pPr>
        <w:pStyle w:val="Textoindependiente"/>
      </w:pPr>
    </w:p>
    <w:p w14:paraId="4EA31BD1" w14:textId="77777777" w:rsidR="00921F24" w:rsidRDefault="00921F24" w:rsidP="00E410E0">
      <w:pPr>
        <w:pStyle w:val="Textoindependiente"/>
      </w:pPr>
    </w:p>
    <w:p w14:paraId="626F0BD9" w14:textId="77777777" w:rsidR="00921F24" w:rsidRDefault="00921F24" w:rsidP="00E410E0">
      <w:pPr>
        <w:pStyle w:val="Textoindependiente"/>
      </w:pPr>
    </w:p>
    <w:p w14:paraId="59266563" w14:textId="77777777" w:rsidR="00921F24" w:rsidRDefault="00921F24" w:rsidP="00E410E0">
      <w:pPr>
        <w:pStyle w:val="Textoindependiente"/>
      </w:pPr>
    </w:p>
    <w:p w14:paraId="310C73D6" w14:textId="77777777" w:rsidR="00921F24" w:rsidRDefault="00921F24" w:rsidP="00E410E0">
      <w:pPr>
        <w:pStyle w:val="Textoindependiente"/>
      </w:pPr>
    </w:p>
    <w:p w14:paraId="45C4AFA9" w14:textId="77777777" w:rsidR="00921F24" w:rsidRDefault="00921F24" w:rsidP="00E410E0">
      <w:pPr>
        <w:pStyle w:val="Textoindependiente"/>
      </w:pPr>
    </w:p>
    <w:p w14:paraId="2593B4D9" w14:textId="77777777" w:rsidR="00921F24" w:rsidRDefault="00921F24" w:rsidP="00E410E0">
      <w:pPr>
        <w:pStyle w:val="Textoindependiente"/>
      </w:pPr>
    </w:p>
    <w:p w14:paraId="2E8DA321" w14:textId="77777777" w:rsidR="00921F24" w:rsidRDefault="00921F24" w:rsidP="00E410E0">
      <w:pPr>
        <w:pStyle w:val="Textoindependiente"/>
      </w:pPr>
    </w:p>
    <w:p w14:paraId="164C8399" w14:textId="77777777" w:rsidR="00F66E22" w:rsidRDefault="00F66E22" w:rsidP="00E410E0">
      <w:pPr>
        <w:pStyle w:val="Textoindependiente"/>
      </w:pPr>
    </w:p>
    <w:p w14:paraId="106142C7" w14:textId="77777777" w:rsidR="00F66E22" w:rsidRDefault="00F66E22" w:rsidP="00E410E0">
      <w:pPr>
        <w:pStyle w:val="Textoindependiente"/>
      </w:pPr>
    </w:p>
    <w:p w14:paraId="7E4B76A0" w14:textId="77777777" w:rsidR="00F66E22" w:rsidRDefault="00F66E22" w:rsidP="00E410E0">
      <w:pPr>
        <w:pStyle w:val="Textoindependiente"/>
      </w:pPr>
    </w:p>
    <w:p w14:paraId="3012CA04" w14:textId="77777777" w:rsidR="00F66E22" w:rsidRDefault="00F66E22" w:rsidP="00E410E0">
      <w:pPr>
        <w:pStyle w:val="Textoindependiente"/>
      </w:pPr>
    </w:p>
    <w:p w14:paraId="5BDCD8E3" w14:textId="1F812592" w:rsidR="00E410E0" w:rsidRDefault="00E410E0">
      <w:pPr>
        <w:spacing w:after="160" w:line="259" w:lineRule="auto"/>
        <w:jc w:val="left"/>
        <w:rPr>
          <w:rFonts w:ascii="Times New Roman" w:eastAsia="Times New Roman" w:hAnsi="Times New Roman" w:cs="Times New Roman"/>
          <w:sz w:val="24"/>
          <w:szCs w:val="24"/>
          <w:lang w:val="es-ES"/>
        </w:rPr>
      </w:pPr>
      <w:r>
        <w:br w:type="page"/>
      </w:r>
    </w:p>
    <w:p w14:paraId="07D1BEF8" w14:textId="2388B7D4" w:rsidR="006A5DB0" w:rsidRPr="00A24DFF" w:rsidRDefault="006A5DB0" w:rsidP="00A24DFF">
      <w:pPr>
        <w:pStyle w:val="Ttulo1"/>
      </w:pPr>
      <w:bookmarkStart w:id="7" w:name="_bookmark3"/>
      <w:bookmarkStart w:id="8" w:name="_Toc204239213"/>
      <w:bookmarkEnd w:id="7"/>
      <w:r w:rsidRPr="00A24DFF">
        <w:lastRenderedPageBreak/>
        <w:t>R</w:t>
      </w:r>
      <w:r w:rsidR="00E410E0" w:rsidRPr="00A24DFF">
        <w:t>esumen</w:t>
      </w:r>
      <w:bookmarkEnd w:id="8"/>
    </w:p>
    <w:p w14:paraId="4D88922C" w14:textId="35A844DF" w:rsidR="00133781" w:rsidRPr="00CA5C49" w:rsidRDefault="0079308B" w:rsidP="00133781">
      <w:pPr>
        <w:pStyle w:val="Textoindependiente"/>
        <w:ind w:right="-42"/>
      </w:pPr>
      <w:bookmarkStart w:id="9" w:name="_Hlk134946437"/>
      <w:r>
        <w:t xml:space="preserve">Básicamente, </w:t>
      </w:r>
      <w:r w:rsidR="00E76408" w:rsidRPr="00E76408">
        <w:t xml:space="preserve">incluyen la introducción, método, resultados y conclusión. </w:t>
      </w:r>
      <w:bookmarkEnd w:id="9"/>
      <w:r w:rsidR="00133781" w:rsidRPr="008C5D48">
        <w:rPr>
          <w:color w:val="000000" w:themeColor="text1"/>
        </w:rPr>
        <w:t xml:space="preserve">Considerar </w:t>
      </w:r>
      <w:r w:rsidR="00133781" w:rsidRPr="008C5D48">
        <w:rPr>
          <w:color w:val="000000" w:themeColor="text1"/>
          <w:lang w:val="es-PE"/>
        </w:rPr>
        <w:t>un mínimo de 150 y un máximo de 200 palabras.</w:t>
      </w:r>
    </w:p>
    <w:p w14:paraId="30FAAC80" w14:textId="7429E7F1" w:rsidR="00A049CD" w:rsidRDefault="00A049CD" w:rsidP="00A049CD">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Pr="00CA5C49">
        <w:rPr>
          <w:rFonts w:ascii="Times New Roman" w:hAnsi="Times New Roman" w:cs="Times New Roman"/>
          <w:sz w:val="24"/>
          <w:szCs w:val="24"/>
        </w:rPr>
        <w:t xml:space="preserve">Señalar 3 a 5 palabras, cuya búsqueda en tesauros y diccionarios especializados identifiquen los principales temas abordados en la </w:t>
      </w:r>
      <w:r>
        <w:rPr>
          <w:rFonts w:ascii="Times New Roman" w:hAnsi="Times New Roman" w:cs="Times New Roman"/>
          <w:sz w:val="24"/>
          <w:szCs w:val="24"/>
        </w:rPr>
        <w:t>investigación</w:t>
      </w:r>
      <w:r w:rsidRPr="00CA5C49">
        <w:rPr>
          <w:rFonts w:ascii="Times New Roman" w:hAnsi="Times New Roman" w:cs="Times New Roman"/>
          <w:b/>
          <w:sz w:val="24"/>
          <w:szCs w:val="24"/>
        </w:rPr>
        <w:t xml:space="preserve">. </w:t>
      </w:r>
      <w:r w:rsidRPr="00CA5C49">
        <w:rPr>
          <w:rFonts w:ascii="Times New Roman" w:hAnsi="Times New Roman" w:cs="Times New Roman"/>
          <w:sz w:val="24"/>
          <w:szCs w:val="24"/>
        </w:rPr>
        <w:t>Separar las palabras clave con</w:t>
      </w:r>
      <w:r>
        <w:rPr>
          <w:rFonts w:ascii="Times New Roman" w:hAnsi="Times New Roman" w:cs="Times New Roman"/>
          <w:sz w:val="24"/>
          <w:szCs w:val="24"/>
        </w:rPr>
        <w:t xml:space="preserve"> comas</w:t>
      </w:r>
      <w:r w:rsidRPr="00CA5C49">
        <w:rPr>
          <w:rFonts w:ascii="Times New Roman" w:hAnsi="Times New Roman" w:cs="Times New Roman"/>
          <w:sz w:val="24"/>
          <w:szCs w:val="24"/>
        </w:rPr>
        <w:t xml:space="preserve"> (,)</w:t>
      </w:r>
    </w:p>
    <w:p w14:paraId="06B40CBA" w14:textId="1067CA1F" w:rsidR="00075270" w:rsidRDefault="00075270" w:rsidP="00A049CD">
      <w:pPr>
        <w:spacing w:before="240" w:after="240" w:line="480" w:lineRule="auto"/>
        <w:ind w:firstLine="720"/>
        <w:jc w:val="left"/>
        <w:rPr>
          <w:rFonts w:ascii="Times New Roman" w:hAnsi="Times New Roman" w:cs="Times New Roman"/>
          <w:sz w:val="24"/>
          <w:szCs w:val="24"/>
        </w:rPr>
      </w:pPr>
    </w:p>
    <w:p w14:paraId="78C1B1D1" w14:textId="39CFA5B9" w:rsidR="00075270" w:rsidRDefault="00075270" w:rsidP="00A049CD">
      <w:pPr>
        <w:spacing w:before="240" w:after="240" w:line="480" w:lineRule="auto"/>
        <w:ind w:firstLine="720"/>
        <w:jc w:val="left"/>
        <w:rPr>
          <w:rFonts w:ascii="Times New Roman" w:hAnsi="Times New Roman" w:cs="Times New Roman"/>
          <w:sz w:val="24"/>
          <w:szCs w:val="24"/>
        </w:rPr>
      </w:pPr>
    </w:p>
    <w:p w14:paraId="6E157B5A" w14:textId="492A2108" w:rsidR="00075270" w:rsidRDefault="00075270" w:rsidP="00A049CD">
      <w:pPr>
        <w:spacing w:before="240" w:after="240" w:line="480" w:lineRule="auto"/>
        <w:ind w:firstLine="720"/>
        <w:jc w:val="left"/>
        <w:rPr>
          <w:rFonts w:ascii="Times New Roman" w:hAnsi="Times New Roman" w:cs="Times New Roman"/>
          <w:sz w:val="24"/>
          <w:szCs w:val="24"/>
        </w:rPr>
      </w:pPr>
    </w:p>
    <w:p w14:paraId="70421B20" w14:textId="3317980E" w:rsidR="00075270" w:rsidRDefault="00075270" w:rsidP="00A049CD">
      <w:pPr>
        <w:spacing w:before="240" w:after="240" w:line="480" w:lineRule="auto"/>
        <w:ind w:firstLine="720"/>
        <w:jc w:val="left"/>
        <w:rPr>
          <w:rFonts w:ascii="Times New Roman" w:hAnsi="Times New Roman" w:cs="Times New Roman"/>
          <w:sz w:val="24"/>
          <w:szCs w:val="24"/>
        </w:rPr>
      </w:pPr>
    </w:p>
    <w:p w14:paraId="2B312DA0" w14:textId="18B0131E" w:rsidR="00075270" w:rsidRDefault="00075270" w:rsidP="00A049CD">
      <w:pPr>
        <w:spacing w:before="240" w:after="240" w:line="480" w:lineRule="auto"/>
        <w:ind w:firstLine="720"/>
        <w:jc w:val="left"/>
        <w:rPr>
          <w:rFonts w:ascii="Times New Roman" w:hAnsi="Times New Roman" w:cs="Times New Roman"/>
          <w:sz w:val="24"/>
          <w:szCs w:val="24"/>
        </w:rPr>
      </w:pPr>
    </w:p>
    <w:p w14:paraId="35DA1E05" w14:textId="0BBE8188" w:rsidR="00075270" w:rsidRDefault="00075270" w:rsidP="00A049CD">
      <w:pPr>
        <w:spacing w:before="240" w:after="240" w:line="480" w:lineRule="auto"/>
        <w:ind w:firstLine="720"/>
        <w:jc w:val="left"/>
        <w:rPr>
          <w:rFonts w:ascii="Times New Roman" w:hAnsi="Times New Roman" w:cs="Times New Roman"/>
          <w:sz w:val="24"/>
          <w:szCs w:val="24"/>
        </w:rPr>
      </w:pPr>
    </w:p>
    <w:p w14:paraId="267BFE79" w14:textId="77777777" w:rsidR="00075270" w:rsidRPr="00CA5C49" w:rsidRDefault="00075270" w:rsidP="00A049CD">
      <w:pPr>
        <w:spacing w:before="240" w:after="240" w:line="480" w:lineRule="auto"/>
        <w:ind w:firstLine="720"/>
        <w:jc w:val="left"/>
        <w:rPr>
          <w:rFonts w:ascii="Times New Roman" w:hAnsi="Times New Roman" w:cs="Times New Roman"/>
          <w:sz w:val="24"/>
          <w:szCs w:val="24"/>
        </w:rPr>
      </w:pPr>
    </w:p>
    <w:p w14:paraId="237CB04C"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06FF61D" w14:textId="769CA367" w:rsidR="00921F24" w:rsidRPr="00A24DFF" w:rsidRDefault="00921F24" w:rsidP="00A24DFF">
      <w:pPr>
        <w:pStyle w:val="Ttulo1"/>
      </w:pPr>
      <w:bookmarkStart w:id="10" w:name="_bookmark5"/>
      <w:bookmarkStart w:id="11" w:name="_Toc204239214"/>
      <w:bookmarkEnd w:id="10"/>
      <w:proofErr w:type="spellStart"/>
      <w:r w:rsidRPr="00A24DFF">
        <w:lastRenderedPageBreak/>
        <w:t>A</w:t>
      </w:r>
      <w:r w:rsidR="00E410E0" w:rsidRPr="00A24DFF">
        <w:t>bstract</w:t>
      </w:r>
      <w:bookmarkEnd w:id="11"/>
      <w:proofErr w:type="spellEnd"/>
    </w:p>
    <w:p w14:paraId="7241A14E" w14:textId="77777777" w:rsidR="00921F24" w:rsidRPr="00CA5C49" w:rsidRDefault="00921F24" w:rsidP="00CA5C49">
      <w:pPr>
        <w:pStyle w:val="Textoindependiente"/>
        <w:ind w:right="690"/>
      </w:pPr>
      <w:r w:rsidRPr="00CA5C49">
        <w:t xml:space="preserve">El </w:t>
      </w:r>
      <w:proofErr w:type="spellStart"/>
      <w:r w:rsidRPr="00CA5C49">
        <w:t>abstrac</w:t>
      </w:r>
      <w:r w:rsidR="009B7CB8">
        <w:t>t</w:t>
      </w:r>
      <w:proofErr w:type="spellEnd"/>
      <w:r w:rsidRPr="00CA5C49">
        <w:t xml:space="preserve"> debe tener el contenido del resumen en el idioma inglés.</w:t>
      </w:r>
    </w:p>
    <w:p w14:paraId="5AD62751" w14:textId="77777777" w:rsidR="00C03AFF" w:rsidRDefault="00921F24" w:rsidP="00C03AFF">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Keywords: </w:t>
      </w:r>
      <w:r w:rsidR="00C03AFF" w:rsidRPr="00301EE2">
        <w:rPr>
          <w:rFonts w:ascii="Times New Roman" w:hAnsi="Times New Roman" w:cs="Times New Roman"/>
          <w:sz w:val="24"/>
          <w:szCs w:val="24"/>
        </w:rPr>
        <w:t>Separar las palabras clave</w:t>
      </w:r>
      <w:r w:rsidR="00C03AFF">
        <w:rPr>
          <w:rFonts w:ascii="Times New Roman" w:hAnsi="Times New Roman" w:cs="Times New Roman"/>
          <w:sz w:val="24"/>
          <w:szCs w:val="24"/>
        </w:rPr>
        <w:t xml:space="preserve"> traducidas al inglés</w:t>
      </w:r>
      <w:r w:rsidR="00C03AFF" w:rsidRPr="00301EE2">
        <w:rPr>
          <w:rFonts w:ascii="Times New Roman" w:hAnsi="Times New Roman" w:cs="Times New Roman"/>
          <w:sz w:val="24"/>
          <w:szCs w:val="24"/>
        </w:rPr>
        <w:t xml:space="preserve"> con </w:t>
      </w:r>
      <w:r w:rsidR="00C03AFF">
        <w:rPr>
          <w:rFonts w:ascii="Times New Roman" w:hAnsi="Times New Roman" w:cs="Times New Roman"/>
          <w:sz w:val="24"/>
          <w:szCs w:val="24"/>
        </w:rPr>
        <w:t xml:space="preserve">comas </w:t>
      </w:r>
      <w:r w:rsidR="00C03AFF" w:rsidRPr="00301EE2">
        <w:rPr>
          <w:rFonts w:ascii="Times New Roman" w:hAnsi="Times New Roman" w:cs="Times New Roman"/>
          <w:sz w:val="24"/>
          <w:szCs w:val="24"/>
        </w:rPr>
        <w:t>(,)</w:t>
      </w:r>
      <w:r w:rsidR="00C03AFF">
        <w:rPr>
          <w:rFonts w:ascii="Times New Roman" w:hAnsi="Times New Roman" w:cs="Times New Roman"/>
          <w:sz w:val="24"/>
          <w:szCs w:val="24"/>
        </w:rPr>
        <w:t>. Verificar que se utilice el término en inglés utilizado para cada variable.</w:t>
      </w:r>
    </w:p>
    <w:p w14:paraId="64AF4389" w14:textId="77777777" w:rsidR="00921F24" w:rsidRPr="00CA5C49" w:rsidRDefault="00921F24" w:rsidP="00C03AFF">
      <w:pPr>
        <w:spacing w:before="240" w:after="240" w:line="480" w:lineRule="auto"/>
        <w:ind w:firstLine="720"/>
        <w:jc w:val="left"/>
        <w:rPr>
          <w:rFonts w:ascii="Times New Roman" w:hAnsi="Times New Roman" w:cs="Times New Roman"/>
          <w:sz w:val="24"/>
          <w:szCs w:val="24"/>
        </w:rPr>
      </w:pPr>
    </w:p>
    <w:p w14:paraId="32BEDB4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5EEFEE7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59C2EB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3B9C48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8B54DE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E7A6F1B"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A0556FE"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9E73599"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6001AE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2D15E8F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C9710AA"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0A6727C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26E6F03" w14:textId="77777777" w:rsidR="003F0821" w:rsidRDefault="003F0821">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51A59EE1" w14:textId="064DE0C0" w:rsidR="006A5DB0" w:rsidRPr="007C5AF8" w:rsidRDefault="00127340" w:rsidP="007C5AF8">
      <w:pPr>
        <w:pStyle w:val="Ttulo1"/>
      </w:pPr>
      <w:bookmarkStart w:id="12" w:name="_Toc204239215"/>
      <w:r w:rsidRPr="007C5AF8">
        <w:lastRenderedPageBreak/>
        <w:t xml:space="preserve">Capítulo 1. </w:t>
      </w:r>
      <w:r w:rsidR="00792119" w:rsidRPr="007C5AF8">
        <w:t>Introducción</w:t>
      </w:r>
      <w:bookmarkEnd w:id="12"/>
    </w:p>
    <w:p w14:paraId="49897E38" w14:textId="6904F344" w:rsidR="000961CB" w:rsidRPr="000961CB" w:rsidRDefault="000961CB" w:rsidP="000961CB">
      <w:pPr>
        <w:pStyle w:val="Textoindependiente"/>
        <w:jc w:val="both"/>
        <w:rPr>
          <w:bCs/>
        </w:rPr>
      </w:pPr>
      <w:bookmarkStart w:id="13" w:name="_Hlk134946761"/>
      <w:r w:rsidRPr="000961CB">
        <w:rPr>
          <w:bCs/>
        </w:rPr>
        <w:t>Actualmente, la experiencia del consumidor constituye un eje esencial en los entornos digitales, ya que se entiende como el conjunto de interacciones cognitivas, afectivas y conductuales que un usuario vive en su vínculo con una marca (</w:t>
      </w:r>
      <w:proofErr w:type="spellStart"/>
      <w:r w:rsidRPr="000961CB">
        <w:rPr>
          <w:bCs/>
        </w:rPr>
        <w:t>Diwayanti</w:t>
      </w:r>
      <w:proofErr w:type="spellEnd"/>
      <w:r w:rsidRPr="000961CB">
        <w:rPr>
          <w:bCs/>
        </w:rPr>
        <w:t xml:space="preserve"> et al., 202</w:t>
      </w:r>
      <w:r>
        <w:rPr>
          <w:bCs/>
        </w:rPr>
        <w:t>5</w:t>
      </w:r>
      <w:r w:rsidRPr="000961CB">
        <w:rPr>
          <w:bCs/>
        </w:rPr>
        <w:t>). Este constructo de carácter multidimensional comprende desde el descubrimiento del producto hasta el servicio posventa, incorporando tanto la calidad del contenido como la fluidez tecnológica de las plataformas virtuales. En esa línea,</w:t>
      </w:r>
      <w:r>
        <w:rPr>
          <w:bCs/>
        </w:rPr>
        <w:t xml:space="preserve"> </w:t>
      </w:r>
      <w:proofErr w:type="spellStart"/>
      <w:r w:rsidRPr="000961CB">
        <w:rPr>
          <w:bCs/>
        </w:rPr>
        <w:t>Badaw</w:t>
      </w:r>
      <w:proofErr w:type="spellEnd"/>
      <w:r>
        <w:rPr>
          <w:bCs/>
        </w:rPr>
        <w:t xml:space="preserve"> Y </w:t>
      </w:r>
      <w:proofErr w:type="spellStart"/>
      <w:r>
        <w:rPr>
          <w:bCs/>
        </w:rPr>
        <w:t>Muafi</w:t>
      </w:r>
      <w:proofErr w:type="spellEnd"/>
      <w:r w:rsidRPr="000961CB">
        <w:rPr>
          <w:bCs/>
        </w:rPr>
        <w:t xml:space="preserve"> (202</w:t>
      </w:r>
      <w:r>
        <w:rPr>
          <w:bCs/>
        </w:rPr>
        <w:t>4</w:t>
      </w:r>
      <w:r w:rsidRPr="000961CB">
        <w:rPr>
          <w:bCs/>
        </w:rPr>
        <w:t xml:space="preserve">) sostienen que una experiencia satisfactoria va más allá de la simple transacción, al incluir componentes sensoriales y emocionales que refuerzan la confianza del comprador. En concordancia con el contexto de esta investigación, resulta indispensable analizar de qué manera la integración </w:t>
      </w:r>
      <w:proofErr w:type="spellStart"/>
      <w:r w:rsidRPr="000961CB">
        <w:rPr>
          <w:bCs/>
        </w:rPr>
        <w:t>omnicanal</w:t>
      </w:r>
      <w:proofErr w:type="spellEnd"/>
      <w:r w:rsidRPr="000961CB">
        <w:rPr>
          <w:bCs/>
        </w:rPr>
        <w:t xml:space="preserve"> y las interfaces digitales configuran las percepciones del usuario (Alim et al., 2025). En consecuencia, la gestión de esta variable demanda estrategias tecnológicas innovadoras que garanticen interacciones inmersivas, memorables y personalizadas para los consumidores contemporáneos.</w:t>
      </w:r>
    </w:p>
    <w:p w14:paraId="3ABC0B9A" w14:textId="2DC962B2" w:rsidR="000961CB" w:rsidRPr="000961CB" w:rsidRDefault="000961CB" w:rsidP="000961CB">
      <w:pPr>
        <w:pStyle w:val="Textoindependiente"/>
        <w:jc w:val="both"/>
        <w:rPr>
          <w:bCs/>
        </w:rPr>
      </w:pPr>
      <w:r w:rsidRPr="000961CB">
        <w:rPr>
          <w:bCs/>
        </w:rPr>
        <w:t>De igual manera, la fidelización de marca se posiciona como un elemento decisivo para la sostenibilidad empresarial, al entenderse como el compromiso profundo y permanente del cliente por adquirir de manera constante productos o servicios de su preferencia (</w:t>
      </w:r>
      <w:proofErr w:type="spellStart"/>
      <w:r w:rsidRPr="000961CB">
        <w:rPr>
          <w:bCs/>
        </w:rPr>
        <w:t>Danurdara</w:t>
      </w:r>
      <w:proofErr w:type="spellEnd"/>
      <w:r>
        <w:rPr>
          <w:bCs/>
        </w:rPr>
        <w:t xml:space="preserve"> y </w:t>
      </w:r>
      <w:proofErr w:type="spellStart"/>
      <w:r w:rsidRPr="000961CB">
        <w:rPr>
          <w:bCs/>
        </w:rPr>
        <w:t>Masatif</w:t>
      </w:r>
      <w:proofErr w:type="spellEnd"/>
      <w:r w:rsidRPr="000961CB">
        <w:rPr>
          <w:bCs/>
        </w:rPr>
        <w:t>, 202</w:t>
      </w:r>
      <w:r>
        <w:rPr>
          <w:bCs/>
        </w:rPr>
        <w:t>5</w:t>
      </w:r>
      <w:r w:rsidRPr="000961CB">
        <w:rPr>
          <w:bCs/>
        </w:rPr>
        <w:t xml:space="preserve">). Este fenómeno no se limita únicamente a la retención conductual, sino que también comprende un sólido vínculo emocional que reduce la posibilidad de migración hacia la competencia. Desde esta perspectiva, </w:t>
      </w:r>
      <w:proofErr w:type="spellStart"/>
      <w:r w:rsidRPr="000961CB">
        <w:rPr>
          <w:bCs/>
        </w:rPr>
        <w:t>Khoa</w:t>
      </w:r>
      <w:proofErr w:type="spellEnd"/>
      <w:r w:rsidRPr="000961CB">
        <w:rPr>
          <w:bCs/>
        </w:rPr>
        <w:t xml:space="preserve"> y </w:t>
      </w:r>
      <w:proofErr w:type="spellStart"/>
      <w:r w:rsidRPr="000961CB">
        <w:rPr>
          <w:bCs/>
        </w:rPr>
        <w:t>Huynh</w:t>
      </w:r>
      <w:proofErr w:type="spellEnd"/>
      <w:r w:rsidRPr="000961CB">
        <w:rPr>
          <w:bCs/>
        </w:rPr>
        <w:t xml:space="preserve"> (2025) señalan que fomentar dicho apego dentro del ecosistema virtual exige fortalecer la confianza, la satisfacción y la </w:t>
      </w:r>
      <w:proofErr w:type="spellStart"/>
      <w:r w:rsidRPr="000961CB">
        <w:rPr>
          <w:bCs/>
        </w:rPr>
        <w:t>cocreación</w:t>
      </w:r>
      <w:proofErr w:type="spellEnd"/>
      <w:r w:rsidRPr="000961CB">
        <w:rPr>
          <w:bCs/>
        </w:rPr>
        <w:t xml:space="preserve"> de valor compartido. En relación con el contexto de la investigación, el problema teórico se centra en la dificultad para sostener esa lealtad frente a la saturación de ofertas digitales (Wu, 2025). Por ello, comprender las dimensiones afectivas y funcionales de este comportamiento, </w:t>
      </w:r>
      <w:r w:rsidRPr="000961CB">
        <w:rPr>
          <w:bCs/>
        </w:rPr>
        <w:lastRenderedPageBreak/>
        <w:t>desde una visión general hasta enfoques más específicos, permite diseñar tácticas orientadas a retener usuarios y reducir el abandono comercial en mercados online altamente dinámicos y cambiantes.</w:t>
      </w:r>
    </w:p>
    <w:p w14:paraId="5B15E3F1" w14:textId="0E5803A4" w:rsidR="000961CB" w:rsidRPr="000961CB" w:rsidRDefault="000961CB" w:rsidP="000961CB">
      <w:pPr>
        <w:pStyle w:val="Textoindependiente"/>
        <w:jc w:val="both"/>
        <w:rPr>
          <w:bCs/>
        </w:rPr>
      </w:pPr>
      <w:r w:rsidRPr="000961CB">
        <w:rPr>
          <w:bCs/>
        </w:rPr>
        <w:t>En el ámbito mundial, la retención de clientes digitales afronta desafíos significativos debido a la amplia variedad de alternativas virtuales disponibles (</w:t>
      </w:r>
      <w:proofErr w:type="spellStart"/>
      <w:r w:rsidRPr="000961CB">
        <w:rPr>
          <w:bCs/>
        </w:rPr>
        <w:t>Mokha</w:t>
      </w:r>
      <w:proofErr w:type="spellEnd"/>
      <w:r>
        <w:rPr>
          <w:bCs/>
        </w:rPr>
        <w:t xml:space="preserve"> y </w:t>
      </w:r>
      <w:r w:rsidRPr="000961CB">
        <w:rPr>
          <w:bCs/>
        </w:rPr>
        <w:t>Kumar, 202</w:t>
      </w:r>
      <w:r>
        <w:rPr>
          <w:bCs/>
        </w:rPr>
        <w:t>4</w:t>
      </w:r>
      <w:r w:rsidRPr="000961CB">
        <w:rPr>
          <w:bCs/>
        </w:rPr>
        <w:t>). A escala global, el abandono de carritos de compra alcanza el 69,57%, mientras que solo el 24,32% de los usuarios logra desarrollar una auténtica fidelización de marca después de una primera compra (Chen, 202</w:t>
      </w:r>
      <w:r>
        <w:rPr>
          <w:bCs/>
        </w:rPr>
        <w:t>4</w:t>
      </w:r>
      <w:r w:rsidRPr="000961CB">
        <w:rPr>
          <w:bCs/>
        </w:rPr>
        <w:t xml:space="preserve">). Sumado a ello, se ha evidenciado que optimizar la experiencia del consumidor aumenta en 33.15% la probabilidad de recompra a nivel internacional </w:t>
      </w:r>
      <w:r>
        <w:rPr>
          <w:bCs/>
        </w:rPr>
        <w:t>(</w:t>
      </w:r>
      <w:proofErr w:type="spellStart"/>
      <w:r w:rsidRPr="000961CB">
        <w:rPr>
          <w:bCs/>
        </w:rPr>
        <w:t>Gronphet</w:t>
      </w:r>
      <w:proofErr w:type="spellEnd"/>
      <w:r w:rsidRPr="000961CB">
        <w:rPr>
          <w:bCs/>
        </w:rPr>
        <w:t xml:space="preserve"> </w:t>
      </w:r>
      <w:r>
        <w:rPr>
          <w:bCs/>
        </w:rPr>
        <w:t>y</w:t>
      </w:r>
      <w:r w:rsidRPr="000961CB">
        <w:rPr>
          <w:bCs/>
        </w:rPr>
        <w:t xml:space="preserve"> </w:t>
      </w:r>
      <w:proofErr w:type="spellStart"/>
      <w:r w:rsidRPr="000961CB">
        <w:rPr>
          <w:bCs/>
        </w:rPr>
        <w:t>Onputtha</w:t>
      </w:r>
      <w:proofErr w:type="spellEnd"/>
      <w:r w:rsidRPr="000961CB">
        <w:rPr>
          <w:bCs/>
        </w:rPr>
        <w:t>, 202</w:t>
      </w:r>
      <w:r>
        <w:rPr>
          <w:bCs/>
        </w:rPr>
        <w:t>5</w:t>
      </w:r>
      <w:r w:rsidRPr="000961CB">
        <w:rPr>
          <w:bCs/>
        </w:rPr>
        <w:t>). Estos cambios ponen de manifiesto la urgencia de perfeccionar los procesos de interacción comercial (Alim et al., 202</w:t>
      </w:r>
      <w:r>
        <w:rPr>
          <w:bCs/>
        </w:rPr>
        <w:t>5</w:t>
      </w:r>
      <w:r w:rsidRPr="000961CB">
        <w:rPr>
          <w:bCs/>
        </w:rPr>
        <w:t>).</w:t>
      </w:r>
    </w:p>
    <w:p w14:paraId="71D67BF3" w14:textId="774FD939" w:rsidR="000961CB" w:rsidRPr="000961CB" w:rsidRDefault="000961CB" w:rsidP="000961CB">
      <w:pPr>
        <w:pStyle w:val="Textoindependiente"/>
        <w:jc w:val="both"/>
        <w:rPr>
          <w:bCs/>
        </w:rPr>
      </w:pPr>
      <w:r w:rsidRPr="000961CB">
        <w:rPr>
          <w:bCs/>
        </w:rPr>
        <w:t>En el contexto latinoamericano, la lealtad virtual presenta diferencias marcadas que inciden en el desarrollo del comercio electrónico en la región (</w:t>
      </w:r>
      <w:proofErr w:type="spellStart"/>
      <w:r w:rsidRPr="000961CB">
        <w:rPr>
          <w:bCs/>
        </w:rPr>
        <w:t>Danurdara</w:t>
      </w:r>
      <w:proofErr w:type="spellEnd"/>
      <w:r w:rsidRPr="000961CB">
        <w:rPr>
          <w:bCs/>
        </w:rPr>
        <w:t xml:space="preserve"> </w:t>
      </w:r>
      <w:r>
        <w:rPr>
          <w:bCs/>
        </w:rPr>
        <w:t>y</w:t>
      </w:r>
      <w:r w:rsidRPr="000961CB">
        <w:rPr>
          <w:bCs/>
        </w:rPr>
        <w:t xml:space="preserve"> </w:t>
      </w:r>
      <w:proofErr w:type="spellStart"/>
      <w:r w:rsidRPr="000961CB">
        <w:rPr>
          <w:bCs/>
        </w:rPr>
        <w:t>Masatif</w:t>
      </w:r>
      <w:proofErr w:type="spellEnd"/>
      <w:r w:rsidRPr="000961CB">
        <w:rPr>
          <w:bCs/>
        </w:rPr>
        <w:t xml:space="preserve">, 2025). En particular, el compromiso del consumidor en Colombia evidencia deficiencias, mientras que en Chile apenas llega al 42,15%, lo que refleja problemas de interacción. Del mismo modo, en Ecuador se observa un índice de satisfacción digital de 35.80%, en contraste con México, que registra un 51.25% de fidelidad (Badawi </w:t>
      </w:r>
      <w:r>
        <w:rPr>
          <w:bCs/>
        </w:rPr>
        <w:t>y</w:t>
      </w:r>
      <w:r w:rsidRPr="000961CB">
        <w:rPr>
          <w:bCs/>
        </w:rPr>
        <w:t xml:space="preserve"> </w:t>
      </w:r>
      <w:proofErr w:type="spellStart"/>
      <w:r w:rsidRPr="000961CB">
        <w:rPr>
          <w:bCs/>
        </w:rPr>
        <w:t>Muafi</w:t>
      </w:r>
      <w:proofErr w:type="spellEnd"/>
      <w:r w:rsidRPr="000961CB">
        <w:rPr>
          <w:bCs/>
        </w:rPr>
        <w:t>, 2024). A su vez, Argentina muestra una retención del 48,90%, y Chile vuelve a resaltar por presentar rebotes del 30,12%, situación que dificulta el fortalecimiento de la lealtad comercial en el entorno online actual (Li</w:t>
      </w:r>
      <w:r>
        <w:rPr>
          <w:bCs/>
        </w:rPr>
        <w:t xml:space="preserve"> y </w:t>
      </w:r>
      <w:proofErr w:type="spellStart"/>
      <w:r w:rsidRPr="000961CB">
        <w:rPr>
          <w:bCs/>
        </w:rPr>
        <w:t>Aumeboonsuke</w:t>
      </w:r>
      <w:proofErr w:type="spellEnd"/>
      <w:r w:rsidRPr="000961CB">
        <w:rPr>
          <w:bCs/>
        </w:rPr>
        <w:t>, 202</w:t>
      </w:r>
      <w:r>
        <w:rPr>
          <w:bCs/>
        </w:rPr>
        <w:t>5</w:t>
      </w:r>
      <w:r w:rsidRPr="000961CB">
        <w:rPr>
          <w:bCs/>
        </w:rPr>
        <w:t>).</w:t>
      </w:r>
    </w:p>
    <w:p w14:paraId="4C5E0C97" w14:textId="3C585F5F" w:rsidR="000961CB" w:rsidRPr="000961CB" w:rsidRDefault="000961CB" w:rsidP="000961CB">
      <w:pPr>
        <w:pStyle w:val="Textoindependiente"/>
        <w:jc w:val="both"/>
        <w:rPr>
          <w:bCs/>
        </w:rPr>
      </w:pPr>
      <w:r w:rsidRPr="000961CB">
        <w:rPr>
          <w:bCs/>
        </w:rPr>
        <w:t>En el caso de Perú, la lealtad online enfrenta dificultades semejantes a las observadas en Colombia y Chile, donde la retención apenas muestra crecimiento (</w:t>
      </w:r>
      <w:proofErr w:type="spellStart"/>
      <w:r w:rsidRPr="000961CB">
        <w:rPr>
          <w:bCs/>
        </w:rPr>
        <w:t>Diwayanti</w:t>
      </w:r>
      <w:proofErr w:type="spellEnd"/>
      <w:r>
        <w:rPr>
          <w:bCs/>
        </w:rPr>
        <w:t xml:space="preserve"> et al.</w:t>
      </w:r>
      <w:r w:rsidRPr="000961CB">
        <w:rPr>
          <w:bCs/>
        </w:rPr>
        <w:t>, 202</w:t>
      </w:r>
      <w:r>
        <w:rPr>
          <w:bCs/>
        </w:rPr>
        <w:t>5</w:t>
      </w:r>
      <w:r w:rsidRPr="000961CB">
        <w:rPr>
          <w:bCs/>
        </w:rPr>
        <w:t>). En comparación, Ecuador reporta caídas de ventas del 15.30%, mientras que México evidencia una adopción tecnológica del 60.55% en plataformas móviles (</w:t>
      </w:r>
      <w:proofErr w:type="spellStart"/>
      <w:r w:rsidRPr="000961CB">
        <w:rPr>
          <w:bCs/>
        </w:rPr>
        <w:t>Mokha</w:t>
      </w:r>
      <w:proofErr w:type="spellEnd"/>
      <w:r w:rsidRPr="000961CB">
        <w:rPr>
          <w:bCs/>
        </w:rPr>
        <w:t xml:space="preserve"> </w:t>
      </w:r>
      <w:r>
        <w:rPr>
          <w:bCs/>
        </w:rPr>
        <w:t>y</w:t>
      </w:r>
      <w:r w:rsidRPr="000961CB">
        <w:rPr>
          <w:bCs/>
        </w:rPr>
        <w:t xml:space="preserve"> Kumar, 2024). Por su </w:t>
      </w:r>
      <w:r w:rsidRPr="000961CB">
        <w:rPr>
          <w:bCs/>
        </w:rPr>
        <w:lastRenderedPageBreak/>
        <w:t>parte, Argentina presenta tasas de quejas del 22,40% y Chile mantiene un crecimiento interactivo del 34,18%, lo que hace necesario adaptar estrategias en el contexto peruano para alcanzar una mayor vinculación emocional y un éxito comercial sostenido en el ámbito digital (</w:t>
      </w:r>
      <w:proofErr w:type="spellStart"/>
      <w:r w:rsidRPr="000961CB">
        <w:rPr>
          <w:bCs/>
        </w:rPr>
        <w:t>Danurdara</w:t>
      </w:r>
      <w:proofErr w:type="spellEnd"/>
      <w:r>
        <w:rPr>
          <w:bCs/>
        </w:rPr>
        <w:t xml:space="preserve"> y </w:t>
      </w:r>
      <w:proofErr w:type="spellStart"/>
      <w:r w:rsidRPr="000961CB">
        <w:rPr>
          <w:bCs/>
        </w:rPr>
        <w:t>Masatif</w:t>
      </w:r>
      <w:proofErr w:type="spellEnd"/>
      <w:r w:rsidRPr="000961CB">
        <w:rPr>
          <w:bCs/>
        </w:rPr>
        <w:t>, 202</w:t>
      </w:r>
      <w:r>
        <w:rPr>
          <w:bCs/>
        </w:rPr>
        <w:t>5</w:t>
      </w:r>
      <w:r w:rsidRPr="000961CB">
        <w:rPr>
          <w:bCs/>
        </w:rPr>
        <w:t>).</w:t>
      </w:r>
    </w:p>
    <w:p w14:paraId="5FF75293" w14:textId="77777777" w:rsidR="000961CB" w:rsidRPr="000961CB" w:rsidRDefault="000961CB" w:rsidP="000961CB">
      <w:pPr>
        <w:pStyle w:val="Textoindependiente"/>
        <w:jc w:val="both"/>
      </w:pPr>
      <w:r w:rsidRPr="000961CB">
        <w:t xml:space="preserve">Como artículos de revisión narrativa tenemos a, </w:t>
      </w:r>
      <w:proofErr w:type="spellStart"/>
      <w:r w:rsidRPr="000961CB">
        <w:t>Diwayanti</w:t>
      </w:r>
      <w:proofErr w:type="spellEnd"/>
      <w:r w:rsidRPr="000961CB">
        <w:t xml:space="preserve"> et al. (2025), Indonesia, "</w:t>
      </w:r>
      <w:proofErr w:type="spellStart"/>
      <w:r w:rsidRPr="000961CB">
        <w:t>Assessing</w:t>
      </w:r>
      <w:proofErr w:type="spellEnd"/>
      <w:r w:rsidRPr="000961CB">
        <w:t xml:space="preserve"> </w:t>
      </w:r>
      <w:proofErr w:type="spellStart"/>
      <w:r w:rsidRPr="000961CB">
        <w:t>the</w:t>
      </w:r>
      <w:proofErr w:type="spellEnd"/>
      <w:r w:rsidRPr="000961CB">
        <w:t xml:space="preserve"> role </w:t>
      </w:r>
      <w:proofErr w:type="spellStart"/>
      <w:r w:rsidRPr="000961CB">
        <w:t>of</w:t>
      </w:r>
      <w:proofErr w:type="spellEnd"/>
      <w:r w:rsidRPr="000961CB">
        <w:t xml:space="preserve"> </w:t>
      </w:r>
      <w:proofErr w:type="spellStart"/>
      <w:r w:rsidRPr="000961CB">
        <w:t>service</w:t>
      </w:r>
      <w:proofErr w:type="spellEnd"/>
      <w:r w:rsidRPr="000961CB">
        <w:t xml:space="preserve"> </w:t>
      </w:r>
      <w:proofErr w:type="spellStart"/>
      <w:r w:rsidRPr="000961CB">
        <w:t>quality</w:t>
      </w:r>
      <w:proofErr w:type="spellEnd"/>
      <w:r w:rsidRPr="000961CB">
        <w:t xml:space="preserve">, </w:t>
      </w:r>
      <w:proofErr w:type="spellStart"/>
      <w:r w:rsidRPr="000961CB">
        <w:t>customer</w:t>
      </w:r>
      <w:proofErr w:type="spellEnd"/>
      <w:r w:rsidRPr="000961CB">
        <w:t xml:space="preserve"> </w:t>
      </w:r>
      <w:proofErr w:type="spellStart"/>
      <w:r w:rsidRPr="000961CB">
        <w:t>experience</w:t>
      </w:r>
      <w:proofErr w:type="spellEnd"/>
      <w:r w:rsidRPr="000961CB">
        <w:t xml:space="preserve"> </w:t>
      </w:r>
      <w:proofErr w:type="spellStart"/>
      <w:r w:rsidRPr="000961CB">
        <w:t>andceived</w:t>
      </w:r>
      <w:proofErr w:type="spellEnd"/>
      <w:r w:rsidRPr="000961CB">
        <w:t xml:space="preserve"> </w:t>
      </w:r>
      <w:proofErr w:type="spellStart"/>
      <w:r w:rsidRPr="000961CB">
        <w:t>value</w:t>
      </w:r>
      <w:proofErr w:type="spellEnd"/>
      <w:r w:rsidRPr="000961CB">
        <w:t xml:space="preserve"> as mediator </w:t>
      </w:r>
      <w:proofErr w:type="spellStart"/>
      <w:r w:rsidRPr="000961CB">
        <w:t>on</w:t>
      </w:r>
      <w:proofErr w:type="spellEnd"/>
      <w:r w:rsidRPr="000961CB">
        <w:t xml:space="preserve"> </w:t>
      </w:r>
      <w:proofErr w:type="spellStart"/>
      <w:r w:rsidRPr="000961CB">
        <w:t>customer</w:t>
      </w:r>
      <w:proofErr w:type="spellEnd"/>
      <w:r w:rsidRPr="000961CB">
        <w:t xml:space="preserve"> lealtades", objetivo investigar el impacto conductual, la conclusión indicó que valores percibidos median lealtades. Estos antecedentes del tema y justificación de la revisión narrativa permiten comprender bases esenciales. Expresados ​​de forma clara, relacionados con el tema elegido para el estudio y medibles, aportan evidencia empírica clave sobre la experiencia del consumidor altamente digital.</w:t>
      </w:r>
    </w:p>
    <w:p w14:paraId="2E27AE2A" w14:textId="18D37824" w:rsidR="000961CB" w:rsidRPr="000961CB" w:rsidRDefault="000961CB" w:rsidP="000961CB">
      <w:pPr>
        <w:pStyle w:val="Textoindependiente"/>
        <w:jc w:val="both"/>
      </w:pPr>
      <w:r w:rsidRPr="000961CB">
        <w:t xml:space="preserve">Como antecedentes adicionales destacan seis, incluyendo a Badawi y </w:t>
      </w:r>
      <w:proofErr w:type="spellStart"/>
      <w:r w:rsidRPr="000961CB">
        <w:t>Muafi</w:t>
      </w:r>
      <w:proofErr w:type="spellEnd"/>
      <w:r w:rsidRPr="000961CB">
        <w:t xml:space="preserve"> (2024), Indonesia, </w:t>
      </w:r>
      <w:r w:rsidRPr="000961CB">
        <w:rPr>
          <w:i/>
          <w:iCs/>
        </w:rPr>
        <w:t>"Impulsando la fidelidad del cliente a través de la distribución de marketing, la gestión de la experiencia del cliente y la gestión de las relaciones con el cliente"</w:t>
      </w:r>
      <w:r w:rsidRPr="000961CB">
        <w:t>, objetivo analizar efectos interactivos, la conclusión probó una gestión positiva. Estos antecedentes del tema y justificación de la revisión narrativa brindan luz. Expresados ​​de forma clara, relacionados con el tema elegido para el estudio y medibles, consolidan la importancia de retener clientes en entornos altamente digitales y modernos actualmente allí para su evaluación teórica final.</w:t>
      </w:r>
    </w:p>
    <w:p w14:paraId="48D68C9A" w14:textId="632BF5C9" w:rsidR="00A06127" w:rsidRDefault="000961CB" w:rsidP="00E76408">
      <w:pPr>
        <w:pStyle w:val="Textoindependiente"/>
        <w:jc w:val="both"/>
        <w:rPr>
          <w:lang w:val="es-PE"/>
        </w:rPr>
      </w:pPr>
      <w:r w:rsidRPr="000961CB">
        <w:rPr>
          <w:lang w:val="es-PE"/>
        </w:rPr>
        <w:t>Como modelos teóricos, a la vista de lo expuesto anteriormente, la experiencia del consumidor se define conceptualmente como las respuestas cognitivas que surgen de estímulos comerciales interactivos virtuales (Chen, 2024). Otros teóricos afirman que constituye un viaje integral perceptivo del cliente (Ali</w:t>
      </w:r>
      <w:r>
        <w:rPr>
          <w:lang w:val="es-PE"/>
        </w:rPr>
        <w:t xml:space="preserve"> y </w:t>
      </w:r>
      <w:r w:rsidRPr="000961CB">
        <w:rPr>
          <w:lang w:val="es-PE"/>
        </w:rPr>
        <w:t>Alfayez, 202</w:t>
      </w:r>
      <w:r>
        <w:rPr>
          <w:lang w:val="es-PE"/>
        </w:rPr>
        <w:t>4</w:t>
      </w:r>
      <w:r w:rsidRPr="000961CB">
        <w:rPr>
          <w:lang w:val="es-PE"/>
        </w:rPr>
        <w:t xml:space="preserve">). Asimismo, se entiende como la internalización afectiva del proceso de compra digital (Li &amp; Aumeboonsuke, 2025). Además, </w:t>
      </w:r>
      <w:r w:rsidRPr="000961CB">
        <w:rPr>
          <w:lang w:val="es-PE"/>
        </w:rPr>
        <w:lastRenderedPageBreak/>
        <w:t>representa el nivel de inmersión tecnológica percibida (Alim</w:t>
      </w:r>
      <w:r>
        <w:rPr>
          <w:lang w:val="es-PE"/>
        </w:rPr>
        <w:t xml:space="preserve"> et al.</w:t>
      </w:r>
      <w:r w:rsidRPr="000961CB">
        <w:rPr>
          <w:lang w:val="es-PE"/>
        </w:rPr>
        <w:t>, 202</w:t>
      </w:r>
      <w:r>
        <w:rPr>
          <w:lang w:val="es-PE"/>
        </w:rPr>
        <w:t>5</w:t>
      </w:r>
      <w:r w:rsidRPr="000961CB">
        <w:rPr>
          <w:lang w:val="es-PE"/>
        </w:rPr>
        <w:t xml:space="preserve">). Finalmente, se conceptualiza como la interacción sensorial holística (Arora </w:t>
      </w:r>
      <w:r>
        <w:rPr>
          <w:lang w:val="es-PE"/>
        </w:rPr>
        <w:t>y</w:t>
      </w:r>
      <w:r w:rsidRPr="000961CB">
        <w:rPr>
          <w:lang w:val="es-PE"/>
        </w:rPr>
        <w:t xml:space="preserve"> Banerji, 2024). Sus dimensiones abarcan la calidad sistémica, interactividad y valor hedónico percibido. Por su parte, la fidelización de marca se refiere al compromiso psicológico y conductual hacia una entidad corporativa (Arora</w:t>
      </w:r>
      <w:r>
        <w:rPr>
          <w:lang w:val="es-PE"/>
        </w:rPr>
        <w:t xml:space="preserve"> y </w:t>
      </w:r>
      <w:r w:rsidRPr="000961CB">
        <w:rPr>
          <w:lang w:val="es-PE"/>
        </w:rPr>
        <w:t>Banerji</w:t>
      </w:r>
      <w:r>
        <w:rPr>
          <w:lang w:val="es-PE"/>
        </w:rPr>
        <w:t xml:space="preserve">, </w:t>
      </w:r>
      <w:r w:rsidRPr="000961CB">
        <w:rPr>
          <w:lang w:val="es-PE"/>
        </w:rPr>
        <w:t>202</w:t>
      </w:r>
      <w:r>
        <w:rPr>
          <w:lang w:val="es-PE"/>
        </w:rPr>
        <w:t>4</w:t>
      </w:r>
      <w:r w:rsidRPr="000961CB">
        <w:rPr>
          <w:lang w:val="es-PE"/>
        </w:rPr>
        <w:t>). Esta segunda variable presenta dimensiones como lealtad actitudinal, retención comportamental y defensa de marca. Diferentes estudios de revisión publicados en revistas científicas demuestran la fuerte conexión entre ambas variables operativas, destacando modelos teóricos omni</w:t>
      </w:r>
      <w:r>
        <w:rPr>
          <w:lang w:val="es-PE"/>
        </w:rPr>
        <w:t xml:space="preserve"> </w:t>
      </w:r>
      <w:r w:rsidRPr="000961CB">
        <w:rPr>
          <w:lang w:val="es-PE"/>
        </w:rPr>
        <w:t>canales que estructuran interacciones virtuales innovadoras hoy en día exitosamente global</w:t>
      </w:r>
      <w:r>
        <w:rPr>
          <w:lang w:val="es-PE"/>
        </w:rPr>
        <w:t>.</w:t>
      </w:r>
    </w:p>
    <w:p w14:paraId="78572F12" w14:textId="3BCBDE2D" w:rsidR="000961CB" w:rsidRDefault="000961CB" w:rsidP="00E76408">
      <w:pPr>
        <w:pStyle w:val="Textoindependiente"/>
        <w:jc w:val="both"/>
        <w:rPr>
          <w:lang w:val="es-PE"/>
        </w:rPr>
      </w:pPr>
      <w:r w:rsidRPr="000961CB">
        <w:rPr>
          <w:lang w:val="es-PE"/>
        </w:rPr>
        <w:t>La presente investigación se justifica teórica, práctica y metodológicamente mediante la revisión exhaustiva de literatura especializada reciente. Especificar el por qué y para qué de esta revisión narrativa radica principalmente en estructurar la vasta pero fragmentada evidencia sobre interacciones online. Cubre brechas teóricas críticas analizando cómo los componentes inmersivos aseguran retención duradera del usuario (Chen, 202</w:t>
      </w:r>
      <w:r>
        <w:rPr>
          <w:lang w:val="es-PE"/>
        </w:rPr>
        <w:t>4</w:t>
      </w:r>
      <w:r w:rsidRPr="000961CB">
        <w:rPr>
          <w:lang w:val="es-PE"/>
        </w:rPr>
        <w:t>). Es relevante porque beneficia directamente a gerentes de marketing, académicos y otros investigadores, brindando herramientas estratégicas para disminuir el abandono digital. Además, posee utilidad social al proponer tácticas amigables para proteger al usuario (Khoa</w:t>
      </w:r>
      <w:r>
        <w:rPr>
          <w:lang w:val="es-PE"/>
        </w:rPr>
        <w:t xml:space="preserve"> y </w:t>
      </w:r>
      <w:r w:rsidRPr="000961CB">
        <w:rPr>
          <w:lang w:val="es-PE"/>
        </w:rPr>
        <w:t>Huynh, 202</w:t>
      </w:r>
      <w:r>
        <w:rPr>
          <w:lang w:val="es-PE"/>
        </w:rPr>
        <w:t>5</w:t>
      </w:r>
      <w:r w:rsidRPr="000961CB">
        <w:rPr>
          <w:lang w:val="es-PE"/>
        </w:rPr>
        <w:t xml:space="preserve">). </w:t>
      </w:r>
      <w:r>
        <w:rPr>
          <w:lang w:val="es-PE"/>
        </w:rPr>
        <w:t xml:space="preserve">Y </w:t>
      </w:r>
      <w:r w:rsidRPr="000961CB">
        <w:rPr>
          <w:lang w:val="es-PE"/>
        </w:rPr>
        <w:t>Finalmente, sus aportes metodológicos unifican variables complejas, aportando nueva información valiosa que transforma radicalmente los actuales paradigmas sobre retención comercial y competitividad virtual hoy mismo.</w:t>
      </w:r>
    </w:p>
    <w:p w14:paraId="73E7FE72" w14:textId="2F17E654" w:rsidR="00291E1C" w:rsidRDefault="00291E1C" w:rsidP="00291E1C">
      <w:pPr>
        <w:pStyle w:val="Textoindependiente"/>
        <w:jc w:val="both"/>
      </w:pPr>
      <w:r w:rsidRPr="00291E1C">
        <w:t xml:space="preserve">En base a la información expuesta se plantea la pregunta </w:t>
      </w:r>
      <w:r w:rsidR="002B56F5" w:rsidRPr="002B56F5">
        <w:t xml:space="preserve">¿Qué se </w:t>
      </w:r>
      <w:r w:rsidR="002B56F5">
        <w:t>conoce</w:t>
      </w:r>
      <w:r w:rsidR="002B56F5" w:rsidRPr="002B56F5">
        <w:t xml:space="preserve"> sobre la experiencia del consumidor y la fidelización de marca en entornos digitales</w:t>
      </w:r>
      <w:r w:rsidRPr="00291E1C">
        <w:t xml:space="preserve">? </w:t>
      </w:r>
    </w:p>
    <w:p w14:paraId="3E097D8E" w14:textId="6E1439FD" w:rsidR="00291E1C" w:rsidRPr="00291E1C" w:rsidRDefault="00291E1C" w:rsidP="00291E1C">
      <w:pPr>
        <w:pStyle w:val="Textoindependiente"/>
        <w:jc w:val="both"/>
      </w:pPr>
      <w:r w:rsidRPr="00291E1C">
        <w:t xml:space="preserve">Para resolver este interrogante esencial, se establece nuestro Objetivo Principal: </w:t>
      </w:r>
      <w:r w:rsidR="002B56F5" w:rsidRPr="002B56F5">
        <w:t xml:space="preserve">Analizar lo que se conoce sobre la experiencia del consumidor y la fidelización de marca en </w:t>
      </w:r>
      <w:r w:rsidR="002B56F5" w:rsidRPr="002B56F5">
        <w:lastRenderedPageBreak/>
        <w:t>entornos digitales</w:t>
      </w:r>
      <w:r w:rsidRPr="00291E1C">
        <w:t>.</w:t>
      </w:r>
    </w:p>
    <w:p w14:paraId="72DEBBEA" w14:textId="77777777" w:rsidR="000961CB" w:rsidRDefault="000961CB" w:rsidP="00E76408">
      <w:pPr>
        <w:pStyle w:val="Textoindependiente"/>
        <w:jc w:val="both"/>
      </w:pPr>
    </w:p>
    <w:bookmarkEnd w:id="13"/>
    <w:p w14:paraId="6BBC01E1" w14:textId="77777777" w:rsidR="00AD6BB0" w:rsidRDefault="00AD6BB0" w:rsidP="00AB791E">
      <w:pPr>
        <w:pStyle w:val="Textoindependiente"/>
        <w:spacing w:before="1"/>
        <w:ind w:right="757" w:firstLine="710"/>
        <w:rPr>
          <w:highlight w:val="yellow"/>
        </w:rPr>
      </w:pPr>
    </w:p>
    <w:p w14:paraId="26A101D6" w14:textId="5AE6626B" w:rsidR="00AB791E" w:rsidRDefault="00AB791E" w:rsidP="003F0821">
      <w:pPr>
        <w:pStyle w:val="Textoindependiente"/>
        <w:rPr>
          <w:spacing w:val="-8"/>
          <w:highlight w:val="yellow"/>
        </w:rPr>
      </w:pPr>
    </w:p>
    <w:p w14:paraId="535A7764" w14:textId="10379CC3" w:rsidR="00075270" w:rsidRDefault="00075270" w:rsidP="003F0821">
      <w:pPr>
        <w:pStyle w:val="Textoindependiente"/>
        <w:rPr>
          <w:spacing w:val="-8"/>
          <w:highlight w:val="yellow"/>
        </w:rPr>
      </w:pPr>
    </w:p>
    <w:p w14:paraId="40859E16" w14:textId="610E8323" w:rsidR="00075270" w:rsidRDefault="00075270" w:rsidP="003F0821">
      <w:pPr>
        <w:pStyle w:val="Textoindependiente"/>
        <w:rPr>
          <w:spacing w:val="-8"/>
          <w:highlight w:val="yellow"/>
        </w:rPr>
      </w:pPr>
    </w:p>
    <w:p w14:paraId="04C9CB0E" w14:textId="4C7F9CCB" w:rsidR="00075270" w:rsidRDefault="00075270" w:rsidP="003F0821">
      <w:pPr>
        <w:pStyle w:val="Textoindependiente"/>
        <w:rPr>
          <w:spacing w:val="-8"/>
          <w:highlight w:val="yellow"/>
        </w:rPr>
      </w:pPr>
    </w:p>
    <w:p w14:paraId="56AF073D" w14:textId="13B593CB" w:rsidR="00075270" w:rsidRDefault="00075270" w:rsidP="003F0821">
      <w:pPr>
        <w:pStyle w:val="Textoindependiente"/>
        <w:rPr>
          <w:spacing w:val="-8"/>
          <w:highlight w:val="yellow"/>
        </w:rPr>
      </w:pPr>
    </w:p>
    <w:p w14:paraId="37F3840D" w14:textId="77777777" w:rsidR="00075270" w:rsidRDefault="00075270" w:rsidP="003F0821">
      <w:pPr>
        <w:pStyle w:val="Textoindependiente"/>
        <w:rPr>
          <w:spacing w:val="-8"/>
          <w:highlight w:val="yellow"/>
        </w:rPr>
      </w:pPr>
    </w:p>
    <w:p w14:paraId="09D03434" w14:textId="77777777" w:rsidR="003F0821" w:rsidRDefault="003F0821" w:rsidP="003F0821">
      <w:pPr>
        <w:pStyle w:val="Textoindependiente"/>
        <w:rPr>
          <w:spacing w:val="-8"/>
          <w:highlight w:val="yellow"/>
        </w:rPr>
      </w:pPr>
      <w:r>
        <w:rPr>
          <w:spacing w:val="-8"/>
          <w:highlight w:val="yellow"/>
        </w:rPr>
        <w:br w:type="page"/>
      </w:r>
    </w:p>
    <w:p w14:paraId="136F70FB" w14:textId="1C947067" w:rsidR="0058367E" w:rsidRPr="007C5AF8" w:rsidRDefault="00BD582A" w:rsidP="007C5AF8">
      <w:pPr>
        <w:pStyle w:val="Ttulo1"/>
      </w:pPr>
      <w:bookmarkStart w:id="14" w:name="_bookmark6"/>
      <w:bookmarkStart w:id="15" w:name="_Toc204239216"/>
      <w:bookmarkEnd w:id="14"/>
      <w:r w:rsidRPr="007C5AF8">
        <w:lastRenderedPageBreak/>
        <w:t xml:space="preserve">Capítulo 2. </w:t>
      </w:r>
      <w:r w:rsidR="00792119" w:rsidRPr="007C5AF8">
        <w:t>Método</w:t>
      </w:r>
      <w:bookmarkEnd w:id="15"/>
    </w:p>
    <w:p w14:paraId="59EB6067" w14:textId="32C57856" w:rsidR="00291E1C" w:rsidRPr="00291E1C" w:rsidRDefault="00291E1C" w:rsidP="00291E1C">
      <w:pPr>
        <w:pStyle w:val="Textoindependiente"/>
        <w:jc w:val="both"/>
      </w:pPr>
      <w:bookmarkStart w:id="16" w:name="_Hlk140571016"/>
      <w:r w:rsidRPr="00291E1C">
        <w:t>Este estudio se considera una revisión sistemática narrativa de la literatura científica, debido a su relevancia para compilar de forma ordenada y rigurosa la evidencia disponible.</w:t>
      </w:r>
      <w:r w:rsidR="0038375A">
        <w:t xml:space="preserve"> L</w:t>
      </w:r>
      <w:r w:rsidRPr="00291E1C">
        <w:t xml:space="preserve">o que asegura un proceso transparente y bien estructurado en la </w:t>
      </w:r>
      <w:proofErr w:type="spellStart"/>
      <w:r w:rsidRPr="00291E1C">
        <w:t>selección</w:t>
      </w:r>
      <w:r w:rsidR="0038375A">
        <w:t>L</w:t>
      </w:r>
      <w:proofErr w:type="spellEnd"/>
      <w:r w:rsidRPr="00291E1C">
        <w:t xml:space="preserve"> y análisis de los datos (Page et al., 2021).</w:t>
      </w:r>
    </w:p>
    <w:p w14:paraId="67E475EC" w14:textId="6ED43F46" w:rsidR="00075270" w:rsidRDefault="00075270" w:rsidP="000C0C0B">
      <w:pPr>
        <w:pStyle w:val="Textoindependiente"/>
        <w:ind w:firstLine="0"/>
        <w:jc w:val="both"/>
        <w:rPr>
          <w:b/>
          <w:bCs/>
        </w:rPr>
      </w:pPr>
      <w:r w:rsidRPr="00075270">
        <w:rPr>
          <w:b/>
          <w:bCs/>
        </w:rPr>
        <w:t>Criterios de Elegibilidad</w:t>
      </w:r>
    </w:p>
    <w:p w14:paraId="21ABF4F2" w14:textId="77A0297E" w:rsidR="00A67FA8" w:rsidRPr="00075270" w:rsidRDefault="00A67FA8" w:rsidP="000C0C0B">
      <w:pPr>
        <w:pStyle w:val="Textoindependiente"/>
        <w:ind w:firstLine="0"/>
        <w:jc w:val="both"/>
        <w:rPr>
          <w:b/>
          <w:bCs/>
        </w:rPr>
      </w:pPr>
      <w:r>
        <w:rPr>
          <w:b/>
          <w:bCs/>
        </w:rPr>
        <w:t xml:space="preserve">Criterios de </w:t>
      </w:r>
      <w:r w:rsidR="00A01978">
        <w:rPr>
          <w:b/>
          <w:bCs/>
        </w:rPr>
        <w:t>Inclusión</w:t>
      </w:r>
    </w:p>
    <w:p w14:paraId="1281C5DB" w14:textId="77777777" w:rsidR="00A8326F" w:rsidRPr="00A8326F" w:rsidRDefault="00A8326F" w:rsidP="00A8326F">
      <w:pPr>
        <w:pStyle w:val="Textoindependiente"/>
        <w:jc w:val="both"/>
      </w:pPr>
      <w:r w:rsidRPr="00A8326F">
        <w:t>Para llevar a cabo la revisión sistemática narrativa, se establecieron los siguientes criterios de inclusión: en primer lugar, se seleccionaron artículos de acceso libre para garantizar la replicabilidad del estudio y permitir que otros investigadores puedan consultar y verificar los resultados de manera abierta. En segundo lugar, se incluyeron solo artículos empíricos, ya que proporcionan datos verificables y aseguran el rigor científico, además de haber sido evaluados por pares. Además, se consideraron estudios publicados desde el año indicado en adelante con el objetivo de reflejar las dinámicas y tendencias actuales en las áreas de experiencia del consumidor, fidelización de marca y entornos digitales. Los artículos fueron seleccionados en inglés y español, para abarcar la mayor producción académica relevante, garantizando una cobertura amplia y representativa tanto a nivel global como regional. Finalmente, se incluyeron solo aquellos estudios que aborden las variables experiencia del consumidor, fidelización de marca y entornos digitales, ya que estas son fundamentales para responder directamente al problema de investigación y asegurar que se analicen los factores más relevantes en el contexto digital actual.</w:t>
      </w:r>
    </w:p>
    <w:p w14:paraId="5E7540E4" w14:textId="77777777" w:rsidR="00A8326F" w:rsidRDefault="00A8326F" w:rsidP="00A67FA8">
      <w:pPr>
        <w:pStyle w:val="Textoindependiente"/>
        <w:ind w:firstLine="0"/>
        <w:jc w:val="both"/>
        <w:rPr>
          <w:b/>
          <w:bCs/>
        </w:rPr>
      </w:pPr>
    </w:p>
    <w:p w14:paraId="4D083D05" w14:textId="5ADCAA11" w:rsidR="00A67FA8" w:rsidRDefault="00A67FA8" w:rsidP="00A67FA8">
      <w:pPr>
        <w:pStyle w:val="Textoindependiente"/>
        <w:ind w:firstLine="0"/>
        <w:jc w:val="both"/>
      </w:pPr>
      <w:r w:rsidRPr="00A67FA8">
        <w:rPr>
          <w:b/>
          <w:bCs/>
        </w:rPr>
        <w:t>Criterios de Exclusión</w:t>
      </w:r>
    </w:p>
    <w:p w14:paraId="756CFFBE" w14:textId="42EBFA62" w:rsidR="00A8326F" w:rsidRPr="00A8326F" w:rsidRDefault="00A67FA8" w:rsidP="00A8326F">
      <w:pPr>
        <w:pStyle w:val="Textoindependiente"/>
        <w:tabs>
          <w:tab w:val="left" w:pos="1260"/>
        </w:tabs>
      </w:pPr>
      <w:r w:rsidRPr="00291E1C">
        <w:lastRenderedPageBreak/>
        <w:tab/>
      </w:r>
      <w:r w:rsidR="00A8326F" w:rsidRPr="00A8326F">
        <w:t>Para una selección inicial más adecuada de los artículos, se decidió excluir de la búsqueda aquellos publicados antes de 2020. Fueron eliminados tanto los estudios repetidos, artículos con bibliografía mal citada, documentos que están en modo de pago. Asimismo, se dejarán fuera de la búsqueda inicial los estudios de carácter meramente teórico, revisiones, notas, editoriales y cartas al editor. Se excluirán, de manera definitiva, documentos aún en prensa, protocolos y simples resúmenes, los cuales quedarán excluidos completamente del riguroso análisis científico que fundamenta esta extensa investigación sobre los medios digitales actuales.</w:t>
      </w:r>
    </w:p>
    <w:p w14:paraId="20CAE2EA" w14:textId="3742199A" w:rsidR="00075270" w:rsidRPr="00075270" w:rsidRDefault="00075270" w:rsidP="000C0C0B">
      <w:pPr>
        <w:pStyle w:val="Textoindependiente"/>
        <w:ind w:firstLine="0"/>
        <w:jc w:val="both"/>
        <w:rPr>
          <w:b/>
          <w:bCs/>
        </w:rPr>
      </w:pPr>
      <w:r w:rsidRPr="00075270">
        <w:rPr>
          <w:b/>
          <w:bCs/>
        </w:rPr>
        <w:t>Fuentes de Información</w:t>
      </w:r>
    </w:p>
    <w:p w14:paraId="4F81D69D" w14:textId="77777777" w:rsidR="00A8326F" w:rsidRDefault="00A8326F" w:rsidP="00A8326F">
      <w:pPr>
        <w:pStyle w:val="Textoindependiente"/>
        <w:jc w:val="both"/>
      </w:pPr>
      <w:r w:rsidRPr="00A8326F">
        <w:t xml:space="preserve">Para la selección exhaustiva de artículos científicos, se utilizaron las plataformas de las bases de datos multidisciplinarias </w:t>
      </w:r>
      <w:proofErr w:type="spellStart"/>
      <w:r w:rsidRPr="00A8326F">
        <w:t>Scopus</w:t>
      </w:r>
      <w:proofErr w:type="spellEnd"/>
      <w:r w:rsidRPr="00A8326F">
        <w:t xml:space="preserve"> y Web </w:t>
      </w:r>
      <w:proofErr w:type="spellStart"/>
      <w:r w:rsidRPr="00A8326F">
        <w:t>of</w:t>
      </w:r>
      <w:proofErr w:type="spellEnd"/>
      <w:r w:rsidRPr="00A8326F">
        <w:t xml:space="preserve"> </w:t>
      </w:r>
      <w:proofErr w:type="spellStart"/>
      <w:r w:rsidRPr="00A8326F">
        <w:t>Science</w:t>
      </w:r>
      <w:proofErr w:type="spellEnd"/>
      <w:r w:rsidRPr="00A8326F">
        <w:t xml:space="preserve"> (</w:t>
      </w:r>
      <w:proofErr w:type="spellStart"/>
      <w:r w:rsidRPr="00A8326F">
        <w:t>WoS</w:t>
      </w:r>
      <w:proofErr w:type="spellEnd"/>
      <w:r w:rsidRPr="00A8326F">
        <w:t xml:space="preserve">), junto con las bases de datos secundarias SciELO. </w:t>
      </w:r>
      <w:proofErr w:type="spellStart"/>
      <w:r w:rsidRPr="00A8326F">
        <w:t>Scopus</w:t>
      </w:r>
      <w:proofErr w:type="spellEnd"/>
      <w:r w:rsidRPr="00A8326F">
        <w:t xml:space="preserve"> y </w:t>
      </w:r>
      <w:proofErr w:type="spellStart"/>
      <w:r w:rsidRPr="00A8326F">
        <w:t>WoS</w:t>
      </w:r>
      <w:proofErr w:type="spellEnd"/>
      <w:r w:rsidRPr="00A8326F">
        <w:t xml:space="preserve"> fueron seleccionadas debido a su reconocimiento global y constante actualización, siendo las principales fuentes de literatura académica revisada por pares en inglés, especialmente en áreas como negocios y ciencias sociales. Estas plataformas cuentan con herramientas tecnológicas avanzadas que permiten analizar y visualizar la investigación científica publicada en diversas revistas de alto impacto, lo que garantiza una alta fiabilidad en los resultados sobre experiencias del consumidor. Por otro lado, SciELO fue incluida como fuente en español, reconocida por su amplia cobertura de investigaciones en América Latina, lo que enriquece el enfoque regional del estudio. Todas las búsquedas de información fueron realizadas el 9 de abril de 2026, asegurando la actualidad de los datos obtenidos.</w:t>
      </w:r>
    </w:p>
    <w:p w14:paraId="22237EC9" w14:textId="77777777" w:rsidR="00C7777E" w:rsidRPr="00A8326F" w:rsidRDefault="00C7777E" w:rsidP="00A8326F">
      <w:pPr>
        <w:pStyle w:val="Textoindependiente"/>
        <w:jc w:val="both"/>
      </w:pPr>
    </w:p>
    <w:p w14:paraId="4E8B0025" w14:textId="40319381" w:rsidR="00075270" w:rsidRPr="00075270" w:rsidRDefault="00075270" w:rsidP="000C0C0B">
      <w:pPr>
        <w:pStyle w:val="Textoindependiente"/>
        <w:ind w:firstLine="0"/>
        <w:jc w:val="both"/>
        <w:rPr>
          <w:b/>
          <w:bCs/>
        </w:rPr>
      </w:pPr>
      <w:r w:rsidRPr="00075270">
        <w:rPr>
          <w:b/>
          <w:bCs/>
        </w:rPr>
        <w:t xml:space="preserve">Estrategias </w:t>
      </w:r>
      <w:r>
        <w:rPr>
          <w:b/>
          <w:bCs/>
        </w:rPr>
        <w:t>d</w:t>
      </w:r>
      <w:r w:rsidRPr="00075270">
        <w:rPr>
          <w:b/>
          <w:bCs/>
        </w:rPr>
        <w:t>e Búsqueda</w:t>
      </w:r>
    </w:p>
    <w:p w14:paraId="4C9A703C" w14:textId="5BD09E30" w:rsidR="00C7777E" w:rsidRDefault="00C7777E" w:rsidP="00C7777E">
      <w:pPr>
        <w:pStyle w:val="Textoindependiente"/>
        <w:jc w:val="both"/>
      </w:pPr>
      <w:r w:rsidRPr="00C7777E">
        <w:lastRenderedPageBreak/>
        <w:t xml:space="preserve">Para desarrollar una búsqueda estratégica y obtener artículos científicos de alta calidad, se utilizaron palabras clave en español e inglés: “entornos digitales”, “experiencia del consumidor” y “fidelización de marca”, junto con sus equivalentes en inglés: “digital </w:t>
      </w:r>
      <w:proofErr w:type="spellStart"/>
      <w:r w:rsidRPr="00C7777E">
        <w:t>environments</w:t>
      </w:r>
      <w:proofErr w:type="spellEnd"/>
      <w:r w:rsidRPr="00C7777E">
        <w:t>”, “</w:t>
      </w:r>
      <w:proofErr w:type="spellStart"/>
      <w:r w:rsidRPr="00C7777E">
        <w:t>consumer</w:t>
      </w:r>
      <w:proofErr w:type="spellEnd"/>
      <w:r w:rsidRPr="00C7777E">
        <w:t xml:space="preserve"> </w:t>
      </w:r>
      <w:proofErr w:type="spellStart"/>
      <w:r w:rsidRPr="00C7777E">
        <w:t>experience</w:t>
      </w:r>
      <w:proofErr w:type="spellEnd"/>
      <w:r w:rsidRPr="00C7777E">
        <w:t>” y “</w:t>
      </w:r>
      <w:proofErr w:type="spellStart"/>
      <w:r w:rsidRPr="00C7777E">
        <w:t>brand</w:t>
      </w:r>
      <w:proofErr w:type="spellEnd"/>
      <w:r w:rsidRPr="00C7777E">
        <w:t xml:space="preserve"> </w:t>
      </w:r>
      <w:proofErr w:type="spellStart"/>
      <w:r w:rsidRPr="00C7777E">
        <w:t>loyalty</w:t>
      </w:r>
      <w:proofErr w:type="spellEnd"/>
      <w:r w:rsidRPr="00C7777E">
        <w:t xml:space="preserve">”. Además, se incorporaron sinónimos como “plataformas virtuales”, “satisfacción del cliente” y “retención de clientes”. </w:t>
      </w:r>
    </w:p>
    <w:p w14:paraId="27717644" w14:textId="6646FE66" w:rsidR="00C7777E" w:rsidRPr="00C7777E" w:rsidRDefault="00C7777E" w:rsidP="00C7777E">
      <w:pPr>
        <w:pStyle w:val="Textoindependiente"/>
        <w:jc w:val="both"/>
      </w:pPr>
      <w:r w:rsidRPr="00C7777E">
        <w:t>Las cadenas de búsqueda se estructuraron utilizando operadores booleanos como AND (para combinar conceptos) y OR (para incluir sinónimos), además de comillas para términos exactos y paréntesis para agrupar. La búsqueda se limitó a los campos de título, resumen y palabras clave, y se aplicaron filtros por periodo (2020–2026), tipo de documento (artículos) e idioma (inglés y español).</w:t>
      </w:r>
    </w:p>
    <w:p w14:paraId="46D2D330" w14:textId="77777777" w:rsidR="00C7777E" w:rsidRPr="00C7777E" w:rsidRDefault="00C7777E" w:rsidP="00C7777E">
      <w:pPr>
        <w:pStyle w:val="Textoindependiente"/>
        <w:jc w:val="both"/>
      </w:pPr>
      <w:r w:rsidRPr="00C7777E">
        <w:t xml:space="preserve">Para bases de datos en inglés como </w:t>
      </w:r>
      <w:proofErr w:type="spellStart"/>
      <w:r w:rsidRPr="00C7777E">
        <w:t>Scopus</w:t>
      </w:r>
      <w:proofErr w:type="spellEnd"/>
      <w:r w:rsidRPr="00C7777E">
        <w:t xml:space="preserve"> y Web </w:t>
      </w:r>
      <w:proofErr w:type="spellStart"/>
      <w:r w:rsidRPr="00C7777E">
        <w:t>of</w:t>
      </w:r>
      <w:proofErr w:type="spellEnd"/>
      <w:r w:rsidRPr="00C7777E">
        <w:t xml:space="preserve"> </w:t>
      </w:r>
      <w:proofErr w:type="spellStart"/>
      <w:r w:rsidRPr="00C7777E">
        <w:t>Science</w:t>
      </w:r>
      <w:proofErr w:type="spellEnd"/>
      <w:r w:rsidRPr="00C7777E">
        <w:t xml:space="preserve"> (</w:t>
      </w:r>
      <w:proofErr w:type="spellStart"/>
      <w:r w:rsidRPr="00C7777E">
        <w:t>WoS</w:t>
      </w:r>
      <w:proofErr w:type="spellEnd"/>
      <w:r w:rsidRPr="00C7777E">
        <w:t>), la ecuación de búsqueda fue:</w:t>
      </w:r>
      <w:r w:rsidRPr="00C7777E">
        <w:br/>
        <w:t xml:space="preserve">(“Digital </w:t>
      </w:r>
      <w:proofErr w:type="spellStart"/>
      <w:r w:rsidRPr="00C7777E">
        <w:t>environments</w:t>
      </w:r>
      <w:proofErr w:type="spellEnd"/>
      <w:r w:rsidRPr="00C7777E">
        <w:t xml:space="preserve">” OR “virtual </w:t>
      </w:r>
      <w:proofErr w:type="spellStart"/>
      <w:r w:rsidRPr="00C7777E">
        <w:t>platforms</w:t>
      </w:r>
      <w:proofErr w:type="spellEnd"/>
      <w:r w:rsidRPr="00C7777E">
        <w:t>”) AND (“</w:t>
      </w:r>
      <w:proofErr w:type="spellStart"/>
      <w:r w:rsidRPr="00C7777E">
        <w:t>Consumer</w:t>
      </w:r>
      <w:proofErr w:type="spellEnd"/>
      <w:r w:rsidRPr="00C7777E">
        <w:t xml:space="preserve"> </w:t>
      </w:r>
      <w:proofErr w:type="spellStart"/>
      <w:r w:rsidRPr="00C7777E">
        <w:t>experience</w:t>
      </w:r>
      <w:proofErr w:type="spellEnd"/>
      <w:r w:rsidRPr="00C7777E">
        <w:t>” OR “</w:t>
      </w:r>
      <w:proofErr w:type="spellStart"/>
      <w:r w:rsidRPr="00C7777E">
        <w:t>customer</w:t>
      </w:r>
      <w:proofErr w:type="spellEnd"/>
      <w:r w:rsidRPr="00C7777E">
        <w:t xml:space="preserve"> </w:t>
      </w:r>
      <w:proofErr w:type="spellStart"/>
      <w:r w:rsidRPr="00C7777E">
        <w:t>satisfaction</w:t>
      </w:r>
      <w:proofErr w:type="spellEnd"/>
      <w:r w:rsidRPr="00C7777E">
        <w:t xml:space="preserve">”) AND (“Brand </w:t>
      </w:r>
      <w:proofErr w:type="spellStart"/>
      <w:r w:rsidRPr="00C7777E">
        <w:t>loyalty</w:t>
      </w:r>
      <w:proofErr w:type="spellEnd"/>
      <w:r w:rsidRPr="00C7777E">
        <w:t>” OR “</w:t>
      </w:r>
      <w:proofErr w:type="spellStart"/>
      <w:r w:rsidRPr="00C7777E">
        <w:t>customer</w:t>
      </w:r>
      <w:proofErr w:type="spellEnd"/>
      <w:r w:rsidRPr="00C7777E">
        <w:t xml:space="preserve"> </w:t>
      </w:r>
      <w:proofErr w:type="spellStart"/>
      <w:r w:rsidRPr="00C7777E">
        <w:t>retention</w:t>
      </w:r>
      <w:proofErr w:type="spellEnd"/>
      <w:r w:rsidRPr="00C7777E">
        <w:t>”).</w:t>
      </w:r>
    </w:p>
    <w:p w14:paraId="20FCB307" w14:textId="77777777" w:rsidR="00C7777E" w:rsidRPr="00C7777E" w:rsidRDefault="00C7777E" w:rsidP="00C7777E">
      <w:pPr>
        <w:pStyle w:val="Textoindependiente"/>
        <w:jc w:val="both"/>
      </w:pPr>
      <w:r w:rsidRPr="00C7777E">
        <w:t>En el caso de bases en español como SciELO y Redalyc, la ecuación adaptada fue:</w:t>
      </w:r>
      <w:r w:rsidRPr="00C7777E">
        <w:br/>
        <w:t>(“Entornos digitales” OR “plataformas virtuales”) AND (“Experiencia del consumidor” OR “satisfacción del cliente”) AND (“Fidelización de marca” OR “retención de clientes”).</w:t>
      </w:r>
    </w:p>
    <w:p w14:paraId="793746AC" w14:textId="5D4B2904" w:rsidR="00075270" w:rsidRDefault="00B513D7" w:rsidP="000C0C0B">
      <w:pPr>
        <w:pStyle w:val="Textoindependiente"/>
        <w:jc w:val="both"/>
      </w:pPr>
      <w:r>
        <w:t>.</w:t>
      </w:r>
    </w:p>
    <w:p w14:paraId="64597AEF" w14:textId="3A7A3C1B" w:rsidR="000C0C0B" w:rsidRDefault="000C0C0B" w:rsidP="000C0C0B">
      <w:pPr>
        <w:pStyle w:val="Textoindependiente"/>
        <w:jc w:val="both"/>
      </w:pPr>
    </w:p>
    <w:p w14:paraId="7E60A8E1" w14:textId="1D62F0FF" w:rsidR="00484661" w:rsidRDefault="00484661" w:rsidP="000C0C0B">
      <w:pPr>
        <w:pStyle w:val="Textoindependiente"/>
        <w:jc w:val="both"/>
      </w:pPr>
    </w:p>
    <w:p w14:paraId="2DAA1566" w14:textId="7D051C8F" w:rsidR="00075270" w:rsidRDefault="00075270" w:rsidP="00C7777E">
      <w:pPr>
        <w:pStyle w:val="Textoindependiente"/>
        <w:ind w:firstLine="0"/>
      </w:pPr>
    </w:p>
    <w:p w14:paraId="2F99CFD6" w14:textId="511A750E" w:rsidR="00AB791E" w:rsidRPr="007C5AF8" w:rsidRDefault="00463BF9" w:rsidP="007C5AF8">
      <w:pPr>
        <w:pStyle w:val="Ttulo1"/>
      </w:pPr>
      <w:bookmarkStart w:id="17" w:name="_bookmark7"/>
      <w:bookmarkStart w:id="18" w:name="_bookmark9"/>
      <w:bookmarkStart w:id="19" w:name="_Toc204239217"/>
      <w:bookmarkStart w:id="20" w:name="_Hlk134939383"/>
      <w:bookmarkEnd w:id="16"/>
      <w:bookmarkEnd w:id="17"/>
      <w:bookmarkEnd w:id="18"/>
      <w:r w:rsidRPr="007C5AF8">
        <w:t xml:space="preserve">Capítulo 3. </w:t>
      </w:r>
      <w:r w:rsidR="00671CFA" w:rsidRPr="007C5AF8">
        <w:t>Resultados</w:t>
      </w:r>
      <w:bookmarkEnd w:id="19"/>
    </w:p>
    <w:p w14:paraId="067FCD8E" w14:textId="517E0832" w:rsidR="002B6133" w:rsidRDefault="000C0C0B" w:rsidP="000C0C0B">
      <w:pPr>
        <w:pStyle w:val="Textoindependiente"/>
        <w:spacing w:before="1"/>
        <w:ind w:right="-42"/>
        <w:jc w:val="both"/>
      </w:pPr>
      <w:r w:rsidRPr="000C0C0B">
        <w:lastRenderedPageBreak/>
        <w:t>Una tabla explicativa facilita la visualización de la información recopilada de manera ordenada. En caso se decida redactar los resultados de manera narrativa, ésta debe ser en prosa. Es importante además resaltar los puntos clave en cada referencia utilizada</w:t>
      </w:r>
      <w:r>
        <w:t xml:space="preserve"> (ver tabla 2 del </w:t>
      </w:r>
      <w:r w:rsidR="00484661">
        <w:t>Primer</w:t>
      </w:r>
      <w:r>
        <w:t xml:space="preserve"> ejemplo de R</w:t>
      </w:r>
      <w:r w:rsidR="000C5D84">
        <w:t>S</w:t>
      </w:r>
      <w:r>
        <w:t>N)</w:t>
      </w:r>
      <w:r w:rsidR="002447D9">
        <w:t>.</w:t>
      </w:r>
    </w:p>
    <w:p w14:paraId="2D1B6F4B" w14:textId="0014D01E" w:rsidR="002447D9" w:rsidRPr="000C0C0B" w:rsidRDefault="002447D9" w:rsidP="000C0C0B">
      <w:pPr>
        <w:pStyle w:val="Textoindependiente"/>
        <w:spacing w:before="1"/>
        <w:ind w:right="-42"/>
        <w:jc w:val="both"/>
      </w:pPr>
      <w:r>
        <w:t xml:space="preserve">En caso se desee realizar los resultados de manera narrativa, se deben poner subtítulos por cada característica que considere el autor como parte de su revisión (Ver página 2 desde el subtítulo 2.1 al 2.6 del </w:t>
      </w:r>
      <w:r w:rsidR="00484661">
        <w:t>Segundo</w:t>
      </w:r>
      <w:r>
        <w:t xml:space="preserve"> Ejemplo de R</w:t>
      </w:r>
      <w:r w:rsidR="005A4FE3">
        <w:t>S</w:t>
      </w:r>
      <w:r>
        <w:t>N)</w:t>
      </w:r>
    </w:p>
    <w:p w14:paraId="07E566CB" w14:textId="77777777" w:rsidR="003940D6" w:rsidRDefault="003940D6" w:rsidP="003940D6">
      <w:pPr>
        <w:pStyle w:val="Textoindependiente"/>
        <w:rPr>
          <w:spacing w:val="-8"/>
          <w:highlight w:val="yellow"/>
        </w:rPr>
      </w:pPr>
      <w:r>
        <w:rPr>
          <w:spacing w:val="-8"/>
          <w:highlight w:val="yellow"/>
        </w:rPr>
        <w:br w:type="page"/>
      </w:r>
    </w:p>
    <w:p w14:paraId="6FFD758F" w14:textId="5BBE5ED3" w:rsidR="002B6133" w:rsidRPr="007C5AF8" w:rsidRDefault="003940D6" w:rsidP="007C5AF8">
      <w:pPr>
        <w:pStyle w:val="Ttulo1"/>
      </w:pPr>
      <w:bookmarkStart w:id="21" w:name="_Toc204239218"/>
      <w:r w:rsidRPr="007C5AF8">
        <w:lastRenderedPageBreak/>
        <w:t xml:space="preserve">Capítulo </w:t>
      </w:r>
      <w:r w:rsidR="007C5AF8">
        <w:t>4</w:t>
      </w:r>
      <w:r w:rsidRPr="007C5AF8">
        <w:t xml:space="preserve">. </w:t>
      </w:r>
      <w:r w:rsidR="00671CFA" w:rsidRPr="007C5AF8">
        <w:t>Discusión</w:t>
      </w:r>
      <w:bookmarkEnd w:id="21"/>
    </w:p>
    <w:p w14:paraId="3B7D8627" w14:textId="7F30F660" w:rsidR="004146A2" w:rsidRDefault="0089003E" w:rsidP="008041F4">
      <w:pPr>
        <w:pStyle w:val="Textoindependiente"/>
        <w:jc w:val="both"/>
      </w:pPr>
      <w:bookmarkStart w:id="22" w:name="_Hlk134945273"/>
      <w:r w:rsidRPr="0089003E">
        <w:t xml:space="preserve">Se hace un análisis de la información obtenida, comparando los hallazgos entre sí como por ejemplo cuál es la prevalencia de las variables y en qué edad, población o contexto es más fuerte, cuál es el nivel de intensidad de relación más alto entre las variables y </w:t>
      </w:r>
      <w:proofErr w:type="gramStart"/>
      <w:r w:rsidRPr="0089003E">
        <w:t>bajo qué condiciones</w:t>
      </w:r>
      <w:proofErr w:type="gramEnd"/>
      <w:r w:rsidRPr="0089003E">
        <w:t xml:space="preserve"> se ha presentado, cuáles son los factores que intervienen o se asocian con una variable, etc.</w:t>
      </w:r>
    </w:p>
    <w:p w14:paraId="7E910379" w14:textId="06FA7F4C" w:rsidR="00F8778F" w:rsidRPr="00F8778F" w:rsidRDefault="00F8778F" w:rsidP="002E58EB">
      <w:pPr>
        <w:pStyle w:val="Textoindependiente"/>
        <w:ind w:firstLine="0"/>
        <w:rPr>
          <w:b/>
          <w:bCs/>
        </w:rPr>
      </w:pPr>
      <w:r w:rsidRPr="00F8778F">
        <w:rPr>
          <w:b/>
          <w:bCs/>
        </w:rPr>
        <w:t>Conclusiones</w:t>
      </w:r>
    </w:p>
    <w:p w14:paraId="3558A119" w14:textId="4186B6CD" w:rsidR="003940D6" w:rsidRDefault="008041F4" w:rsidP="008041F4">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003940D6" w:rsidRPr="003940D6">
        <w:rPr>
          <w:spacing w:val="-8"/>
          <w:highlight w:val="yellow"/>
        </w:rPr>
        <w:t xml:space="preserve"> </w:t>
      </w:r>
      <w:r w:rsidR="003940D6">
        <w:rPr>
          <w:spacing w:val="-8"/>
          <w:highlight w:val="yellow"/>
        </w:rPr>
        <w:br w:type="page"/>
      </w:r>
    </w:p>
    <w:p w14:paraId="7C725450" w14:textId="268336D3" w:rsidR="006A5DB0" w:rsidRPr="00671CFA" w:rsidRDefault="00671CFA" w:rsidP="00F8778F">
      <w:pPr>
        <w:pStyle w:val="Ttulo1"/>
        <w:jc w:val="both"/>
        <w:rPr>
          <w:szCs w:val="28"/>
        </w:rPr>
      </w:pPr>
      <w:bookmarkStart w:id="23" w:name="_Toc204239219"/>
      <w:bookmarkEnd w:id="22"/>
      <w:r w:rsidRPr="00671CFA">
        <w:rPr>
          <w:szCs w:val="28"/>
        </w:rPr>
        <w:lastRenderedPageBreak/>
        <w:t>Referencias</w:t>
      </w:r>
      <w:bookmarkEnd w:id="23"/>
    </w:p>
    <w:bookmarkEnd w:id="20"/>
    <w:p w14:paraId="10C05CE3" w14:textId="77777777" w:rsidR="00866686" w:rsidRPr="0038375A" w:rsidRDefault="00866686" w:rsidP="00C7777E">
      <w:pPr>
        <w:pStyle w:val="Textoindependiente"/>
        <w:spacing w:before="0" w:after="0"/>
        <w:ind w:left="720" w:hanging="720"/>
        <w:jc w:val="both"/>
        <w:rPr>
          <w:lang w:val="en-US"/>
        </w:rPr>
      </w:pPr>
      <w:r w:rsidRPr="00C7777E">
        <w:t xml:space="preserve">Ali, N., &amp; </w:t>
      </w:r>
      <w:proofErr w:type="spellStart"/>
      <w:r w:rsidRPr="00C7777E">
        <w:t>Alfayez</w:t>
      </w:r>
      <w:proofErr w:type="spellEnd"/>
      <w:r w:rsidRPr="00C7777E">
        <w:t xml:space="preserve">, M. (2024). </w:t>
      </w:r>
      <w:r w:rsidRPr="0038375A">
        <w:rPr>
          <w:lang w:val="en-US"/>
        </w:rPr>
        <w:t xml:space="preserve">The impact of E-CRM on customer loyalty in the airline industry: The mediating role of customer experience. </w:t>
      </w:r>
      <w:r w:rsidRPr="0038375A">
        <w:rPr>
          <w:i/>
          <w:iCs/>
          <w:lang w:val="en-US"/>
        </w:rPr>
        <w:t>Cogent Business &amp; Management, 11</w:t>
      </w:r>
      <w:r w:rsidRPr="0038375A">
        <w:rPr>
          <w:lang w:val="en-US"/>
        </w:rPr>
        <w:t xml:space="preserve">(1), Article 2364838. </w:t>
      </w:r>
      <w:hyperlink r:id="rId9" w:tgtFrame="_new" w:history="1">
        <w:r w:rsidRPr="0038375A">
          <w:rPr>
            <w:rStyle w:val="Hipervnculo"/>
            <w:lang w:val="en-US"/>
          </w:rPr>
          <w:t>https://doi.org/10.1080/23311975.2024.2364838</w:t>
        </w:r>
      </w:hyperlink>
    </w:p>
    <w:p w14:paraId="3EB82FC8" w14:textId="77777777" w:rsidR="00866686" w:rsidRPr="0038375A" w:rsidRDefault="00866686" w:rsidP="00866686">
      <w:pPr>
        <w:pStyle w:val="Textoindependiente"/>
        <w:spacing w:before="0" w:after="0"/>
        <w:ind w:left="720" w:hanging="720"/>
        <w:jc w:val="both"/>
        <w:rPr>
          <w:lang w:val="en-US"/>
        </w:rPr>
      </w:pPr>
      <w:r w:rsidRPr="0038375A">
        <w:rPr>
          <w:lang w:val="en-US"/>
        </w:rPr>
        <w:t xml:space="preserve">Alim, M. A., Shafiullah, M., Sazid, Y. K., Datta, K., Huq, M. F.-U., Akib, A. A., &amp; Hossain, M. J. (2025). OMNI-channel customer experience and advancing customer loyalty. </w:t>
      </w:r>
      <w:r w:rsidRPr="0038375A">
        <w:rPr>
          <w:i/>
          <w:iCs/>
          <w:lang w:val="en-US"/>
        </w:rPr>
        <w:t>Asian Academy of Management Journal, 30</w:t>
      </w:r>
      <w:r w:rsidRPr="0038375A">
        <w:rPr>
          <w:lang w:val="en-US"/>
        </w:rPr>
        <w:t>(1), 45–62. https://doi.org/10.21315/aamj2025.30.1.4</w:t>
      </w:r>
    </w:p>
    <w:p w14:paraId="3B0DD1CA" w14:textId="77777777" w:rsidR="00866686" w:rsidRPr="0038375A" w:rsidRDefault="00866686" w:rsidP="00866686">
      <w:pPr>
        <w:pStyle w:val="Textoindependiente"/>
        <w:spacing w:before="0" w:after="0"/>
        <w:ind w:left="720" w:hanging="720"/>
        <w:jc w:val="both"/>
        <w:rPr>
          <w:lang w:val="en-US"/>
        </w:rPr>
      </w:pPr>
      <w:proofErr w:type="spellStart"/>
      <w:r w:rsidRPr="00866686">
        <w:t>Anggara</w:t>
      </w:r>
      <w:proofErr w:type="spellEnd"/>
      <w:r w:rsidRPr="00866686">
        <w:t xml:space="preserve">, A. K. D., </w:t>
      </w:r>
      <w:proofErr w:type="spellStart"/>
      <w:r w:rsidRPr="00866686">
        <w:t>Ratnasari</w:t>
      </w:r>
      <w:proofErr w:type="spellEnd"/>
      <w:r w:rsidRPr="00866686">
        <w:t xml:space="preserve">, R. T., &amp; Osman, I. (2023). </w:t>
      </w:r>
      <w:r w:rsidRPr="0038375A">
        <w:rPr>
          <w:lang w:val="en-US"/>
        </w:rPr>
        <w:t xml:space="preserve">How store attributes affect customer experience, brand love and brand loyalty. </w:t>
      </w:r>
      <w:r w:rsidRPr="0038375A">
        <w:rPr>
          <w:i/>
          <w:iCs/>
          <w:lang w:val="en-US"/>
        </w:rPr>
        <w:t>Journal of Islamic Marketing, 14</w:t>
      </w:r>
      <w:r w:rsidRPr="0038375A">
        <w:rPr>
          <w:lang w:val="en-US"/>
        </w:rPr>
        <w:t xml:space="preserve">(3), 1224–1241. </w:t>
      </w:r>
      <w:hyperlink r:id="rId10" w:tgtFrame="_new" w:history="1">
        <w:r w:rsidRPr="0038375A">
          <w:rPr>
            <w:rStyle w:val="Hipervnculo"/>
            <w:lang w:val="en-US"/>
          </w:rPr>
          <w:t>https://doi.org/10.1108/JIMA-01-2022-0002</w:t>
        </w:r>
      </w:hyperlink>
    </w:p>
    <w:p w14:paraId="1C360CD3" w14:textId="77777777" w:rsidR="00866686" w:rsidRPr="0038375A" w:rsidRDefault="00866686" w:rsidP="00866686">
      <w:pPr>
        <w:pStyle w:val="Textoindependiente"/>
        <w:spacing w:before="0" w:after="0"/>
        <w:ind w:left="720" w:hanging="720"/>
        <w:jc w:val="both"/>
        <w:rPr>
          <w:lang w:val="en-US"/>
        </w:rPr>
      </w:pPr>
      <w:r w:rsidRPr="0038375A">
        <w:rPr>
          <w:lang w:val="en-US"/>
        </w:rPr>
        <w:t xml:space="preserve">Arora, P., &amp; Banerji, R. (2024). The impact of digital banking service quality on customer loyalty: An interplay between customer experience and customer satisfaction. </w:t>
      </w:r>
      <w:r w:rsidRPr="0038375A">
        <w:rPr>
          <w:i/>
          <w:iCs/>
          <w:lang w:val="en-US"/>
        </w:rPr>
        <w:t>Asian Economic and Financial Review, 14</w:t>
      </w:r>
      <w:r w:rsidRPr="0038375A">
        <w:rPr>
          <w:lang w:val="en-US"/>
        </w:rPr>
        <w:t>(9), 5199–5212. https://doi.org/10.55493/5002.v14i9.5199</w:t>
      </w:r>
    </w:p>
    <w:p w14:paraId="6096B758" w14:textId="77777777" w:rsidR="00866686" w:rsidRPr="00C7777E" w:rsidRDefault="00866686" w:rsidP="00C7777E">
      <w:pPr>
        <w:pStyle w:val="Textoindependiente"/>
        <w:spacing w:before="0" w:after="0"/>
        <w:ind w:left="720" w:hanging="720"/>
        <w:jc w:val="both"/>
      </w:pPr>
      <w:r w:rsidRPr="0038375A">
        <w:rPr>
          <w:lang w:val="en-US"/>
        </w:rPr>
        <w:t xml:space="preserve">Badawi, B., &amp; </w:t>
      </w:r>
      <w:proofErr w:type="spellStart"/>
      <w:r w:rsidRPr="0038375A">
        <w:rPr>
          <w:lang w:val="en-US"/>
        </w:rPr>
        <w:t>Muafi</w:t>
      </w:r>
      <w:proofErr w:type="spellEnd"/>
      <w:r w:rsidRPr="0038375A">
        <w:rPr>
          <w:lang w:val="en-US"/>
        </w:rPr>
        <w:t xml:space="preserve">, M. (2024). Boosting customer loyalty through marketing distribution, customer experience management and customer relationship management. </w:t>
      </w:r>
      <w:r w:rsidRPr="00C7777E">
        <w:rPr>
          <w:i/>
          <w:iCs/>
        </w:rPr>
        <w:t xml:space="preserve">Acta </w:t>
      </w:r>
      <w:proofErr w:type="spellStart"/>
      <w:r w:rsidRPr="00C7777E">
        <w:rPr>
          <w:i/>
          <w:iCs/>
        </w:rPr>
        <w:t>Logistica</w:t>
      </w:r>
      <w:proofErr w:type="spellEnd"/>
      <w:r w:rsidRPr="00C7777E">
        <w:rPr>
          <w:i/>
          <w:iCs/>
        </w:rPr>
        <w:t>, 11</w:t>
      </w:r>
      <w:r w:rsidRPr="00C7777E">
        <w:t xml:space="preserve">(3), 441–449. </w:t>
      </w:r>
      <w:hyperlink r:id="rId11" w:tgtFrame="_new" w:history="1">
        <w:r w:rsidRPr="00C7777E">
          <w:rPr>
            <w:rStyle w:val="Hipervnculo"/>
          </w:rPr>
          <w:t>https://doi.org/10.22306/al.v11i3.530</w:t>
        </w:r>
      </w:hyperlink>
    </w:p>
    <w:p w14:paraId="110489C2" w14:textId="77777777" w:rsidR="00866686" w:rsidRPr="0038375A" w:rsidRDefault="00866686" w:rsidP="00C7777E">
      <w:pPr>
        <w:pStyle w:val="Textoindependiente"/>
        <w:spacing w:before="0" w:after="0"/>
        <w:ind w:left="720" w:hanging="720"/>
        <w:jc w:val="both"/>
        <w:rPr>
          <w:lang w:val="en-US"/>
        </w:rPr>
      </w:pPr>
      <w:proofErr w:type="spellStart"/>
      <w:r w:rsidRPr="00C7777E">
        <w:t>Bruckberger</w:t>
      </w:r>
      <w:proofErr w:type="spellEnd"/>
      <w:r w:rsidRPr="00C7777E">
        <w:t xml:space="preserve">, G., Fuchs, C., </w:t>
      </w:r>
      <w:proofErr w:type="spellStart"/>
      <w:r w:rsidRPr="00C7777E">
        <w:t>Schreier</w:t>
      </w:r>
      <w:proofErr w:type="spellEnd"/>
      <w:r w:rsidRPr="00C7777E">
        <w:t xml:space="preserve">, M., &amp; Van </w:t>
      </w:r>
      <w:proofErr w:type="spellStart"/>
      <w:r w:rsidRPr="00C7777E">
        <w:t>Osselaer</w:t>
      </w:r>
      <w:proofErr w:type="spellEnd"/>
      <w:r w:rsidRPr="00C7777E">
        <w:t xml:space="preserve">, S. M. J. (2023). </w:t>
      </w:r>
      <w:r w:rsidRPr="0038375A">
        <w:rPr>
          <w:lang w:val="en-US"/>
        </w:rPr>
        <w:t xml:space="preserve">Retailing </w:t>
      </w:r>
      <w:proofErr w:type="spellStart"/>
      <w:r w:rsidRPr="0038375A">
        <w:rPr>
          <w:lang w:val="en-US"/>
        </w:rPr>
        <w:t>groundedness</w:t>
      </w:r>
      <w:proofErr w:type="spellEnd"/>
      <w:r w:rsidRPr="0038375A">
        <w:rPr>
          <w:lang w:val="en-US"/>
        </w:rPr>
        <w:t xml:space="preserve">: How to improve customer experience, brand perceptions, and customer loyalty through feelings of </w:t>
      </w:r>
      <w:proofErr w:type="spellStart"/>
      <w:r w:rsidRPr="0038375A">
        <w:rPr>
          <w:lang w:val="en-US"/>
        </w:rPr>
        <w:t>groundedness</w:t>
      </w:r>
      <w:proofErr w:type="spellEnd"/>
      <w:r w:rsidRPr="0038375A">
        <w:rPr>
          <w:lang w:val="en-US"/>
        </w:rPr>
        <w:t xml:space="preserve">. </w:t>
      </w:r>
      <w:r w:rsidRPr="0038375A">
        <w:rPr>
          <w:i/>
          <w:iCs/>
          <w:lang w:val="en-US"/>
        </w:rPr>
        <w:t>Journal of Retailing, 99</w:t>
      </w:r>
      <w:r w:rsidRPr="0038375A">
        <w:rPr>
          <w:lang w:val="en-US"/>
        </w:rPr>
        <w:t xml:space="preserve">(4), 594–604. </w:t>
      </w:r>
      <w:hyperlink r:id="rId12" w:tgtFrame="_new" w:history="1">
        <w:r w:rsidRPr="0038375A">
          <w:rPr>
            <w:rStyle w:val="Hipervnculo"/>
            <w:lang w:val="en-US"/>
          </w:rPr>
          <w:t>https://doi.org/10.1016/j.jretai.2023.11.004</w:t>
        </w:r>
      </w:hyperlink>
    </w:p>
    <w:p w14:paraId="76258255" w14:textId="77777777" w:rsidR="00866686" w:rsidRPr="0038375A" w:rsidRDefault="00866686" w:rsidP="00866686">
      <w:pPr>
        <w:pStyle w:val="Textoindependiente"/>
        <w:spacing w:before="0" w:after="0"/>
        <w:ind w:left="720" w:hanging="720"/>
        <w:jc w:val="both"/>
        <w:rPr>
          <w:lang w:val="en-US"/>
        </w:rPr>
      </w:pPr>
      <w:r w:rsidRPr="0038375A">
        <w:rPr>
          <w:lang w:val="en-US"/>
        </w:rPr>
        <w:t xml:space="preserve">Chang, S.-H. (2022). Eliciting brand loyalty with elements of customer experience: A case study on the creative life industry. </w:t>
      </w:r>
      <w:r w:rsidRPr="0038375A">
        <w:rPr>
          <w:i/>
          <w:iCs/>
          <w:lang w:val="en-US"/>
        </w:rPr>
        <w:t>Sustainability, 14</w:t>
      </w:r>
      <w:r w:rsidRPr="0038375A">
        <w:rPr>
          <w:lang w:val="en-US"/>
        </w:rPr>
        <w:t xml:space="preserve">(18), 11547. </w:t>
      </w:r>
      <w:hyperlink r:id="rId13" w:tgtFrame="_new" w:history="1">
        <w:r w:rsidRPr="0038375A">
          <w:rPr>
            <w:rStyle w:val="Hipervnculo"/>
            <w:lang w:val="en-US"/>
          </w:rPr>
          <w:t>https://doi.org/10.3390/su141811547</w:t>
        </w:r>
      </w:hyperlink>
    </w:p>
    <w:p w14:paraId="1805F330" w14:textId="77777777" w:rsidR="00866686" w:rsidRPr="0038375A" w:rsidRDefault="00866686" w:rsidP="00866686">
      <w:pPr>
        <w:pStyle w:val="Textoindependiente"/>
        <w:spacing w:before="0" w:after="0"/>
        <w:ind w:left="720" w:hanging="720"/>
        <w:jc w:val="both"/>
        <w:rPr>
          <w:lang w:val="en-US"/>
        </w:rPr>
      </w:pPr>
      <w:r w:rsidRPr="0038375A">
        <w:rPr>
          <w:lang w:val="en-US"/>
        </w:rPr>
        <w:lastRenderedPageBreak/>
        <w:t xml:space="preserve">Chen, C.-T. (2024). Atmospherics fosters customer loyalty: Exploring the mediating effects of memorable customer experience and customer satisfaction in factory outlet malls in Taiwan. </w:t>
      </w:r>
      <w:r w:rsidRPr="0038375A">
        <w:rPr>
          <w:i/>
          <w:iCs/>
          <w:lang w:val="en-US"/>
        </w:rPr>
        <w:t>Journal of Retailing and Consumer Services, 68</w:t>
      </w:r>
      <w:r w:rsidRPr="0038375A">
        <w:rPr>
          <w:lang w:val="en-US"/>
        </w:rPr>
        <w:t>, 103936. https://doi.org/10.1016/j.jretconser.2024.103936</w:t>
      </w:r>
    </w:p>
    <w:p w14:paraId="374F391A" w14:textId="77777777" w:rsidR="00866686" w:rsidRPr="0038375A" w:rsidRDefault="00866686" w:rsidP="00C7777E">
      <w:pPr>
        <w:pStyle w:val="Textoindependiente"/>
        <w:spacing w:before="0" w:after="0"/>
        <w:ind w:left="720" w:hanging="720"/>
        <w:jc w:val="both"/>
        <w:rPr>
          <w:lang w:val="en-US"/>
        </w:rPr>
      </w:pPr>
      <w:proofErr w:type="spellStart"/>
      <w:r w:rsidRPr="00C7777E">
        <w:t>Danurdara</w:t>
      </w:r>
      <w:proofErr w:type="spellEnd"/>
      <w:r w:rsidRPr="00C7777E">
        <w:t xml:space="preserve">, A. B., &amp; </w:t>
      </w:r>
      <w:proofErr w:type="spellStart"/>
      <w:r w:rsidRPr="00C7777E">
        <w:t>Masatif</w:t>
      </w:r>
      <w:proofErr w:type="spellEnd"/>
      <w:r w:rsidRPr="00C7777E">
        <w:t xml:space="preserve">, A. (2025). </w:t>
      </w:r>
      <w:r w:rsidRPr="0038375A">
        <w:rPr>
          <w:lang w:val="en-US"/>
        </w:rPr>
        <w:t xml:space="preserve">Assessing the customer experience quality and customer loyalty: The mediating role of customer satisfaction. </w:t>
      </w:r>
      <w:r w:rsidRPr="0038375A">
        <w:rPr>
          <w:i/>
          <w:iCs/>
          <w:lang w:val="en-US"/>
        </w:rPr>
        <w:t>Innovative Marketing, 21</w:t>
      </w:r>
      <w:r w:rsidRPr="0038375A">
        <w:rPr>
          <w:lang w:val="en-US"/>
        </w:rPr>
        <w:t>(2), 248–259. https://doi.org/10.21511/im.21(2).2025.20</w:t>
      </w:r>
    </w:p>
    <w:p w14:paraId="754E6AEA" w14:textId="77777777" w:rsidR="00866686" w:rsidRPr="0038375A" w:rsidRDefault="00866686" w:rsidP="00C7777E">
      <w:pPr>
        <w:pStyle w:val="Textoindependiente"/>
        <w:spacing w:before="0" w:after="0"/>
        <w:ind w:left="720" w:hanging="720"/>
        <w:jc w:val="both"/>
        <w:rPr>
          <w:lang w:val="en-US"/>
        </w:rPr>
      </w:pPr>
      <w:proofErr w:type="spellStart"/>
      <w:r w:rsidRPr="0038375A">
        <w:rPr>
          <w:lang w:val="en-US"/>
        </w:rPr>
        <w:t>Diwayanti</w:t>
      </w:r>
      <w:proofErr w:type="spellEnd"/>
      <w:r w:rsidRPr="0038375A">
        <w:rPr>
          <w:lang w:val="en-US"/>
        </w:rPr>
        <w:t xml:space="preserve">, N. V., </w:t>
      </w:r>
      <w:proofErr w:type="spellStart"/>
      <w:r w:rsidRPr="0038375A">
        <w:rPr>
          <w:lang w:val="en-US"/>
        </w:rPr>
        <w:t>Widayat</w:t>
      </w:r>
      <w:proofErr w:type="spellEnd"/>
      <w:r w:rsidRPr="0038375A">
        <w:rPr>
          <w:lang w:val="en-US"/>
        </w:rPr>
        <w:t xml:space="preserve">, W., &amp; Robbie, I. (2026). Assessing the role of service quality, customer experience and perceived value as mediator on customer loyalty: Evidence in Indonesian pharmacies. </w:t>
      </w:r>
      <w:r w:rsidRPr="0038375A">
        <w:rPr>
          <w:i/>
          <w:iCs/>
          <w:lang w:val="en-US"/>
        </w:rPr>
        <w:t>International Journal of Pharmaceutical and Healthcare Marketing, 20</w:t>
      </w:r>
      <w:r w:rsidRPr="0038375A">
        <w:rPr>
          <w:lang w:val="en-US"/>
        </w:rPr>
        <w:t>(1), 45–63. https://doi.org/10.1108/IJPHM-01-2025-0002</w:t>
      </w:r>
    </w:p>
    <w:p w14:paraId="5C68965B" w14:textId="77777777" w:rsidR="00866686" w:rsidRPr="0038375A" w:rsidRDefault="00866686" w:rsidP="00866686">
      <w:pPr>
        <w:pStyle w:val="Textoindependiente"/>
        <w:spacing w:before="0" w:after="0"/>
        <w:ind w:left="720" w:hanging="720"/>
        <w:jc w:val="both"/>
        <w:rPr>
          <w:lang w:val="en-US"/>
        </w:rPr>
      </w:pPr>
      <w:proofErr w:type="spellStart"/>
      <w:r w:rsidRPr="0038375A">
        <w:rPr>
          <w:lang w:val="en-US"/>
        </w:rPr>
        <w:t>Ertemel</w:t>
      </w:r>
      <w:proofErr w:type="spellEnd"/>
      <w:r w:rsidRPr="0038375A">
        <w:rPr>
          <w:lang w:val="en-US"/>
        </w:rPr>
        <w:t xml:space="preserve">, A. V., Civelek, M. E., </w:t>
      </w:r>
      <w:proofErr w:type="spellStart"/>
      <w:r w:rsidRPr="0038375A">
        <w:rPr>
          <w:lang w:val="en-US"/>
        </w:rPr>
        <w:t>Eroǧlu</w:t>
      </w:r>
      <w:proofErr w:type="spellEnd"/>
      <w:r w:rsidRPr="0038375A">
        <w:rPr>
          <w:lang w:val="en-US"/>
        </w:rPr>
        <w:t xml:space="preserve"> Pektaş, G. O., &amp; </w:t>
      </w:r>
      <w:proofErr w:type="spellStart"/>
      <w:r w:rsidRPr="0038375A">
        <w:rPr>
          <w:lang w:val="en-US"/>
        </w:rPr>
        <w:t>Çemberci</w:t>
      </w:r>
      <w:proofErr w:type="spellEnd"/>
      <w:r w:rsidRPr="0038375A">
        <w:rPr>
          <w:lang w:val="en-US"/>
        </w:rPr>
        <w:t xml:space="preserve">, M. (2021). The role of customer experience in the effect of online flow state on customer loyalty. </w:t>
      </w:r>
      <w:proofErr w:type="spellStart"/>
      <w:r w:rsidRPr="0038375A">
        <w:rPr>
          <w:i/>
          <w:iCs/>
          <w:lang w:val="en-US"/>
        </w:rPr>
        <w:t>PLoS</w:t>
      </w:r>
      <w:proofErr w:type="spellEnd"/>
      <w:r w:rsidRPr="0038375A">
        <w:rPr>
          <w:i/>
          <w:iCs/>
          <w:lang w:val="en-US"/>
        </w:rPr>
        <w:t xml:space="preserve"> ONE, 16</w:t>
      </w:r>
      <w:r w:rsidRPr="0038375A">
        <w:rPr>
          <w:lang w:val="en-US"/>
        </w:rPr>
        <w:t>(7), Article e0254685. https://doi.org/10.1371/journal.pone.0254685</w:t>
      </w:r>
    </w:p>
    <w:p w14:paraId="335D0AEF" w14:textId="77777777" w:rsidR="00866686" w:rsidRPr="0038375A" w:rsidRDefault="00866686" w:rsidP="00C7777E">
      <w:pPr>
        <w:pStyle w:val="Textoindependiente"/>
        <w:spacing w:before="0" w:after="0"/>
        <w:ind w:left="720" w:hanging="720"/>
        <w:jc w:val="both"/>
        <w:rPr>
          <w:lang w:val="en-US"/>
        </w:rPr>
      </w:pPr>
      <w:r w:rsidRPr="0038375A">
        <w:rPr>
          <w:lang w:val="en-US"/>
        </w:rPr>
        <w:t xml:space="preserve">Gam, A., Bahri-Ammari, N., &amp; Soliman, M. (2023). Intelligent customer experience and behavioral brand loyalty: Empirical evidence from the commerce environment. </w:t>
      </w:r>
      <w:r w:rsidRPr="0038375A">
        <w:rPr>
          <w:i/>
          <w:iCs/>
          <w:lang w:val="en-US"/>
        </w:rPr>
        <w:t>International Journal of Human-Computer Interaction, 39</w:t>
      </w:r>
      <w:r w:rsidRPr="0038375A">
        <w:rPr>
          <w:lang w:val="en-US"/>
        </w:rPr>
        <w:t>(10), 2090–2101. https://doi.org/10.1080/10447318.2022.2074120</w:t>
      </w:r>
    </w:p>
    <w:p w14:paraId="13793F8E" w14:textId="77777777" w:rsidR="00866686" w:rsidRPr="0038375A" w:rsidRDefault="00866686" w:rsidP="00C7777E">
      <w:pPr>
        <w:pStyle w:val="Textoindependiente"/>
        <w:spacing w:before="0" w:after="0"/>
        <w:ind w:left="720" w:hanging="720"/>
        <w:jc w:val="both"/>
        <w:rPr>
          <w:lang w:val="en-US"/>
        </w:rPr>
      </w:pPr>
      <w:r w:rsidRPr="0038375A">
        <w:rPr>
          <w:lang w:val="en-US"/>
        </w:rPr>
        <w:t xml:space="preserve">Gravelle, T. B. (2021). The measurement invariance of customer loyalty and customer experience across firms, industries, and countries. </w:t>
      </w:r>
      <w:r w:rsidRPr="0038375A">
        <w:rPr>
          <w:i/>
          <w:iCs/>
          <w:lang w:val="en-US"/>
        </w:rPr>
        <w:t>Methods, Data, Analyses, 15</w:t>
      </w:r>
      <w:r w:rsidRPr="0038375A">
        <w:rPr>
          <w:lang w:val="en-US"/>
        </w:rPr>
        <w:t>(2), 191–214. https://doi.org/10.12758/mda.2021.01</w:t>
      </w:r>
    </w:p>
    <w:p w14:paraId="2D87DE10" w14:textId="77777777" w:rsidR="00866686" w:rsidRPr="0038375A" w:rsidRDefault="00866686" w:rsidP="00866686">
      <w:pPr>
        <w:pStyle w:val="Textoindependiente"/>
        <w:spacing w:before="0" w:after="0"/>
        <w:ind w:left="720" w:hanging="720"/>
        <w:jc w:val="both"/>
        <w:rPr>
          <w:lang w:val="en-US"/>
        </w:rPr>
      </w:pPr>
      <w:proofErr w:type="spellStart"/>
      <w:r w:rsidRPr="0038375A">
        <w:rPr>
          <w:lang w:val="en-US"/>
        </w:rPr>
        <w:t>Gronphet</w:t>
      </w:r>
      <w:proofErr w:type="spellEnd"/>
      <w:r w:rsidRPr="0038375A">
        <w:rPr>
          <w:lang w:val="en-US"/>
        </w:rPr>
        <w:t xml:space="preserve">, S., &amp; </w:t>
      </w:r>
      <w:proofErr w:type="spellStart"/>
      <w:r w:rsidRPr="0038375A">
        <w:rPr>
          <w:lang w:val="en-US"/>
        </w:rPr>
        <w:t>Onputtha</w:t>
      </w:r>
      <w:proofErr w:type="spellEnd"/>
      <w:r w:rsidRPr="0038375A">
        <w:rPr>
          <w:lang w:val="en-US"/>
        </w:rPr>
        <w:t xml:space="preserve">, S. (2025). The influence of e-commerce seller reverse logistics quality on customer loyalty: The mediating role of customer experience and perceived value. </w:t>
      </w:r>
      <w:r w:rsidRPr="0038375A">
        <w:rPr>
          <w:i/>
          <w:iCs/>
          <w:lang w:val="en-US"/>
        </w:rPr>
        <w:t>Edelweiss Applied Science and Technology, 9</w:t>
      </w:r>
      <w:r w:rsidRPr="0038375A">
        <w:rPr>
          <w:lang w:val="en-US"/>
        </w:rPr>
        <w:t>(3), 5251–5266. https://doi.org/10.55214/25768484.v9i3.5251</w:t>
      </w:r>
    </w:p>
    <w:p w14:paraId="505EDD7C" w14:textId="77777777" w:rsidR="00866686" w:rsidRPr="0038375A" w:rsidRDefault="00866686" w:rsidP="00866686">
      <w:pPr>
        <w:pStyle w:val="Textoindependiente"/>
        <w:spacing w:before="0" w:after="0"/>
        <w:ind w:left="720" w:hanging="720"/>
        <w:jc w:val="both"/>
        <w:rPr>
          <w:lang w:val="en-US"/>
        </w:rPr>
      </w:pPr>
      <w:r w:rsidRPr="0038375A">
        <w:rPr>
          <w:lang w:val="en-US"/>
        </w:rPr>
        <w:lastRenderedPageBreak/>
        <w:t xml:space="preserve">Guan, J., Wang, W., Guo, Z., Chan, J. H., &amp; Qi, X. (2021). Customer experience and brand loyalty in the full-service hotel sector: The role of brand affect. </w:t>
      </w:r>
      <w:r w:rsidRPr="0038375A">
        <w:rPr>
          <w:i/>
          <w:iCs/>
          <w:lang w:val="en-US"/>
        </w:rPr>
        <w:t>International Journal of Contemporary Hospitality Management, 33</w:t>
      </w:r>
      <w:r w:rsidRPr="0038375A">
        <w:rPr>
          <w:lang w:val="en-US"/>
        </w:rPr>
        <w:t>(5), 1821–1843. https://doi.org/10.1108/IJCHM-10-2020-1177</w:t>
      </w:r>
    </w:p>
    <w:p w14:paraId="6263B76F" w14:textId="77777777" w:rsidR="00866686" w:rsidRPr="0038375A" w:rsidRDefault="00866686" w:rsidP="00C7777E">
      <w:pPr>
        <w:pStyle w:val="Textoindependiente"/>
        <w:spacing w:before="0" w:after="0"/>
        <w:ind w:left="720" w:hanging="720"/>
        <w:jc w:val="both"/>
        <w:rPr>
          <w:lang w:val="en-US"/>
        </w:rPr>
      </w:pPr>
      <w:r w:rsidRPr="0038375A">
        <w:rPr>
          <w:lang w:val="en-US"/>
        </w:rPr>
        <w:t xml:space="preserve">Karim, R. A., Sobhani, F. A., Rabiul, M. K., </w:t>
      </w:r>
      <w:proofErr w:type="spellStart"/>
      <w:r w:rsidRPr="0038375A">
        <w:rPr>
          <w:lang w:val="en-US"/>
        </w:rPr>
        <w:t>Lepee</w:t>
      </w:r>
      <w:proofErr w:type="spellEnd"/>
      <w:r w:rsidRPr="0038375A">
        <w:rPr>
          <w:lang w:val="en-US"/>
        </w:rPr>
        <w:t xml:space="preserve">, N. J., Kabir, M. R., &amp; Chowdhury, M. A. M. (2022). Linking fintech payment services and customer loyalty intention in the hospitality industry: The mediating role of customer experience and attitude. </w:t>
      </w:r>
      <w:r w:rsidRPr="0038375A">
        <w:rPr>
          <w:i/>
          <w:iCs/>
          <w:lang w:val="en-US"/>
        </w:rPr>
        <w:t>Sustainability, 14</w:t>
      </w:r>
      <w:r w:rsidRPr="0038375A">
        <w:rPr>
          <w:lang w:val="en-US"/>
        </w:rPr>
        <w:t>(24), Article 16481. https://doi.org/10.3390/su142416481</w:t>
      </w:r>
    </w:p>
    <w:p w14:paraId="268111EA" w14:textId="77777777" w:rsidR="00866686" w:rsidRPr="0038375A" w:rsidRDefault="00866686" w:rsidP="00866686">
      <w:pPr>
        <w:pStyle w:val="Textoindependiente"/>
        <w:spacing w:before="0" w:after="0"/>
        <w:ind w:left="720" w:hanging="720"/>
        <w:jc w:val="both"/>
        <w:rPr>
          <w:lang w:val="en-US"/>
        </w:rPr>
      </w:pPr>
      <w:r w:rsidRPr="0038375A">
        <w:rPr>
          <w:lang w:val="en-US"/>
        </w:rPr>
        <w:t xml:space="preserve">Khoa, B. T., &amp; Huynh, A.-V. (2025). How digital transformation impacts on customer loyalty in fitness services: The mediating role of customer experience. </w:t>
      </w:r>
      <w:r w:rsidRPr="0038375A">
        <w:rPr>
          <w:i/>
          <w:iCs/>
          <w:lang w:val="en-US"/>
        </w:rPr>
        <w:t>Business Perspectives and Research, 13</w:t>
      </w:r>
      <w:r w:rsidRPr="0038375A">
        <w:rPr>
          <w:lang w:val="en-US"/>
        </w:rPr>
        <w:t>(1), 18–35. https://doi.org/10.1177/22785337251336513</w:t>
      </w:r>
    </w:p>
    <w:p w14:paraId="409909C3" w14:textId="77777777" w:rsidR="00866686" w:rsidRPr="0038375A" w:rsidRDefault="00866686" w:rsidP="00866686">
      <w:pPr>
        <w:pStyle w:val="Textoindependiente"/>
        <w:spacing w:before="0" w:after="0"/>
        <w:ind w:left="720" w:hanging="720"/>
        <w:jc w:val="both"/>
        <w:rPr>
          <w:lang w:val="en-US"/>
        </w:rPr>
      </w:pPr>
      <w:r w:rsidRPr="0038375A">
        <w:rPr>
          <w:lang w:val="en-US"/>
        </w:rPr>
        <w:t xml:space="preserve">Li, N., &amp; </w:t>
      </w:r>
      <w:proofErr w:type="spellStart"/>
      <w:r w:rsidRPr="0038375A">
        <w:rPr>
          <w:lang w:val="en-US"/>
        </w:rPr>
        <w:t>Aumeboonsuke</w:t>
      </w:r>
      <w:proofErr w:type="spellEnd"/>
      <w:r w:rsidRPr="0038375A">
        <w:rPr>
          <w:lang w:val="en-US"/>
        </w:rPr>
        <w:t xml:space="preserve">, V. (2025). How gamification features drive brand loyalty: The mediating roles of consumer experience and brand engagement. </w:t>
      </w:r>
      <w:r w:rsidRPr="0038375A">
        <w:rPr>
          <w:i/>
          <w:iCs/>
          <w:lang w:val="en-US"/>
        </w:rPr>
        <w:t>Journal of Theoretical and Applied Electronic Commerce Research, 20</w:t>
      </w:r>
      <w:r w:rsidRPr="0038375A">
        <w:rPr>
          <w:lang w:val="en-US"/>
        </w:rPr>
        <w:t xml:space="preserve">(2), 113–128. </w:t>
      </w:r>
      <w:hyperlink r:id="rId14" w:tgtFrame="_new" w:history="1">
        <w:r w:rsidRPr="0038375A">
          <w:rPr>
            <w:rStyle w:val="Hipervnculo"/>
            <w:lang w:val="en-US"/>
          </w:rPr>
          <w:t>https://doi.org/10.3390/jtaer20020113</w:t>
        </w:r>
      </w:hyperlink>
    </w:p>
    <w:p w14:paraId="4A1849D1" w14:textId="77777777" w:rsidR="00866686" w:rsidRPr="0038375A" w:rsidRDefault="00866686" w:rsidP="00866686">
      <w:pPr>
        <w:pStyle w:val="Textoindependiente"/>
        <w:spacing w:before="0" w:after="0"/>
        <w:ind w:left="720" w:hanging="720"/>
        <w:jc w:val="both"/>
        <w:rPr>
          <w:lang w:val="en-US"/>
        </w:rPr>
      </w:pPr>
      <w:r w:rsidRPr="0038375A">
        <w:rPr>
          <w:lang w:val="en-US"/>
        </w:rPr>
        <w:t xml:space="preserve">Lou, C., &amp; Xie, Q. (2021). Something social, something entertaining? How digital content marketing augments consumer experience and brand loyalty. </w:t>
      </w:r>
      <w:r w:rsidRPr="0038375A">
        <w:rPr>
          <w:i/>
          <w:iCs/>
          <w:lang w:val="en-US"/>
        </w:rPr>
        <w:t>International Journal of Advertising, 40</w:t>
      </w:r>
      <w:r w:rsidRPr="0038375A">
        <w:rPr>
          <w:lang w:val="en-US"/>
        </w:rPr>
        <w:t>(6), 824–845. https://doi.org/10.1080/02650487.2020.1788311</w:t>
      </w:r>
    </w:p>
    <w:p w14:paraId="20D4B7CF" w14:textId="77777777" w:rsidR="00866686" w:rsidRPr="0038375A" w:rsidRDefault="00866686" w:rsidP="00866686">
      <w:pPr>
        <w:pStyle w:val="Textoindependiente"/>
        <w:spacing w:before="0" w:after="0"/>
        <w:ind w:left="720" w:hanging="720"/>
        <w:jc w:val="both"/>
        <w:rPr>
          <w:lang w:val="en-US"/>
        </w:rPr>
      </w:pPr>
      <w:proofErr w:type="spellStart"/>
      <w:r w:rsidRPr="0038375A">
        <w:rPr>
          <w:lang w:val="en-US"/>
        </w:rPr>
        <w:t>Makudza</w:t>
      </w:r>
      <w:proofErr w:type="spellEnd"/>
      <w:r w:rsidRPr="0038375A">
        <w:rPr>
          <w:lang w:val="en-US"/>
        </w:rPr>
        <w:t xml:space="preserve">, F. (2021). Augmenting customer loyalty through customer experience management in the banking industry. </w:t>
      </w:r>
      <w:r w:rsidRPr="0038375A">
        <w:rPr>
          <w:i/>
          <w:iCs/>
          <w:lang w:val="en-US"/>
        </w:rPr>
        <w:t>Journal of Asian Business and Economic Studies, 28</w:t>
      </w:r>
      <w:r w:rsidRPr="0038375A">
        <w:rPr>
          <w:lang w:val="en-US"/>
        </w:rPr>
        <w:t>(1), 101–115. https://doi.org/10.1108/JABES-01-2020-0007</w:t>
      </w:r>
    </w:p>
    <w:p w14:paraId="1B9C54B9" w14:textId="77777777" w:rsidR="00866686" w:rsidRPr="0038375A" w:rsidRDefault="00866686" w:rsidP="00866686">
      <w:pPr>
        <w:pStyle w:val="Textoindependiente"/>
        <w:spacing w:before="0" w:after="0"/>
        <w:ind w:left="720" w:hanging="720"/>
        <w:jc w:val="both"/>
        <w:rPr>
          <w:lang w:val="en-US"/>
        </w:rPr>
      </w:pPr>
      <w:proofErr w:type="spellStart"/>
      <w:r w:rsidRPr="00866686">
        <w:t>Manyanga</w:t>
      </w:r>
      <w:proofErr w:type="spellEnd"/>
      <w:r w:rsidRPr="00866686">
        <w:t xml:space="preserve">, W., </w:t>
      </w:r>
      <w:proofErr w:type="spellStart"/>
      <w:r w:rsidRPr="00866686">
        <w:t>Makanyeza</w:t>
      </w:r>
      <w:proofErr w:type="spellEnd"/>
      <w:r w:rsidRPr="00866686">
        <w:t xml:space="preserve">, C., &amp; </w:t>
      </w:r>
      <w:proofErr w:type="spellStart"/>
      <w:r w:rsidRPr="00866686">
        <w:t>Muranda</w:t>
      </w:r>
      <w:proofErr w:type="spellEnd"/>
      <w:r w:rsidRPr="00866686">
        <w:t xml:space="preserve">, Z. (2022). </w:t>
      </w:r>
      <w:r w:rsidRPr="0038375A">
        <w:rPr>
          <w:lang w:val="en-US"/>
        </w:rPr>
        <w:t xml:space="preserve">The effect of customer experience, customer satisfaction and word of mouth intention on customer loyalty: The moderating role of consumer demographics. </w:t>
      </w:r>
      <w:r w:rsidRPr="0038375A">
        <w:rPr>
          <w:i/>
          <w:iCs/>
          <w:lang w:val="en-US"/>
        </w:rPr>
        <w:t>Cogent Business &amp; Management, 9</w:t>
      </w:r>
      <w:r w:rsidRPr="0038375A">
        <w:rPr>
          <w:lang w:val="en-US"/>
        </w:rPr>
        <w:t>(1), Article 2082015. https://doi.org/10.1080/23311975.2022.2082015</w:t>
      </w:r>
    </w:p>
    <w:p w14:paraId="576AEC7C" w14:textId="77777777" w:rsidR="00866686" w:rsidRPr="0038375A" w:rsidRDefault="00866686" w:rsidP="00866686">
      <w:pPr>
        <w:pStyle w:val="Textoindependiente"/>
        <w:spacing w:before="0" w:after="0"/>
        <w:ind w:left="720" w:hanging="720"/>
        <w:jc w:val="both"/>
        <w:rPr>
          <w:lang w:val="en-US"/>
        </w:rPr>
      </w:pPr>
      <w:proofErr w:type="spellStart"/>
      <w:r w:rsidRPr="0038375A">
        <w:rPr>
          <w:lang w:val="en-US"/>
        </w:rPr>
        <w:lastRenderedPageBreak/>
        <w:t>Mokha</w:t>
      </w:r>
      <w:proofErr w:type="spellEnd"/>
      <w:r w:rsidRPr="0038375A">
        <w:rPr>
          <w:lang w:val="en-US"/>
        </w:rPr>
        <w:t xml:space="preserve">, A. K., &amp; Kumar, P. (2022). Examining the interconnections between E-CRM, customer experience, customer satisfaction and customer loyalty: A mediation approach. </w:t>
      </w:r>
      <w:r w:rsidRPr="0038375A">
        <w:rPr>
          <w:i/>
          <w:iCs/>
          <w:lang w:val="en-US"/>
        </w:rPr>
        <w:t>Journal of Electronic Commerce in Organizations, 20</w:t>
      </w:r>
      <w:r w:rsidRPr="0038375A">
        <w:rPr>
          <w:lang w:val="en-US"/>
        </w:rPr>
        <w:t>(3), 74–89. https://doi.org/10.4018/JECO.292474</w:t>
      </w:r>
    </w:p>
    <w:p w14:paraId="3BFF427D" w14:textId="77777777" w:rsidR="00866686" w:rsidRPr="0038375A" w:rsidRDefault="00866686" w:rsidP="00866686">
      <w:pPr>
        <w:pStyle w:val="Textoindependiente"/>
        <w:spacing w:before="0" w:after="0"/>
        <w:ind w:left="720" w:hanging="720"/>
        <w:jc w:val="both"/>
        <w:rPr>
          <w:lang w:val="en-US"/>
        </w:rPr>
      </w:pPr>
      <w:proofErr w:type="spellStart"/>
      <w:r w:rsidRPr="00866686">
        <w:t>Mokha</w:t>
      </w:r>
      <w:proofErr w:type="spellEnd"/>
      <w:r w:rsidRPr="00866686">
        <w:t xml:space="preserve">, A. K., &amp; Kumar, P. (2024). </w:t>
      </w:r>
      <w:r w:rsidRPr="0038375A">
        <w:rPr>
          <w:lang w:val="en-US"/>
        </w:rPr>
        <w:t xml:space="preserve">Linking electronic customer relationship management and customer loyalty through serial mediation of customer experience and customer satisfaction. </w:t>
      </w:r>
      <w:r w:rsidRPr="0038375A">
        <w:rPr>
          <w:i/>
          <w:iCs/>
          <w:lang w:val="en-US"/>
        </w:rPr>
        <w:t>International Journal of Electronic Customer Relationship Management, 18</w:t>
      </w:r>
      <w:r w:rsidRPr="0038375A">
        <w:rPr>
          <w:lang w:val="en-US"/>
        </w:rPr>
        <w:t>(3), 319–338. https://doi.org/10.1504/IJECRM.2024.138642</w:t>
      </w:r>
    </w:p>
    <w:p w14:paraId="4AA68F66" w14:textId="77777777" w:rsidR="00866686" w:rsidRPr="0038375A" w:rsidRDefault="00866686" w:rsidP="00866686">
      <w:pPr>
        <w:pStyle w:val="Textoindependiente"/>
        <w:spacing w:before="0" w:after="0"/>
        <w:ind w:left="720" w:hanging="720"/>
        <w:jc w:val="both"/>
        <w:rPr>
          <w:lang w:val="en-US"/>
        </w:rPr>
      </w:pPr>
      <w:proofErr w:type="spellStart"/>
      <w:r w:rsidRPr="0038375A">
        <w:rPr>
          <w:lang w:val="en-US"/>
        </w:rPr>
        <w:t>Nuseir</w:t>
      </w:r>
      <w:proofErr w:type="spellEnd"/>
      <w:r w:rsidRPr="0038375A">
        <w:rPr>
          <w:lang w:val="en-US"/>
        </w:rPr>
        <w:t xml:space="preserve">, M. T. (2021). Assessing the impact of brand equity and customer experience on brand loyalty in the United Arab Emirates’ hotel industry. </w:t>
      </w:r>
      <w:r w:rsidRPr="0038375A">
        <w:rPr>
          <w:i/>
          <w:iCs/>
          <w:lang w:val="en-US"/>
        </w:rPr>
        <w:t>International Journal of Business Excellence, 23</w:t>
      </w:r>
      <w:r w:rsidRPr="0038375A">
        <w:rPr>
          <w:lang w:val="en-US"/>
        </w:rPr>
        <w:t>(1), 93–111. https://doi.org/10.1504/IJBEX.2021.119753</w:t>
      </w:r>
    </w:p>
    <w:p w14:paraId="72D81BA9" w14:textId="77777777" w:rsidR="00866686" w:rsidRPr="0038375A" w:rsidRDefault="00866686" w:rsidP="00866686">
      <w:pPr>
        <w:pStyle w:val="Textoindependiente"/>
        <w:spacing w:before="0" w:after="0"/>
        <w:ind w:left="720" w:hanging="720"/>
        <w:jc w:val="both"/>
        <w:rPr>
          <w:lang w:val="en-US"/>
        </w:rPr>
      </w:pPr>
      <w:proofErr w:type="spellStart"/>
      <w:r w:rsidRPr="0038375A">
        <w:rPr>
          <w:lang w:val="en-US"/>
        </w:rPr>
        <w:t>Nuseir</w:t>
      </w:r>
      <w:proofErr w:type="spellEnd"/>
      <w:r w:rsidRPr="0038375A">
        <w:rPr>
          <w:lang w:val="en-US"/>
        </w:rPr>
        <w:t xml:space="preserve">, M. T. (2022). Assessing the impact of brand equity and demographic characteristics on brand loyalty: The mediating role played by customer experience in United Arab Emirates’ hotel industry. </w:t>
      </w:r>
      <w:r w:rsidRPr="0038375A">
        <w:rPr>
          <w:i/>
          <w:iCs/>
          <w:lang w:val="en-US"/>
        </w:rPr>
        <w:t>Journal of Hospitality and Tourism Research, 46</w:t>
      </w:r>
      <w:r w:rsidRPr="0038375A">
        <w:rPr>
          <w:lang w:val="en-US"/>
        </w:rPr>
        <w:t>(6), 837–858. https://doi.org/10.1177/1096348020947786</w:t>
      </w:r>
    </w:p>
    <w:p w14:paraId="67AA19E7" w14:textId="77777777" w:rsidR="00866686" w:rsidRPr="0038375A" w:rsidRDefault="00866686" w:rsidP="00866686">
      <w:pPr>
        <w:pStyle w:val="Textoindependiente"/>
        <w:spacing w:before="0" w:after="0"/>
        <w:ind w:left="720" w:hanging="720"/>
        <w:jc w:val="both"/>
        <w:rPr>
          <w:lang w:val="en-US"/>
        </w:rPr>
      </w:pPr>
      <w:proofErr w:type="spellStart"/>
      <w:r w:rsidRPr="0038375A">
        <w:rPr>
          <w:lang w:val="en-US"/>
        </w:rPr>
        <w:t>Nuseir</w:t>
      </w:r>
      <w:proofErr w:type="spellEnd"/>
      <w:r w:rsidRPr="0038375A">
        <w:rPr>
          <w:lang w:val="en-US"/>
        </w:rPr>
        <w:t xml:space="preserve">, M. T., &amp; </w:t>
      </w:r>
      <w:proofErr w:type="spellStart"/>
      <w:r w:rsidRPr="0038375A">
        <w:rPr>
          <w:lang w:val="en-US"/>
        </w:rPr>
        <w:t>Elrefae</w:t>
      </w:r>
      <w:proofErr w:type="spellEnd"/>
      <w:r w:rsidRPr="0038375A">
        <w:rPr>
          <w:lang w:val="en-US"/>
        </w:rPr>
        <w:t xml:space="preserve">, G. (2022). The effects of facilitating conditions, customer experience and brand loyalty on customer-based brand equity through social media marketing. </w:t>
      </w:r>
      <w:r w:rsidRPr="0038375A">
        <w:rPr>
          <w:i/>
          <w:iCs/>
          <w:lang w:val="en-US"/>
        </w:rPr>
        <w:t>International Journal of Data and Network Science, 6</w:t>
      </w:r>
      <w:r w:rsidRPr="0038375A">
        <w:rPr>
          <w:lang w:val="en-US"/>
        </w:rPr>
        <w:t>(2), 275–286. https://doi.org/10.5267/j.ijdns.2022.2.009</w:t>
      </w:r>
    </w:p>
    <w:p w14:paraId="03B0A856" w14:textId="77777777" w:rsidR="00866686" w:rsidRPr="0038375A" w:rsidRDefault="00866686" w:rsidP="00C7777E">
      <w:pPr>
        <w:pStyle w:val="Textoindependiente"/>
        <w:spacing w:before="0" w:after="0"/>
        <w:ind w:left="720" w:hanging="720"/>
        <w:jc w:val="both"/>
        <w:rPr>
          <w:lang w:val="en-US"/>
        </w:rPr>
      </w:pPr>
      <w:proofErr w:type="spellStart"/>
      <w:r w:rsidRPr="00C7777E">
        <w:t>Pham</w:t>
      </w:r>
      <w:proofErr w:type="spellEnd"/>
      <w:r w:rsidRPr="00C7777E">
        <w:t xml:space="preserve">, D. N., &amp; Nguyen, G. T. (2025). </w:t>
      </w:r>
      <w:r w:rsidRPr="0038375A">
        <w:rPr>
          <w:lang w:val="en-US"/>
        </w:rPr>
        <w:t xml:space="preserve">The relationship between employee satisfaction and customer loyalty: The mediating role of customer experience. </w:t>
      </w:r>
      <w:r w:rsidRPr="0038375A">
        <w:rPr>
          <w:i/>
          <w:iCs/>
          <w:lang w:val="en-US"/>
        </w:rPr>
        <w:t>Edelweiss Applied Science and Technology, 9</w:t>
      </w:r>
      <w:r w:rsidRPr="0038375A">
        <w:rPr>
          <w:lang w:val="en-US"/>
        </w:rPr>
        <w:t>(3), 1531–1543. https://doi.org/10.55214/25768484.v9i3.5598</w:t>
      </w:r>
    </w:p>
    <w:p w14:paraId="2B36908F" w14:textId="77777777" w:rsidR="00866686" w:rsidRPr="0038375A" w:rsidRDefault="00866686" w:rsidP="00C7777E">
      <w:pPr>
        <w:pStyle w:val="Textoindependiente"/>
        <w:spacing w:before="0" w:after="0"/>
        <w:ind w:left="720" w:hanging="720"/>
        <w:jc w:val="both"/>
        <w:rPr>
          <w:lang w:val="en-US"/>
        </w:rPr>
      </w:pPr>
      <w:r w:rsidRPr="0038375A">
        <w:rPr>
          <w:lang w:val="en-US"/>
        </w:rPr>
        <w:t xml:space="preserve">Wu, M.-H. (2025). The impact of brand identification, brand image, and brand love on brand loyalty: The mediating role of customer value co-creation in hotel customer experience. </w:t>
      </w:r>
      <w:r w:rsidRPr="0038375A">
        <w:rPr>
          <w:i/>
          <w:iCs/>
          <w:lang w:val="en-US"/>
        </w:rPr>
        <w:lastRenderedPageBreak/>
        <w:t>Frontiers in Communication, 10</w:t>
      </w:r>
      <w:r w:rsidRPr="0038375A">
        <w:rPr>
          <w:lang w:val="en-US"/>
        </w:rPr>
        <w:t xml:space="preserve">, Article 1626744. </w:t>
      </w:r>
      <w:hyperlink r:id="rId15" w:history="1">
        <w:r w:rsidRPr="0038375A">
          <w:rPr>
            <w:rStyle w:val="Hipervnculo"/>
            <w:lang w:val="en-US"/>
          </w:rPr>
          <w:t>https://doi.org/10.3389/fcomm.2025.1626744</w:t>
        </w:r>
      </w:hyperlink>
    </w:p>
    <w:p w14:paraId="675482F5" w14:textId="77777777" w:rsidR="00866686" w:rsidRPr="0038375A" w:rsidRDefault="00866686" w:rsidP="00866686">
      <w:pPr>
        <w:pStyle w:val="Textoindependiente"/>
        <w:spacing w:before="0" w:after="0"/>
        <w:ind w:left="720" w:hanging="720"/>
        <w:jc w:val="both"/>
        <w:rPr>
          <w:lang w:val="en-US"/>
        </w:rPr>
      </w:pPr>
      <w:r w:rsidRPr="0038375A">
        <w:rPr>
          <w:lang w:val="en-US"/>
        </w:rPr>
        <w:t xml:space="preserve">Xuan, Q. T., Truong, H. T. H., &amp; Quang, T. V. (2023). The impacts of omnichannel retailing properties on customer experience and brand loyalty: A study in the banking sector. </w:t>
      </w:r>
      <w:r w:rsidRPr="0038375A">
        <w:rPr>
          <w:i/>
          <w:iCs/>
          <w:lang w:val="en-US"/>
        </w:rPr>
        <w:t>Cogent Business &amp; Management, 10</w:t>
      </w:r>
      <w:r w:rsidRPr="0038375A">
        <w:rPr>
          <w:lang w:val="en-US"/>
        </w:rPr>
        <w:t xml:space="preserve">(1), Article 2244765. </w:t>
      </w:r>
      <w:hyperlink r:id="rId16" w:tgtFrame="_new" w:history="1">
        <w:r w:rsidRPr="0038375A">
          <w:rPr>
            <w:rStyle w:val="Hipervnculo"/>
            <w:lang w:val="en-US"/>
          </w:rPr>
          <w:t>https://doi.org/10.1080/23311975.2023.2244765</w:t>
        </w:r>
      </w:hyperlink>
    </w:p>
    <w:p w14:paraId="3030D602" w14:textId="77777777" w:rsidR="00866686" w:rsidRPr="00866686" w:rsidRDefault="00866686" w:rsidP="00866686">
      <w:pPr>
        <w:pStyle w:val="Textoindependiente"/>
        <w:spacing w:before="0" w:after="0"/>
        <w:ind w:left="720" w:hanging="720"/>
        <w:jc w:val="both"/>
      </w:pPr>
      <w:r w:rsidRPr="0038375A">
        <w:rPr>
          <w:lang w:val="en-US"/>
        </w:rPr>
        <w:t xml:space="preserve">Yang, Q., &amp; Lee, Y.-C. (2022). What drives the digital customer experience and customer loyalty in mobile short-form video shopping? </w:t>
      </w:r>
      <w:proofErr w:type="spellStart"/>
      <w:r w:rsidRPr="00866686">
        <w:t>Evidence</w:t>
      </w:r>
      <w:proofErr w:type="spellEnd"/>
      <w:r w:rsidRPr="00866686">
        <w:t xml:space="preserve"> </w:t>
      </w:r>
      <w:proofErr w:type="spellStart"/>
      <w:r w:rsidRPr="00866686">
        <w:t>from</w:t>
      </w:r>
      <w:proofErr w:type="spellEnd"/>
      <w:r w:rsidRPr="00866686">
        <w:t xml:space="preserve"> </w:t>
      </w:r>
      <w:proofErr w:type="spellStart"/>
      <w:r w:rsidRPr="00866686">
        <w:t>Douyin</w:t>
      </w:r>
      <w:proofErr w:type="spellEnd"/>
      <w:r w:rsidRPr="00866686">
        <w:t xml:space="preserve"> (TikTok). </w:t>
      </w:r>
      <w:proofErr w:type="spellStart"/>
      <w:r w:rsidRPr="00866686">
        <w:rPr>
          <w:i/>
          <w:iCs/>
        </w:rPr>
        <w:t>Sustainability</w:t>
      </w:r>
      <w:proofErr w:type="spellEnd"/>
      <w:r w:rsidRPr="00866686">
        <w:rPr>
          <w:i/>
          <w:iCs/>
        </w:rPr>
        <w:t>, 14</w:t>
      </w:r>
      <w:r w:rsidRPr="00866686">
        <w:t>(17), 10890. https://doi.org/10.3390/su141710890</w:t>
      </w:r>
    </w:p>
    <w:p w14:paraId="4D8C3B42" w14:textId="77777777" w:rsidR="00C7777E" w:rsidRPr="00C7777E" w:rsidRDefault="00C7777E" w:rsidP="00C7777E">
      <w:pPr>
        <w:pStyle w:val="Textoindependiente"/>
        <w:spacing w:before="0" w:after="0"/>
        <w:ind w:left="720" w:hanging="720"/>
        <w:jc w:val="both"/>
      </w:pPr>
    </w:p>
    <w:sectPr w:rsidR="00C7777E" w:rsidRPr="00C7777E" w:rsidSect="00075270">
      <w:headerReference w:type="default" r:id="rId17"/>
      <w:footerReference w:type="default" r:id="rId18"/>
      <w:pgSz w:w="11910" w:h="16840"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99E4A" w14:textId="77777777" w:rsidR="00786A40" w:rsidRDefault="00786A40" w:rsidP="00D73BF2">
      <w:pPr>
        <w:spacing w:after="0"/>
      </w:pPr>
      <w:r>
        <w:separator/>
      </w:r>
    </w:p>
  </w:endnote>
  <w:endnote w:type="continuationSeparator" w:id="0">
    <w:p w14:paraId="0372A06C" w14:textId="77777777" w:rsidR="00786A40" w:rsidRDefault="00786A40"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rlito">
    <w:altName w:val="Calibr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0"/>
      </w:rPr>
      <w:id w:val="901340840"/>
      <w:docPartObj>
        <w:docPartGallery w:val="Page Numbers (Bottom of Page)"/>
        <w:docPartUnique/>
      </w:docPartObj>
    </w:sdtPr>
    <w:sdtContent>
      <w:p w14:paraId="2E34F5B8" w14:textId="62D11D6A"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38DDA8F" id="_x0000_t202" coordsize="21600,21600" o:spt="202" path="m,l,21600r21600,l21600,xe">
                  <v:stroke joinstyle="miter"/>
                  <v:path gradientshapeok="t" o:connecttype="rect"/>
                </v:shapetype>
                <v:shape id="Cuadro de texto 2" o:spid="_x0000_s1028" type="#_x0000_t20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&#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484661" w:rsidRPr="00484661">
          <w:rPr>
            <w:noProof/>
            <w:szCs w:val="20"/>
            <w:lang w:val="es-ES"/>
          </w:rPr>
          <w:t>11</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5FA6A" w14:textId="77777777" w:rsidR="00786A40" w:rsidRDefault="00786A40" w:rsidP="00D73BF2">
      <w:pPr>
        <w:spacing w:after="0"/>
      </w:pPr>
      <w:r>
        <w:separator/>
      </w:r>
    </w:p>
  </w:footnote>
  <w:footnote w:type="continuationSeparator" w:id="0">
    <w:p w14:paraId="203707A2" w14:textId="77777777" w:rsidR="00786A40" w:rsidRDefault="00786A40"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2D93" w14:textId="76BA9D3E" w:rsidR="00D21365" w:rsidRDefault="00254D41" w:rsidP="003040DE">
    <w:pPr>
      <w:pStyle w:val="Encabezado"/>
      <w:tabs>
        <w:tab w:val="clear" w:pos="4419"/>
      </w:tabs>
      <w:ind w:left="3828"/>
      <w:jc w:val="right"/>
    </w:pPr>
    <w:r>
      <w:rPr>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3040DE">
      <w:t xml:space="preserve">Título: </w:t>
    </w:r>
    <w:r w:rsidR="0038375A" w:rsidRPr="0038375A">
      <w:t>Experiencia del consumidor y fidelización de marca en entornos digitales: una revisión narrativa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2"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5446357">
    <w:abstractNumId w:val="0"/>
  </w:num>
  <w:num w:numId="2" w16cid:durableId="431780607">
    <w:abstractNumId w:val="1"/>
  </w:num>
  <w:num w:numId="3" w16cid:durableId="370619075">
    <w:abstractNumId w:val="5"/>
  </w:num>
  <w:num w:numId="4" w16cid:durableId="744533">
    <w:abstractNumId w:val="7"/>
  </w:num>
  <w:num w:numId="5" w16cid:durableId="862788430">
    <w:abstractNumId w:val="8"/>
  </w:num>
  <w:num w:numId="6" w16cid:durableId="1981642075">
    <w:abstractNumId w:val="6"/>
  </w:num>
  <w:num w:numId="7" w16cid:durableId="1135441693">
    <w:abstractNumId w:val="2"/>
  </w:num>
  <w:num w:numId="8" w16cid:durableId="2123182601">
    <w:abstractNumId w:val="4"/>
  </w:num>
  <w:num w:numId="9" w16cid:durableId="343702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75E1"/>
    <w:rsid w:val="00044EFB"/>
    <w:rsid w:val="00045C81"/>
    <w:rsid w:val="00052055"/>
    <w:rsid w:val="000750F5"/>
    <w:rsid w:val="00075270"/>
    <w:rsid w:val="000921F0"/>
    <w:rsid w:val="000961CB"/>
    <w:rsid w:val="000B5EA4"/>
    <w:rsid w:val="000C0C0B"/>
    <w:rsid w:val="000C4E79"/>
    <w:rsid w:val="000C5D84"/>
    <w:rsid w:val="000D3528"/>
    <w:rsid w:val="00115D95"/>
    <w:rsid w:val="00121D8E"/>
    <w:rsid w:val="00123471"/>
    <w:rsid w:val="00127340"/>
    <w:rsid w:val="0013185E"/>
    <w:rsid w:val="00133781"/>
    <w:rsid w:val="0013654F"/>
    <w:rsid w:val="00142E6C"/>
    <w:rsid w:val="001433BB"/>
    <w:rsid w:val="00173089"/>
    <w:rsid w:val="00176EE3"/>
    <w:rsid w:val="00187801"/>
    <w:rsid w:val="00192072"/>
    <w:rsid w:val="001953B7"/>
    <w:rsid w:val="001A1315"/>
    <w:rsid w:val="001B53B9"/>
    <w:rsid w:val="001B59DB"/>
    <w:rsid w:val="001B64AB"/>
    <w:rsid w:val="001D132E"/>
    <w:rsid w:val="001D90B7"/>
    <w:rsid w:val="001E281A"/>
    <w:rsid w:val="001E3429"/>
    <w:rsid w:val="001E4F8F"/>
    <w:rsid w:val="0021373E"/>
    <w:rsid w:val="0023586F"/>
    <w:rsid w:val="002447D9"/>
    <w:rsid w:val="00254371"/>
    <w:rsid w:val="00254D41"/>
    <w:rsid w:val="00261EA1"/>
    <w:rsid w:val="00291E1C"/>
    <w:rsid w:val="002B56F5"/>
    <w:rsid w:val="002B6133"/>
    <w:rsid w:val="002C5CC2"/>
    <w:rsid w:val="002C5E8A"/>
    <w:rsid w:val="002D7878"/>
    <w:rsid w:val="002E2814"/>
    <w:rsid w:val="002E340F"/>
    <w:rsid w:val="002E4834"/>
    <w:rsid w:val="002E58EB"/>
    <w:rsid w:val="002F54EC"/>
    <w:rsid w:val="002F580D"/>
    <w:rsid w:val="003040DE"/>
    <w:rsid w:val="0031412D"/>
    <w:rsid w:val="00335693"/>
    <w:rsid w:val="00347DDA"/>
    <w:rsid w:val="003526EE"/>
    <w:rsid w:val="00365DFD"/>
    <w:rsid w:val="00367F1C"/>
    <w:rsid w:val="0037658B"/>
    <w:rsid w:val="0038375A"/>
    <w:rsid w:val="003940D6"/>
    <w:rsid w:val="00397B0A"/>
    <w:rsid w:val="003C5FF6"/>
    <w:rsid w:val="003D1B45"/>
    <w:rsid w:val="003D6E67"/>
    <w:rsid w:val="003F0821"/>
    <w:rsid w:val="003F1BA6"/>
    <w:rsid w:val="003F1C2F"/>
    <w:rsid w:val="00400278"/>
    <w:rsid w:val="004023B1"/>
    <w:rsid w:val="004146A2"/>
    <w:rsid w:val="00417EA6"/>
    <w:rsid w:val="00425266"/>
    <w:rsid w:val="0045486B"/>
    <w:rsid w:val="00463BF9"/>
    <w:rsid w:val="00467699"/>
    <w:rsid w:val="00484661"/>
    <w:rsid w:val="00486996"/>
    <w:rsid w:val="004875B3"/>
    <w:rsid w:val="004A5435"/>
    <w:rsid w:val="004C134B"/>
    <w:rsid w:val="004C3262"/>
    <w:rsid w:val="004D0B79"/>
    <w:rsid w:val="004E2588"/>
    <w:rsid w:val="004F4A21"/>
    <w:rsid w:val="004F546F"/>
    <w:rsid w:val="00502306"/>
    <w:rsid w:val="00503338"/>
    <w:rsid w:val="00526F2F"/>
    <w:rsid w:val="00547A25"/>
    <w:rsid w:val="005520D6"/>
    <w:rsid w:val="0056750C"/>
    <w:rsid w:val="0057414B"/>
    <w:rsid w:val="0058219B"/>
    <w:rsid w:val="0058367E"/>
    <w:rsid w:val="005875D4"/>
    <w:rsid w:val="005A488B"/>
    <w:rsid w:val="005A4FE3"/>
    <w:rsid w:val="005C134C"/>
    <w:rsid w:val="005E5150"/>
    <w:rsid w:val="005F3371"/>
    <w:rsid w:val="00620CF4"/>
    <w:rsid w:val="00643F19"/>
    <w:rsid w:val="006462A4"/>
    <w:rsid w:val="00654789"/>
    <w:rsid w:val="00671CFA"/>
    <w:rsid w:val="006A0CFC"/>
    <w:rsid w:val="006A5DB0"/>
    <w:rsid w:val="006D0499"/>
    <w:rsid w:val="006E16B9"/>
    <w:rsid w:val="006E3569"/>
    <w:rsid w:val="00704D1D"/>
    <w:rsid w:val="00717C77"/>
    <w:rsid w:val="00721375"/>
    <w:rsid w:val="00760BEA"/>
    <w:rsid w:val="007612E7"/>
    <w:rsid w:val="0077135E"/>
    <w:rsid w:val="00786A40"/>
    <w:rsid w:val="00792119"/>
    <w:rsid w:val="0079308B"/>
    <w:rsid w:val="007C0E95"/>
    <w:rsid w:val="007C5AF8"/>
    <w:rsid w:val="007C7FE3"/>
    <w:rsid w:val="007D0E1A"/>
    <w:rsid w:val="007D440C"/>
    <w:rsid w:val="007E0CAC"/>
    <w:rsid w:val="007E3EE1"/>
    <w:rsid w:val="007E70E3"/>
    <w:rsid w:val="00800575"/>
    <w:rsid w:val="0080122D"/>
    <w:rsid w:val="008041F4"/>
    <w:rsid w:val="00812F14"/>
    <w:rsid w:val="0082243A"/>
    <w:rsid w:val="0082424D"/>
    <w:rsid w:val="00840301"/>
    <w:rsid w:val="0084743F"/>
    <w:rsid w:val="00866686"/>
    <w:rsid w:val="00885023"/>
    <w:rsid w:val="008864C9"/>
    <w:rsid w:val="0089003E"/>
    <w:rsid w:val="008B79CE"/>
    <w:rsid w:val="008C5D48"/>
    <w:rsid w:val="00921F24"/>
    <w:rsid w:val="009245BB"/>
    <w:rsid w:val="00946E72"/>
    <w:rsid w:val="00966806"/>
    <w:rsid w:val="009A5027"/>
    <w:rsid w:val="009B1335"/>
    <w:rsid w:val="009B1994"/>
    <w:rsid w:val="009B78C4"/>
    <w:rsid w:val="009B7CB8"/>
    <w:rsid w:val="009E27AF"/>
    <w:rsid w:val="009F46D2"/>
    <w:rsid w:val="009F69D2"/>
    <w:rsid w:val="00A01978"/>
    <w:rsid w:val="00A049CD"/>
    <w:rsid w:val="00A06127"/>
    <w:rsid w:val="00A1228C"/>
    <w:rsid w:val="00A21CA2"/>
    <w:rsid w:val="00A24DFF"/>
    <w:rsid w:val="00A523C5"/>
    <w:rsid w:val="00A665AE"/>
    <w:rsid w:val="00A67FA8"/>
    <w:rsid w:val="00A800DB"/>
    <w:rsid w:val="00A8326F"/>
    <w:rsid w:val="00A969BA"/>
    <w:rsid w:val="00A97ECE"/>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56A9"/>
    <w:rsid w:val="00B96AB1"/>
    <w:rsid w:val="00BA1B95"/>
    <w:rsid w:val="00BB4658"/>
    <w:rsid w:val="00BB4D33"/>
    <w:rsid w:val="00BB5816"/>
    <w:rsid w:val="00BD582A"/>
    <w:rsid w:val="00BF6927"/>
    <w:rsid w:val="00C03AFF"/>
    <w:rsid w:val="00C0403F"/>
    <w:rsid w:val="00C0790D"/>
    <w:rsid w:val="00C242AD"/>
    <w:rsid w:val="00C2586F"/>
    <w:rsid w:val="00C30B05"/>
    <w:rsid w:val="00C34B8E"/>
    <w:rsid w:val="00C56DB6"/>
    <w:rsid w:val="00C576BB"/>
    <w:rsid w:val="00C74F21"/>
    <w:rsid w:val="00C7777E"/>
    <w:rsid w:val="00C82F96"/>
    <w:rsid w:val="00C86BD1"/>
    <w:rsid w:val="00C873A9"/>
    <w:rsid w:val="00CA5C49"/>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4496"/>
    <w:rsid w:val="00D8614E"/>
    <w:rsid w:val="00D87112"/>
    <w:rsid w:val="00D96702"/>
    <w:rsid w:val="00DA01E0"/>
    <w:rsid w:val="00DA03B9"/>
    <w:rsid w:val="00DA442E"/>
    <w:rsid w:val="00DB529D"/>
    <w:rsid w:val="00DC659B"/>
    <w:rsid w:val="00DF6DBF"/>
    <w:rsid w:val="00DF7E8E"/>
    <w:rsid w:val="00E03E52"/>
    <w:rsid w:val="00E1572D"/>
    <w:rsid w:val="00E22CF2"/>
    <w:rsid w:val="00E250D2"/>
    <w:rsid w:val="00E410E0"/>
    <w:rsid w:val="00E444CC"/>
    <w:rsid w:val="00E534E1"/>
    <w:rsid w:val="00E700B1"/>
    <w:rsid w:val="00E74F5B"/>
    <w:rsid w:val="00E76408"/>
    <w:rsid w:val="00E95D17"/>
    <w:rsid w:val="00EC1F3D"/>
    <w:rsid w:val="00EC6388"/>
    <w:rsid w:val="00F1350E"/>
    <w:rsid w:val="00F210DC"/>
    <w:rsid w:val="00F36191"/>
    <w:rsid w:val="00F66E22"/>
    <w:rsid w:val="00F71721"/>
    <w:rsid w:val="00F83447"/>
    <w:rsid w:val="00F86CA1"/>
    <w:rsid w:val="00F8778F"/>
    <w:rsid w:val="00FC1B85"/>
    <w:rsid w:val="00FE7EF1"/>
    <w:rsid w:val="00FF7E8B"/>
    <w:rsid w:val="0BAA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 w:type="paragraph" w:styleId="NormalWeb">
    <w:name w:val="Normal (Web)"/>
    <w:basedOn w:val="Normal"/>
    <w:uiPriority w:val="99"/>
    <w:semiHidden/>
    <w:unhideWhenUsed/>
    <w:rsid w:val="00291E1C"/>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C77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su141811547"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jretai.2023.11.004"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80/23311975.2023.224476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306/al.v11i3.530" TargetMode="External"/><Relationship Id="rId5" Type="http://schemas.openxmlformats.org/officeDocument/2006/relationships/webSettings" Target="webSettings.xml"/><Relationship Id="rId15" Type="http://schemas.openxmlformats.org/officeDocument/2006/relationships/hyperlink" Target="https://doi.org/10.3389/fcomm.2025.1626744" TargetMode="External"/><Relationship Id="rId10" Type="http://schemas.openxmlformats.org/officeDocument/2006/relationships/hyperlink" Target="https://doi.org/10.1108/JIMA-01-2022-000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23311975.2024.2364838" TargetMode="External"/><Relationship Id="rId14" Type="http://schemas.openxmlformats.org/officeDocument/2006/relationships/hyperlink" Target="https://doi.org/10.3390/jtaer2002011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3411</Words>
  <Characters>21389</Characters>
  <Application>Microsoft Office Word</Application>
  <DocSecurity>0</DocSecurity>
  <Lines>436</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dayssi mercado lopèz</cp:lastModifiedBy>
  <cp:revision>4</cp:revision>
  <dcterms:created xsi:type="dcterms:W3CDTF">2026-04-10T01:20:00Z</dcterms:created>
  <dcterms:modified xsi:type="dcterms:W3CDTF">2026-04-11T17:50:00Z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