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3182CE" w:sz="8"/>
        </w:pBdr>
        <w:spacing w:after="120"/>
        <w:jc w:val="center"/>
      </w:pPr>
      <w:r>
        <w:rPr>
          <w:rFonts w:ascii="Aptos Display" w:cs="Aptos Display" w:eastAsia="Aptos Display" w:hAnsi="Aptos Display"/>
          <w:b/>
          <w:bCs/>
          <w:color w:val="1A365D"/>
          <w:sz w:val="34"/>
          <w:szCs w:val="34"/>
        </w:rPr>
        <w:t xml:space="preserve">Test</w:t>
      </w:r>
    </w:p>
    <w:p>
      <w:pPr>
        <w:spacing w:after="360"/>
        <w:jc w:val="center"/>
      </w:pPr>
      <w:r>
        <w:rPr>
          <w:rFonts w:ascii="Calibri" w:cs="Calibri" w:eastAsia="Calibri" w:hAnsi="Calibri"/>
          <w:color w:val="718096"/>
          <w:sz w:val="22"/>
          <w:szCs w:val="22"/>
        </w:rPr>
        <w:t xml:space="preserve">Corporate Boardroom</w:t>
      </w:r>
    </w:p>
    <w:p>
      <w:pPr>
        <w:spacing w:after="1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Test</w:t>
      </w:r>
    </w:p>
    <w:p>
      <w:pPr>
        <w:spacing w:after="1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Test content</w:t>
      </w:r>
    </w:p>
    <w:sectPr>
      <w:headerReference w:type="default" r:id="rId6"/>
      <w:footerReference w:type="default" r:id="rId7"/>
      <w:pgSz w:w="11906" w:h="16838" w:orient="portrait"/>
      <w:pgMar w:top="1296" w:right="1296" w:bottom="1008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18096"/>
        <w:sz w:val="16"/>
        <w:szCs w:val="16"/>
      </w:rPr>
      <w:t xml:space="preserve">Corporate Boardroom • 7/4/2026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182CE" w:sz="4"/>
      </w:pBdr>
      <w:jc w:val="right"/>
    </w:pPr>
    <w:r>
      <w:rPr>
        <w:rFonts w:ascii="Calibri" w:cs="Calibri" w:eastAsia="Calibri" w:hAnsi="Calibri"/>
        <w:b/>
        <w:bCs/>
        <w:color w:val="3182CE"/>
        <w:sz w:val="18"/>
        <w:szCs w:val="18"/>
      </w:rPr>
      <w:t xml:space="preserve">Corporate Boardroom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2026-04-07T23:05:28.382Z</dcterms:created>
  <dcterms:modified xsi:type="dcterms:W3CDTF">2026-04-07T23:05:28.382Z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