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Ventas Q1</w:t>
      </w:r>
    </w:p>
    <w:p>
      <w:pPr>
        <w:pStyle w:val="Heading1"/>
      </w:pPr>
      <w:r>
        <w:t>Resumen ejecutivo</w:t>
      </w:r>
    </w:p>
    <w:p>
      <w:r>
        <w:t>Este documento resume el desempeño de ventas del primer trimestre.</w:t>
      </w:r>
    </w:p>
    <w:p>
      <w:pPr>
        <w:pStyle w:val="Heading2"/>
      </w:pPr>
      <w:r>
        <w:t>Hallazgos clave</w:t>
      </w:r>
    </w:p>
    <w:p>
      <w:pPr>
        <w:pStyle w:val="ListBullet"/>
      </w:pPr>
      <w:r>
        <w:t>Crecimiento sostenido</w:t>
      </w:r>
    </w:p>
    <w:p>
      <w:pPr>
        <w:pStyle w:val="ListBullet"/>
      </w:pPr>
      <w:r>
        <w:t>Mejora del margen en marzo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Margen</w:t>
            </w:r>
          </w:p>
        </w:tc>
      </w:tr>
      <w:tr>
        <w:tc>
          <w:tcPr>
            <w:tcW w:type="dxa" w:w="2880"/>
          </w:tcPr>
          <w:p>
            <w:r>
              <w:t>Enero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Febrero</w:t>
            </w:r>
          </w:p>
        </w:tc>
        <w:tc>
          <w:tcPr>
            <w:tcW w:type="dxa" w:w="2880"/>
          </w:tcPr>
          <w:p>
            <w:r>
              <w:t>135000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Marzo</w:t>
            </w:r>
          </w:p>
        </w:tc>
        <w:tc>
          <w:tcPr>
            <w:tcW w:type="dxa" w:w="2880"/>
          </w:tcPr>
          <w:p>
            <w:r>
              <w:t>142500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de Datos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