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95" w:rsidRDefault="00427A95" w:rsidP="00427A95">
      <w:pPr>
        <w:pStyle w:val="Heading1"/>
        <w:rPr>
          <w:lang w:val="en-CA"/>
        </w:rPr>
      </w:pPr>
      <w:proofErr w:type="spellStart"/>
      <w:r>
        <w:rPr>
          <w:lang w:val="en-CA"/>
        </w:rPr>
        <w:t>Psyc</w:t>
      </w:r>
      <w:proofErr w:type="spellEnd"/>
      <w:r>
        <w:rPr>
          <w:lang w:val="en-CA"/>
        </w:rPr>
        <w:t xml:space="preserve"> 513</w:t>
      </w:r>
    </w:p>
    <w:p w:rsidR="000F7934" w:rsidRDefault="000F7934" w:rsidP="00427A95">
      <w:pPr>
        <w:pStyle w:val="Heading1"/>
        <w:rPr>
          <w:lang w:val="en-CA"/>
        </w:rPr>
      </w:pPr>
      <w:r>
        <w:rPr>
          <w:lang w:val="en-CA"/>
        </w:rPr>
        <w:t>Article summaries</w:t>
      </w:r>
      <w:r w:rsidR="00427A95">
        <w:rPr>
          <w:lang w:val="en-CA"/>
        </w:rPr>
        <w:t xml:space="preserve"> – working draft 1</w:t>
      </w:r>
    </w:p>
    <w:p w:rsidR="000F7934" w:rsidRDefault="000F7934">
      <w:pPr>
        <w:rPr>
          <w:lang w:val="en-CA"/>
        </w:rPr>
      </w:pPr>
    </w:p>
    <w:tbl>
      <w:tblPr>
        <w:tblStyle w:val="TableGrid"/>
        <w:tblW w:w="14485" w:type="dxa"/>
        <w:tblLook w:val="04A0" w:firstRow="1" w:lastRow="0" w:firstColumn="1" w:lastColumn="0" w:noHBand="0" w:noVBand="1"/>
      </w:tblPr>
      <w:tblGrid>
        <w:gridCol w:w="2245"/>
        <w:gridCol w:w="12240"/>
      </w:tblGrid>
      <w:tr w:rsidR="000F7934" w:rsidTr="002623F6">
        <w:tc>
          <w:tcPr>
            <w:tcW w:w="2245" w:type="dxa"/>
            <w:shd w:val="clear" w:color="auto" w:fill="DEEAF6" w:themeFill="accent1" w:themeFillTint="33"/>
          </w:tcPr>
          <w:p w:rsidR="000F7934" w:rsidRDefault="000F7934" w:rsidP="000F7934">
            <w:pPr>
              <w:rPr>
                <w:lang w:val="en-CA"/>
              </w:rPr>
            </w:pPr>
            <w:r>
              <w:rPr>
                <w:lang w:val="en-CA"/>
              </w:rPr>
              <w:t>Article name, authors, journey with link</w:t>
            </w:r>
          </w:p>
          <w:p w:rsidR="000F7934" w:rsidRDefault="000F7934">
            <w:pPr>
              <w:rPr>
                <w:lang w:val="en-CA"/>
              </w:rPr>
            </w:pPr>
          </w:p>
        </w:tc>
        <w:tc>
          <w:tcPr>
            <w:tcW w:w="12240" w:type="dxa"/>
          </w:tcPr>
          <w:p w:rsidR="005F6844" w:rsidRPr="005F6844" w:rsidRDefault="005F6844" w:rsidP="005F6844">
            <w:pPr>
              <w:rPr>
                <w:lang w:val="en-CA"/>
              </w:rPr>
            </w:pPr>
            <w:r w:rsidRPr="005F6844">
              <w:rPr>
                <w:b/>
                <w:bCs/>
                <w:lang w:val="en-CA"/>
              </w:rPr>
              <w:t xml:space="preserve">Electronic records for dementia research: Do behavioural disturbances, </w:t>
            </w:r>
            <w:proofErr w:type="spellStart"/>
            <w:r w:rsidRPr="005F6844">
              <w:rPr>
                <w:b/>
                <w:bCs/>
                <w:lang w:val="en-CA"/>
              </w:rPr>
              <w:t>antihypertensives</w:t>
            </w:r>
            <w:proofErr w:type="spellEnd"/>
            <w:r w:rsidRPr="005F6844">
              <w:rPr>
                <w:b/>
                <w:bCs/>
                <w:lang w:val="en-CA"/>
              </w:rPr>
              <w:t xml:space="preserve"> and antidepressants influence decline trajectories?</w:t>
            </w:r>
          </w:p>
          <w:p w:rsidR="005F6844" w:rsidRPr="005F6844" w:rsidRDefault="005F6844" w:rsidP="005F6844">
            <w:pPr>
              <w:rPr>
                <w:lang w:val="en-CA"/>
              </w:rPr>
            </w:pPr>
            <w:r w:rsidRPr="005F6844">
              <w:rPr>
                <w:lang w:val="en-CA"/>
              </w:rPr>
              <w:t xml:space="preserve">Baker, Elizabeth, Iqbal, </w:t>
            </w:r>
            <w:proofErr w:type="spellStart"/>
            <w:r w:rsidRPr="005F6844">
              <w:rPr>
                <w:lang w:val="en-CA"/>
              </w:rPr>
              <w:t>Ehtesham</w:t>
            </w:r>
            <w:proofErr w:type="spellEnd"/>
            <w:r w:rsidRPr="005F6844">
              <w:rPr>
                <w:lang w:val="en-CA"/>
              </w:rPr>
              <w:t xml:space="preserve">, Broadbent, Matthew, Stewart, Robert, </w:t>
            </w:r>
            <w:proofErr w:type="spellStart"/>
            <w:r w:rsidRPr="005F6844">
              <w:rPr>
                <w:lang w:val="en-CA"/>
              </w:rPr>
              <w:t>Khondoker</w:t>
            </w:r>
            <w:proofErr w:type="spellEnd"/>
            <w:r w:rsidRPr="005F6844">
              <w:rPr>
                <w:lang w:val="en-CA"/>
              </w:rPr>
              <w:t xml:space="preserve">, </w:t>
            </w:r>
            <w:proofErr w:type="spellStart"/>
            <w:r w:rsidRPr="005F6844">
              <w:rPr>
                <w:lang w:val="en-CA"/>
              </w:rPr>
              <w:t>Mizanur</w:t>
            </w:r>
            <w:proofErr w:type="spellEnd"/>
            <w:r w:rsidRPr="005F6844">
              <w:rPr>
                <w:lang w:val="en-CA"/>
              </w:rPr>
              <w:t>, Newhouse, Stephen J. and Dobson, Richard J.B. (2016) </w:t>
            </w:r>
            <w:r w:rsidRPr="005F6844">
              <w:rPr>
                <w:i/>
                <w:iCs/>
                <w:lang w:val="en-CA"/>
              </w:rPr>
              <w:t xml:space="preserve">Electronic records for dementia research: Do behavioural disturbances, </w:t>
            </w:r>
            <w:proofErr w:type="spellStart"/>
            <w:r w:rsidRPr="005F6844">
              <w:rPr>
                <w:i/>
                <w:iCs/>
                <w:lang w:val="en-CA"/>
              </w:rPr>
              <w:t>antihypertensives</w:t>
            </w:r>
            <w:proofErr w:type="spellEnd"/>
            <w:r w:rsidRPr="005F6844">
              <w:rPr>
                <w:i/>
                <w:iCs/>
                <w:lang w:val="en-CA"/>
              </w:rPr>
              <w:t xml:space="preserve"> and antidepressants influence decline trajectories?</w:t>
            </w:r>
            <w:r w:rsidRPr="005F6844">
              <w:rPr>
                <w:lang w:val="en-CA"/>
              </w:rPr>
              <w:t> In: UNSPECIFIED.</w:t>
            </w:r>
          </w:p>
          <w:p w:rsidR="000F7934" w:rsidRDefault="00D032C5">
            <w:pPr>
              <w:rPr>
                <w:lang w:val="en-CA"/>
              </w:rPr>
            </w:pPr>
            <w:hyperlink r:id="rId6" w:history="1">
              <w:r w:rsidR="005F6844" w:rsidRPr="00082767">
                <w:rPr>
                  <w:rStyle w:val="Hyperlink"/>
                  <w:lang w:val="en-CA"/>
                </w:rPr>
                <w:t>http://www.alzheimersanddementia.com/article/S1552-5260(16)32508-0/abstract</w:t>
              </w:r>
            </w:hyperlink>
          </w:p>
          <w:p w:rsidR="005F6844" w:rsidRDefault="005F6844">
            <w:pPr>
              <w:rPr>
                <w:lang w:val="en-CA"/>
              </w:rPr>
            </w:pPr>
          </w:p>
        </w:tc>
      </w:tr>
      <w:tr w:rsidR="000F7934" w:rsidTr="002623F6">
        <w:tc>
          <w:tcPr>
            <w:tcW w:w="2245" w:type="dxa"/>
            <w:shd w:val="clear" w:color="auto" w:fill="DEEAF6" w:themeFill="accent1" w:themeFillTint="33"/>
          </w:tcPr>
          <w:p w:rsidR="000F7934" w:rsidRDefault="000F7934" w:rsidP="000F7934">
            <w:pPr>
              <w:rPr>
                <w:lang w:val="en-CA"/>
              </w:rPr>
            </w:pPr>
            <w:r>
              <w:rPr>
                <w:lang w:val="en-CA"/>
              </w:rPr>
              <w:t>Question, issue, problem</w:t>
            </w:r>
          </w:p>
          <w:p w:rsidR="000F7934" w:rsidRDefault="000F7934">
            <w:pPr>
              <w:rPr>
                <w:lang w:val="en-CA"/>
              </w:rPr>
            </w:pPr>
          </w:p>
        </w:tc>
        <w:tc>
          <w:tcPr>
            <w:tcW w:w="12240" w:type="dxa"/>
          </w:tcPr>
          <w:p w:rsidR="00427A95" w:rsidRDefault="00427A95" w:rsidP="00F57A66">
            <w:pPr>
              <w:pStyle w:val="ListParagraph"/>
              <w:numPr>
                <w:ilvl w:val="0"/>
                <w:numId w:val="4"/>
              </w:numPr>
              <w:rPr>
                <w:lang w:val="en-CA"/>
              </w:rPr>
            </w:pPr>
            <w:r>
              <w:rPr>
                <w:lang w:val="en-CA"/>
              </w:rPr>
              <w:t>Conceptual – conceptualizing decline</w:t>
            </w:r>
          </w:p>
          <w:p w:rsidR="000F7934" w:rsidRDefault="00427A95" w:rsidP="00F57A66">
            <w:pPr>
              <w:pStyle w:val="ListParagraph"/>
              <w:numPr>
                <w:ilvl w:val="0"/>
                <w:numId w:val="4"/>
              </w:numPr>
              <w:rPr>
                <w:lang w:val="en-CA"/>
              </w:rPr>
            </w:pPr>
            <w:r>
              <w:rPr>
                <w:lang w:val="en-CA"/>
              </w:rPr>
              <w:t>Data requirements – what is required to measure decline</w:t>
            </w:r>
          </w:p>
          <w:p w:rsidR="00427A95" w:rsidRDefault="00427A95" w:rsidP="00F57A66">
            <w:pPr>
              <w:pStyle w:val="ListParagraph"/>
              <w:numPr>
                <w:ilvl w:val="0"/>
                <w:numId w:val="4"/>
              </w:numPr>
              <w:rPr>
                <w:lang w:val="en-CA"/>
              </w:rPr>
            </w:pPr>
            <w:r>
              <w:rPr>
                <w:lang w:val="en-CA"/>
              </w:rPr>
              <w:t>Statistical procedures to characterize decline</w:t>
            </w:r>
          </w:p>
          <w:p w:rsidR="00427A95" w:rsidRPr="00427A95" w:rsidRDefault="00427A95" w:rsidP="00F57A66">
            <w:pPr>
              <w:pStyle w:val="ListParagraph"/>
              <w:numPr>
                <w:ilvl w:val="0"/>
                <w:numId w:val="4"/>
              </w:numPr>
              <w:rPr>
                <w:lang w:val="en-CA"/>
              </w:rPr>
            </w:pPr>
            <w:r>
              <w:rPr>
                <w:lang w:val="en-CA"/>
              </w:rPr>
              <w:t>Impact of various factors on trajectories</w:t>
            </w:r>
          </w:p>
        </w:tc>
      </w:tr>
      <w:tr w:rsidR="00286687" w:rsidTr="002623F6">
        <w:tc>
          <w:tcPr>
            <w:tcW w:w="2245" w:type="dxa"/>
            <w:shd w:val="clear" w:color="auto" w:fill="DEEAF6" w:themeFill="accent1" w:themeFillTint="33"/>
          </w:tcPr>
          <w:p w:rsidR="00286687" w:rsidRDefault="00286687" w:rsidP="000F7934">
            <w:pPr>
              <w:rPr>
                <w:lang w:val="en-CA"/>
              </w:rPr>
            </w:pPr>
            <w:r>
              <w:rPr>
                <w:lang w:val="en-CA"/>
              </w:rPr>
              <w:t>Cohort</w:t>
            </w:r>
          </w:p>
        </w:tc>
        <w:tc>
          <w:tcPr>
            <w:tcW w:w="12240" w:type="dxa"/>
          </w:tcPr>
          <w:p w:rsidR="00286687" w:rsidRPr="00F57A66" w:rsidRDefault="00286687" w:rsidP="00286687">
            <w:pPr>
              <w:rPr>
                <w:lang w:val="en-CA"/>
              </w:rPr>
            </w:pPr>
            <w:r w:rsidRPr="00F57A66">
              <w:rPr>
                <w:rFonts w:ascii="Arial" w:eastAsia="Times New Roman" w:hAnsi="Arial" w:cs="Arial"/>
                <w:sz w:val="20"/>
                <w:szCs w:val="20"/>
                <w:lang w:val="en-CA" w:eastAsia="en-CA"/>
              </w:rPr>
              <w:t>3441 patients with at least three MMSE scores recorded</w:t>
            </w:r>
          </w:p>
        </w:tc>
      </w:tr>
      <w:tr w:rsidR="000F7934" w:rsidTr="002623F6">
        <w:tc>
          <w:tcPr>
            <w:tcW w:w="2245" w:type="dxa"/>
            <w:shd w:val="clear" w:color="auto" w:fill="DEEAF6" w:themeFill="accent1" w:themeFillTint="33"/>
          </w:tcPr>
          <w:p w:rsidR="000F7934" w:rsidRDefault="000F7934" w:rsidP="000F7934">
            <w:pPr>
              <w:rPr>
                <w:lang w:val="en-CA"/>
              </w:rPr>
            </w:pPr>
            <w:r>
              <w:rPr>
                <w:lang w:val="en-CA"/>
              </w:rPr>
              <w:t>Data</w:t>
            </w:r>
          </w:p>
          <w:p w:rsidR="000F7934" w:rsidRDefault="000F7934" w:rsidP="000F7934">
            <w:pPr>
              <w:rPr>
                <w:lang w:val="en-CA"/>
              </w:rPr>
            </w:pPr>
          </w:p>
        </w:tc>
        <w:tc>
          <w:tcPr>
            <w:tcW w:w="12240" w:type="dxa"/>
          </w:tcPr>
          <w:p w:rsidR="000F7934" w:rsidRPr="00F57A66" w:rsidRDefault="00286687" w:rsidP="000F7934">
            <w:pPr>
              <w:rPr>
                <w:lang w:val="en-CA"/>
              </w:rPr>
            </w:pPr>
            <w:r w:rsidRPr="00F57A66">
              <w:rPr>
                <w:rFonts w:ascii="Arial" w:eastAsia="Times New Roman" w:hAnsi="Arial" w:cs="Arial"/>
                <w:sz w:val="20"/>
                <w:szCs w:val="20"/>
                <w:lang w:val="en-CA" w:eastAsia="en-CA"/>
              </w:rPr>
              <w:t>Information on age, gender, ethnicity, qualification levels, cohabiting status, retirement status, Health of Nation Outcome Scales (</w:t>
            </w:r>
            <w:proofErr w:type="spellStart"/>
            <w:r w:rsidRPr="00F57A66">
              <w:rPr>
                <w:rFonts w:ascii="Arial" w:eastAsia="Times New Roman" w:hAnsi="Arial" w:cs="Arial"/>
                <w:sz w:val="20"/>
                <w:szCs w:val="20"/>
                <w:lang w:val="en-CA" w:eastAsia="en-CA"/>
              </w:rPr>
              <w:t>HoNOS</w:t>
            </w:r>
            <w:proofErr w:type="spellEnd"/>
            <w:r w:rsidRPr="00F57A66">
              <w:rPr>
                <w:rFonts w:ascii="Arial" w:eastAsia="Times New Roman" w:hAnsi="Arial" w:cs="Arial"/>
                <w:sz w:val="20"/>
                <w:szCs w:val="20"/>
                <w:lang w:val="en-CA" w:eastAsia="en-CA"/>
              </w:rPr>
              <w:t>) and medications</w:t>
            </w:r>
          </w:p>
        </w:tc>
      </w:tr>
      <w:tr w:rsidR="000F7934" w:rsidTr="002623F6">
        <w:tc>
          <w:tcPr>
            <w:tcW w:w="2245" w:type="dxa"/>
            <w:shd w:val="clear" w:color="auto" w:fill="DEEAF6" w:themeFill="accent1" w:themeFillTint="33"/>
          </w:tcPr>
          <w:p w:rsidR="000F7934" w:rsidRDefault="000F7934" w:rsidP="000F7934">
            <w:pPr>
              <w:rPr>
                <w:lang w:val="en-CA"/>
              </w:rPr>
            </w:pPr>
            <w:r>
              <w:rPr>
                <w:lang w:val="en-CA"/>
              </w:rPr>
              <w:t>Statistical approach</w:t>
            </w:r>
          </w:p>
          <w:p w:rsidR="000F7934" w:rsidRDefault="000F7934" w:rsidP="000F7934">
            <w:pPr>
              <w:rPr>
                <w:lang w:val="en-CA"/>
              </w:rPr>
            </w:pPr>
          </w:p>
        </w:tc>
        <w:tc>
          <w:tcPr>
            <w:tcW w:w="12240" w:type="dxa"/>
          </w:tcPr>
          <w:p w:rsidR="000F7934" w:rsidRPr="00F57A66" w:rsidRDefault="00286687" w:rsidP="000F7934">
            <w:pPr>
              <w:rPr>
                <w:rFonts w:ascii="Arial" w:eastAsia="Times New Roman" w:hAnsi="Arial" w:cs="Arial"/>
                <w:sz w:val="20"/>
                <w:szCs w:val="20"/>
                <w:lang w:val="en-CA" w:eastAsia="en-CA"/>
              </w:rPr>
            </w:pPr>
            <w:r w:rsidRPr="00F57A66">
              <w:rPr>
                <w:rFonts w:ascii="Arial" w:eastAsia="Times New Roman" w:hAnsi="Arial" w:cs="Arial"/>
                <w:sz w:val="20"/>
                <w:szCs w:val="20"/>
                <w:lang w:val="en-CA" w:eastAsia="en-CA"/>
              </w:rPr>
              <w:t>Latent Class Growth Analysis was used to identify key trajectories of decline</w:t>
            </w:r>
            <w:r w:rsidRPr="00F57A66">
              <w:rPr>
                <w:rFonts w:ascii="Arial" w:eastAsia="Times New Roman" w:hAnsi="Arial" w:cs="Arial"/>
                <w:sz w:val="20"/>
                <w:szCs w:val="20"/>
                <w:lang w:val="en-CA" w:eastAsia="en-CA"/>
              </w:rPr>
              <w:t>.</w:t>
            </w:r>
          </w:p>
          <w:p w:rsidR="00286687" w:rsidRPr="00F57A66" w:rsidRDefault="00286687" w:rsidP="000F7934">
            <w:pPr>
              <w:rPr>
                <w:lang w:val="en-CA"/>
              </w:rPr>
            </w:pPr>
            <w:r w:rsidRPr="00F57A66">
              <w:rPr>
                <w:rFonts w:ascii="Arial" w:eastAsia="Times New Roman" w:hAnsi="Arial" w:cs="Arial"/>
                <w:sz w:val="20"/>
                <w:szCs w:val="20"/>
                <w:lang w:val="en-CA" w:eastAsia="en-CA"/>
              </w:rPr>
              <w:t>Data referenced above were used to describe characteristics of the identified trajectory sub-populations in a multivariable multinomial regression analysis.</w:t>
            </w:r>
          </w:p>
        </w:tc>
      </w:tr>
      <w:tr w:rsidR="000F7934" w:rsidTr="002623F6">
        <w:tc>
          <w:tcPr>
            <w:tcW w:w="2245" w:type="dxa"/>
            <w:shd w:val="clear" w:color="auto" w:fill="DEEAF6" w:themeFill="accent1" w:themeFillTint="33"/>
          </w:tcPr>
          <w:p w:rsidR="000F7934" w:rsidRDefault="00286687" w:rsidP="000F7934">
            <w:pPr>
              <w:rPr>
                <w:lang w:val="en-CA"/>
              </w:rPr>
            </w:pPr>
            <w:r>
              <w:rPr>
                <w:lang w:val="en-CA"/>
              </w:rPr>
              <w:t xml:space="preserve">Results, </w:t>
            </w:r>
            <w:r w:rsidR="000F7934">
              <w:rPr>
                <w:lang w:val="en-CA"/>
              </w:rPr>
              <w:t>Product</w:t>
            </w:r>
            <w:r>
              <w:rPr>
                <w:lang w:val="en-CA"/>
              </w:rPr>
              <w:t>s</w:t>
            </w:r>
          </w:p>
          <w:p w:rsidR="000F7934" w:rsidRDefault="000F7934" w:rsidP="000F7934">
            <w:pPr>
              <w:rPr>
                <w:lang w:val="en-CA"/>
              </w:rPr>
            </w:pPr>
          </w:p>
        </w:tc>
        <w:tc>
          <w:tcPr>
            <w:tcW w:w="12240" w:type="dxa"/>
          </w:tcPr>
          <w:p w:rsidR="000F7934" w:rsidRPr="00F57A66" w:rsidRDefault="00286687" w:rsidP="00F57A66">
            <w:pPr>
              <w:pStyle w:val="ListParagraph"/>
              <w:numPr>
                <w:ilvl w:val="0"/>
                <w:numId w:val="4"/>
              </w:numPr>
              <w:rPr>
                <w:lang w:val="en-CA"/>
              </w:rPr>
            </w:pPr>
            <w:r w:rsidRPr="00F57A66">
              <w:rPr>
                <w:lang w:val="en-CA"/>
              </w:rPr>
              <w:t>We identified six trajectories of cognitive decline. Four of these trajectories differed in initial MMSE score, and showed increased rate of decline with lower initial MMSE. Two trajectories had very similar initial MMSE scores but differed in the rate of decline.</w:t>
            </w:r>
          </w:p>
          <w:p w:rsidR="00286687" w:rsidRPr="00F57A66" w:rsidRDefault="00F57A66" w:rsidP="00F57A66">
            <w:pPr>
              <w:pStyle w:val="ListParagraph"/>
              <w:numPr>
                <w:ilvl w:val="0"/>
                <w:numId w:val="4"/>
              </w:numPr>
              <w:rPr>
                <w:lang w:val="en-CA"/>
              </w:rPr>
            </w:pPr>
            <w:r>
              <w:rPr>
                <w:lang w:val="en-CA"/>
              </w:rPr>
              <w:t>T</w:t>
            </w:r>
            <w:r w:rsidR="00286687" w:rsidRPr="00F57A66">
              <w:rPr>
                <w:lang w:val="en-CA"/>
              </w:rPr>
              <w:t>he severity of cognitive problems at baseline and prescription of Donepezil and Amlodipine was significantly higher in the slower declining trajectory.</w:t>
            </w:r>
          </w:p>
          <w:p w:rsidR="00286687" w:rsidRPr="00F57A66" w:rsidRDefault="00286687" w:rsidP="00F57A66">
            <w:pPr>
              <w:pStyle w:val="ListParagraph"/>
              <w:numPr>
                <w:ilvl w:val="0"/>
                <w:numId w:val="4"/>
              </w:numPr>
              <w:rPr>
                <w:lang w:val="en-CA"/>
              </w:rPr>
            </w:pPr>
            <w:r w:rsidRPr="00F57A66">
              <w:rPr>
                <w:lang w:val="en-CA"/>
              </w:rPr>
              <w:t>In the faster declining trajectory, severity of behavioral problems and prescription of sertraline was significantly higher.</w:t>
            </w:r>
          </w:p>
        </w:tc>
      </w:tr>
      <w:tr w:rsidR="00286687" w:rsidTr="002623F6">
        <w:tc>
          <w:tcPr>
            <w:tcW w:w="2245" w:type="dxa"/>
            <w:shd w:val="clear" w:color="auto" w:fill="DEEAF6" w:themeFill="accent1" w:themeFillTint="33"/>
          </w:tcPr>
          <w:p w:rsidR="00286687" w:rsidRDefault="00286687" w:rsidP="00F57A66">
            <w:pPr>
              <w:rPr>
                <w:lang w:val="en-CA"/>
              </w:rPr>
            </w:pPr>
            <w:r>
              <w:rPr>
                <w:lang w:val="en-CA"/>
              </w:rPr>
              <w:t>Practical implications</w:t>
            </w:r>
            <w:r w:rsidR="00F57A66">
              <w:rPr>
                <w:lang w:val="en-CA"/>
              </w:rPr>
              <w:t xml:space="preserve"> </w:t>
            </w:r>
          </w:p>
        </w:tc>
        <w:tc>
          <w:tcPr>
            <w:tcW w:w="12240" w:type="dxa"/>
          </w:tcPr>
          <w:p w:rsidR="00286687" w:rsidRPr="00F57A66" w:rsidRDefault="00F57A66" w:rsidP="00F57A66">
            <w:pPr>
              <w:rPr>
                <w:rFonts w:ascii="Arial" w:eastAsia="Times New Roman" w:hAnsi="Arial" w:cs="Arial"/>
                <w:sz w:val="20"/>
                <w:szCs w:val="20"/>
                <w:lang w:val="en-CA" w:eastAsia="en-CA"/>
              </w:rPr>
            </w:pPr>
            <w:r w:rsidRPr="00F57A66">
              <w:rPr>
                <w:rFonts w:ascii="Arial" w:eastAsia="Times New Roman" w:hAnsi="Arial" w:cs="Arial"/>
                <w:sz w:val="20"/>
                <w:szCs w:val="20"/>
                <w:lang w:val="en-CA" w:eastAsia="en-CA"/>
              </w:rPr>
              <w:t>As stated by author(s):</w:t>
            </w:r>
          </w:p>
          <w:p w:rsidR="00F57A66" w:rsidRPr="00F57A66" w:rsidRDefault="00F57A66" w:rsidP="00F57A66">
            <w:pPr>
              <w:rPr>
                <w:rFonts w:ascii="Arial" w:eastAsia="Times New Roman" w:hAnsi="Arial" w:cs="Arial"/>
                <w:sz w:val="20"/>
                <w:szCs w:val="20"/>
                <w:lang w:val="en-CA" w:eastAsia="en-CA"/>
              </w:rPr>
            </w:pPr>
            <w:r w:rsidRPr="00F57A66">
              <w:rPr>
                <w:rFonts w:ascii="Arial" w:eastAsia="Times New Roman" w:hAnsi="Arial" w:cs="Arial"/>
                <w:sz w:val="20"/>
                <w:szCs w:val="20"/>
                <w:lang w:val="en-CA" w:eastAsia="en-CA"/>
              </w:rPr>
              <w:t>As inferred by article reviewer:</w:t>
            </w:r>
          </w:p>
        </w:tc>
      </w:tr>
      <w:tr w:rsidR="00427A95" w:rsidTr="002623F6">
        <w:tc>
          <w:tcPr>
            <w:tcW w:w="2245" w:type="dxa"/>
            <w:shd w:val="clear" w:color="auto" w:fill="DEEAF6" w:themeFill="accent1" w:themeFillTint="33"/>
          </w:tcPr>
          <w:p w:rsidR="00427A95" w:rsidRDefault="00427A95" w:rsidP="000F7934">
            <w:pPr>
              <w:rPr>
                <w:lang w:val="en-CA"/>
              </w:rPr>
            </w:pPr>
            <w:r>
              <w:rPr>
                <w:lang w:val="en-CA"/>
              </w:rPr>
              <w:t>Readiness</w:t>
            </w:r>
          </w:p>
        </w:tc>
        <w:tc>
          <w:tcPr>
            <w:tcW w:w="12240" w:type="dxa"/>
          </w:tcPr>
          <w:p w:rsidR="00427A95" w:rsidRDefault="00427A95" w:rsidP="000F7934">
            <w:pPr>
              <w:rPr>
                <w:lang w:val="en-CA"/>
              </w:rPr>
            </w:pPr>
            <w:r>
              <w:rPr>
                <w:lang w:val="en-CA"/>
              </w:rPr>
              <w:t>[</w:t>
            </w:r>
            <w:proofErr w:type="gramStart"/>
            <w:r>
              <w:rPr>
                <w:lang w:val="en-CA"/>
              </w:rPr>
              <w:t>are</w:t>
            </w:r>
            <w:proofErr w:type="gramEnd"/>
            <w:r>
              <w:rPr>
                <w:lang w:val="en-CA"/>
              </w:rPr>
              <w:t xml:space="preserve"> the results ‘ready’ for translation to various points in the service system?  If not – what else needs to be done]</w:t>
            </w:r>
          </w:p>
        </w:tc>
      </w:tr>
      <w:tr w:rsidR="000F7934" w:rsidTr="002623F6">
        <w:tc>
          <w:tcPr>
            <w:tcW w:w="2245" w:type="dxa"/>
            <w:shd w:val="clear" w:color="auto" w:fill="DEEAF6" w:themeFill="accent1" w:themeFillTint="33"/>
          </w:tcPr>
          <w:p w:rsidR="000F7934" w:rsidRDefault="000F7934" w:rsidP="000F7934">
            <w:pPr>
              <w:rPr>
                <w:lang w:val="en-CA"/>
              </w:rPr>
            </w:pPr>
            <w:r>
              <w:rPr>
                <w:lang w:val="en-CA"/>
              </w:rPr>
              <w:t>Consumers of the information</w:t>
            </w:r>
          </w:p>
          <w:p w:rsidR="000F7934" w:rsidRDefault="000F7934" w:rsidP="000F7934">
            <w:pPr>
              <w:pStyle w:val="ListParagraph"/>
              <w:numPr>
                <w:ilvl w:val="0"/>
                <w:numId w:val="1"/>
              </w:numPr>
              <w:rPr>
                <w:lang w:val="en-CA"/>
              </w:rPr>
            </w:pPr>
            <w:r>
              <w:rPr>
                <w:lang w:val="en-CA"/>
              </w:rPr>
              <w:t>Who (role)</w:t>
            </w:r>
          </w:p>
          <w:p w:rsidR="000F7934" w:rsidRDefault="000F7934" w:rsidP="000F7934">
            <w:pPr>
              <w:pStyle w:val="ListParagraph"/>
              <w:numPr>
                <w:ilvl w:val="0"/>
                <w:numId w:val="1"/>
              </w:numPr>
              <w:rPr>
                <w:lang w:val="en-CA"/>
              </w:rPr>
            </w:pPr>
            <w:r>
              <w:rPr>
                <w:lang w:val="en-CA"/>
              </w:rPr>
              <w:t>What function</w:t>
            </w:r>
          </w:p>
          <w:p w:rsidR="000F7934" w:rsidRPr="000F7934" w:rsidRDefault="000F7934" w:rsidP="000F7934">
            <w:pPr>
              <w:pStyle w:val="ListParagraph"/>
              <w:numPr>
                <w:ilvl w:val="0"/>
                <w:numId w:val="1"/>
              </w:numPr>
              <w:rPr>
                <w:lang w:val="en-CA"/>
              </w:rPr>
            </w:pPr>
            <w:r>
              <w:rPr>
                <w:lang w:val="en-CA"/>
              </w:rPr>
              <w:t>Context (where in the organization)</w:t>
            </w:r>
          </w:p>
          <w:p w:rsidR="000F7934" w:rsidRDefault="000F7934" w:rsidP="000F7934">
            <w:pPr>
              <w:rPr>
                <w:lang w:val="en-CA"/>
              </w:rPr>
            </w:pPr>
          </w:p>
        </w:tc>
        <w:tc>
          <w:tcPr>
            <w:tcW w:w="12240" w:type="dxa"/>
          </w:tcPr>
          <w:p w:rsidR="000F7934" w:rsidRDefault="00427A95" w:rsidP="000F7934">
            <w:pPr>
              <w:rPr>
                <w:lang w:val="en-CA"/>
              </w:rPr>
            </w:pPr>
            <w:r>
              <w:rPr>
                <w:lang w:val="en-CA"/>
              </w:rPr>
              <w:t xml:space="preserve">Who – clinicians – geriatricians; </w:t>
            </w:r>
            <w:proofErr w:type="spellStart"/>
            <w:r>
              <w:rPr>
                <w:lang w:val="en-CA"/>
              </w:rPr>
              <w:t>psychogeriatricians</w:t>
            </w:r>
            <w:proofErr w:type="spellEnd"/>
            <w:r>
              <w:rPr>
                <w:lang w:val="en-CA"/>
              </w:rPr>
              <w:t>; Home &amp; Community Care case managers….; [Older Adult Quality Council – however that is constituted in the Health Authority where the work is being conducted]</w:t>
            </w:r>
          </w:p>
          <w:p w:rsidR="00427A95" w:rsidRDefault="00427A95" w:rsidP="000F7934">
            <w:pPr>
              <w:rPr>
                <w:lang w:val="en-CA"/>
              </w:rPr>
            </w:pPr>
            <w:r>
              <w:rPr>
                <w:lang w:val="en-CA"/>
              </w:rPr>
              <w:t>What function:  direct care; clinical oversight</w:t>
            </w:r>
          </w:p>
          <w:p w:rsidR="00427A95" w:rsidRDefault="00427A95" w:rsidP="000F7934">
            <w:pPr>
              <w:rPr>
                <w:lang w:val="en-CA"/>
              </w:rPr>
            </w:pPr>
            <w:r>
              <w:rPr>
                <w:lang w:val="en-CA"/>
              </w:rPr>
              <w:t>Context: point-of-service; Quality Councils</w:t>
            </w:r>
          </w:p>
        </w:tc>
      </w:tr>
      <w:tr w:rsidR="00286687" w:rsidTr="002623F6">
        <w:tc>
          <w:tcPr>
            <w:tcW w:w="2245" w:type="dxa"/>
            <w:shd w:val="clear" w:color="auto" w:fill="DEEAF6" w:themeFill="accent1" w:themeFillTint="33"/>
          </w:tcPr>
          <w:p w:rsidR="00286687" w:rsidRDefault="00286687" w:rsidP="000F7934">
            <w:pPr>
              <w:rPr>
                <w:lang w:val="en-CA"/>
              </w:rPr>
            </w:pPr>
            <w:r>
              <w:rPr>
                <w:lang w:val="en-CA"/>
              </w:rPr>
              <w:t>Comments</w:t>
            </w:r>
          </w:p>
        </w:tc>
        <w:tc>
          <w:tcPr>
            <w:tcW w:w="12240" w:type="dxa"/>
          </w:tcPr>
          <w:p w:rsidR="00286687" w:rsidRDefault="00286687" w:rsidP="000F7934">
            <w:pPr>
              <w:rPr>
                <w:lang w:val="en-CA"/>
              </w:rPr>
            </w:pPr>
          </w:p>
        </w:tc>
      </w:tr>
    </w:tbl>
    <w:p w:rsidR="000F7934" w:rsidRDefault="000F7934">
      <w:pPr>
        <w:rPr>
          <w:lang w:val="en-CA"/>
        </w:rPr>
      </w:pPr>
    </w:p>
    <w:p w:rsidR="000F7934" w:rsidRDefault="000F7934">
      <w:pPr>
        <w:rPr>
          <w:lang w:val="en-CA"/>
        </w:rPr>
      </w:pPr>
    </w:p>
    <w:tbl>
      <w:tblPr>
        <w:tblStyle w:val="TableGrid"/>
        <w:tblW w:w="14485" w:type="dxa"/>
        <w:tblLook w:val="04A0" w:firstRow="1" w:lastRow="0" w:firstColumn="1" w:lastColumn="0" w:noHBand="0" w:noVBand="1"/>
      </w:tblPr>
      <w:tblGrid>
        <w:gridCol w:w="2245"/>
        <w:gridCol w:w="12240"/>
      </w:tblGrid>
      <w:tr w:rsidR="00273110" w:rsidTr="002623F6">
        <w:tc>
          <w:tcPr>
            <w:tcW w:w="2245" w:type="dxa"/>
            <w:shd w:val="clear" w:color="auto" w:fill="DEEAF6" w:themeFill="accent1" w:themeFillTint="33"/>
          </w:tcPr>
          <w:p w:rsidR="00273110" w:rsidRDefault="00273110" w:rsidP="004B312E">
            <w:pPr>
              <w:rPr>
                <w:lang w:val="en-CA"/>
              </w:rPr>
            </w:pPr>
            <w:r>
              <w:rPr>
                <w:lang w:val="en-CA"/>
              </w:rPr>
              <w:t>Article name, authors, journey with link</w:t>
            </w:r>
          </w:p>
          <w:p w:rsidR="00273110" w:rsidRDefault="00273110" w:rsidP="004B312E">
            <w:pPr>
              <w:rPr>
                <w:lang w:val="en-CA"/>
              </w:rPr>
            </w:pPr>
          </w:p>
        </w:tc>
        <w:tc>
          <w:tcPr>
            <w:tcW w:w="12240" w:type="dxa"/>
          </w:tcPr>
          <w:p w:rsidR="00273110" w:rsidRDefault="00273110" w:rsidP="004B312E">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Question, issue, problem</w:t>
            </w:r>
          </w:p>
          <w:p w:rsidR="00273110" w:rsidRDefault="00273110" w:rsidP="004B312E">
            <w:pPr>
              <w:rPr>
                <w:lang w:val="en-CA"/>
              </w:rPr>
            </w:pPr>
          </w:p>
        </w:tc>
        <w:tc>
          <w:tcPr>
            <w:tcW w:w="12240" w:type="dxa"/>
          </w:tcPr>
          <w:p w:rsidR="00273110" w:rsidRPr="00427A95" w:rsidRDefault="00273110" w:rsidP="00273110">
            <w:pPr>
              <w:pStyle w:val="ListParagraph"/>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Cohort</w:t>
            </w:r>
          </w:p>
        </w:tc>
        <w:tc>
          <w:tcPr>
            <w:tcW w:w="12240" w:type="dxa"/>
          </w:tcPr>
          <w:p w:rsidR="00273110" w:rsidRPr="00F57A66" w:rsidRDefault="00273110" w:rsidP="004B312E">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Data</w:t>
            </w:r>
          </w:p>
          <w:p w:rsidR="00273110" w:rsidRDefault="00273110" w:rsidP="004B312E">
            <w:pPr>
              <w:rPr>
                <w:lang w:val="en-CA"/>
              </w:rPr>
            </w:pPr>
          </w:p>
        </w:tc>
        <w:tc>
          <w:tcPr>
            <w:tcW w:w="12240" w:type="dxa"/>
          </w:tcPr>
          <w:p w:rsidR="00273110" w:rsidRPr="00F57A66" w:rsidRDefault="00273110" w:rsidP="004B312E">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Statistical approach</w:t>
            </w:r>
          </w:p>
          <w:p w:rsidR="00273110" w:rsidRDefault="00273110" w:rsidP="004B312E">
            <w:pPr>
              <w:rPr>
                <w:lang w:val="en-CA"/>
              </w:rPr>
            </w:pPr>
          </w:p>
        </w:tc>
        <w:tc>
          <w:tcPr>
            <w:tcW w:w="12240" w:type="dxa"/>
          </w:tcPr>
          <w:p w:rsidR="00273110" w:rsidRPr="00F57A66" w:rsidRDefault="00273110" w:rsidP="004B312E">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Results, Products</w:t>
            </w:r>
          </w:p>
          <w:p w:rsidR="00273110" w:rsidRDefault="00273110" w:rsidP="004B312E">
            <w:pPr>
              <w:rPr>
                <w:lang w:val="en-CA"/>
              </w:rPr>
            </w:pPr>
          </w:p>
        </w:tc>
        <w:tc>
          <w:tcPr>
            <w:tcW w:w="12240" w:type="dxa"/>
          </w:tcPr>
          <w:p w:rsidR="00273110" w:rsidRPr="00273110" w:rsidRDefault="00273110" w:rsidP="00273110">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 xml:space="preserve">Practical implications </w:t>
            </w:r>
          </w:p>
        </w:tc>
        <w:tc>
          <w:tcPr>
            <w:tcW w:w="12240" w:type="dxa"/>
          </w:tcPr>
          <w:p w:rsidR="00273110" w:rsidRPr="00F57A66" w:rsidRDefault="00273110" w:rsidP="004B312E">
            <w:pPr>
              <w:rPr>
                <w:rFonts w:ascii="Arial" w:eastAsia="Times New Roman" w:hAnsi="Arial" w:cs="Arial"/>
                <w:sz w:val="20"/>
                <w:szCs w:val="20"/>
                <w:lang w:val="en-CA" w:eastAsia="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Readiness</w:t>
            </w:r>
          </w:p>
        </w:tc>
        <w:tc>
          <w:tcPr>
            <w:tcW w:w="12240" w:type="dxa"/>
          </w:tcPr>
          <w:p w:rsidR="00273110" w:rsidRDefault="00273110" w:rsidP="004B312E">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Consumers of the information</w:t>
            </w:r>
          </w:p>
          <w:p w:rsidR="00273110" w:rsidRDefault="00273110" w:rsidP="004B312E">
            <w:pPr>
              <w:pStyle w:val="ListParagraph"/>
              <w:numPr>
                <w:ilvl w:val="0"/>
                <w:numId w:val="1"/>
              </w:numPr>
              <w:rPr>
                <w:lang w:val="en-CA"/>
              </w:rPr>
            </w:pPr>
            <w:r>
              <w:rPr>
                <w:lang w:val="en-CA"/>
              </w:rPr>
              <w:t>Who (role)</w:t>
            </w:r>
          </w:p>
          <w:p w:rsidR="00273110" w:rsidRDefault="00273110" w:rsidP="004B312E">
            <w:pPr>
              <w:pStyle w:val="ListParagraph"/>
              <w:numPr>
                <w:ilvl w:val="0"/>
                <w:numId w:val="1"/>
              </w:numPr>
              <w:rPr>
                <w:lang w:val="en-CA"/>
              </w:rPr>
            </w:pPr>
            <w:r>
              <w:rPr>
                <w:lang w:val="en-CA"/>
              </w:rPr>
              <w:t>What function</w:t>
            </w:r>
          </w:p>
          <w:p w:rsidR="00273110" w:rsidRPr="000F7934" w:rsidRDefault="00273110" w:rsidP="004B312E">
            <w:pPr>
              <w:pStyle w:val="ListParagraph"/>
              <w:numPr>
                <w:ilvl w:val="0"/>
                <w:numId w:val="1"/>
              </w:numPr>
              <w:rPr>
                <w:lang w:val="en-CA"/>
              </w:rPr>
            </w:pPr>
            <w:r>
              <w:rPr>
                <w:lang w:val="en-CA"/>
              </w:rPr>
              <w:t>Context (where in the organization)</w:t>
            </w:r>
          </w:p>
          <w:p w:rsidR="00273110" w:rsidRDefault="00273110" w:rsidP="004B312E">
            <w:pPr>
              <w:rPr>
                <w:lang w:val="en-CA"/>
              </w:rPr>
            </w:pPr>
          </w:p>
        </w:tc>
        <w:tc>
          <w:tcPr>
            <w:tcW w:w="12240" w:type="dxa"/>
          </w:tcPr>
          <w:p w:rsidR="00273110" w:rsidRDefault="00273110" w:rsidP="004B312E">
            <w:pPr>
              <w:rPr>
                <w:lang w:val="en-CA"/>
              </w:rPr>
            </w:pPr>
          </w:p>
        </w:tc>
      </w:tr>
      <w:tr w:rsidR="00273110" w:rsidTr="002623F6">
        <w:tc>
          <w:tcPr>
            <w:tcW w:w="2245" w:type="dxa"/>
            <w:shd w:val="clear" w:color="auto" w:fill="DEEAF6" w:themeFill="accent1" w:themeFillTint="33"/>
          </w:tcPr>
          <w:p w:rsidR="00273110" w:rsidRDefault="00273110" w:rsidP="004B312E">
            <w:pPr>
              <w:rPr>
                <w:lang w:val="en-CA"/>
              </w:rPr>
            </w:pPr>
            <w:r>
              <w:rPr>
                <w:lang w:val="en-CA"/>
              </w:rPr>
              <w:t>Comments</w:t>
            </w:r>
          </w:p>
        </w:tc>
        <w:tc>
          <w:tcPr>
            <w:tcW w:w="12240" w:type="dxa"/>
          </w:tcPr>
          <w:p w:rsidR="00273110" w:rsidRDefault="00273110" w:rsidP="004B312E">
            <w:pPr>
              <w:rPr>
                <w:lang w:val="en-CA"/>
              </w:rPr>
            </w:pPr>
          </w:p>
        </w:tc>
      </w:tr>
    </w:tbl>
    <w:p w:rsidR="002623F6" w:rsidRDefault="002623F6" w:rsidP="00B55B4D">
      <w:pPr>
        <w:pStyle w:val="Heading1"/>
        <w:rPr>
          <w:lang w:val="en-CA"/>
        </w:rPr>
      </w:pPr>
    </w:p>
    <w:p w:rsidR="002623F6" w:rsidRDefault="002623F6" w:rsidP="002623F6">
      <w:pPr>
        <w:rPr>
          <w:rFonts w:asciiTheme="majorHAnsi" w:eastAsiaTheme="majorEastAsia" w:hAnsiTheme="majorHAnsi" w:cstheme="majorBidi"/>
          <w:color w:val="2E74B5" w:themeColor="accent1" w:themeShade="BF"/>
          <w:sz w:val="32"/>
          <w:szCs w:val="32"/>
          <w:lang w:val="en-CA"/>
        </w:rPr>
      </w:pPr>
      <w:r>
        <w:rPr>
          <w:lang w:val="en-CA"/>
        </w:rPr>
        <w:br w:type="page"/>
      </w:r>
    </w:p>
    <w:p w:rsidR="000F7934" w:rsidRDefault="00B55B4D" w:rsidP="00B55B4D">
      <w:pPr>
        <w:pStyle w:val="Heading1"/>
        <w:rPr>
          <w:lang w:val="en-CA"/>
        </w:rPr>
      </w:pPr>
      <w:r>
        <w:rPr>
          <w:lang w:val="en-CA"/>
        </w:rPr>
        <w:t>Compendium of Research Designs Appropriate to Bodies of Data Extracted from EHR (and related) Systems</w:t>
      </w:r>
    </w:p>
    <w:p w:rsidR="00B55B4D" w:rsidRDefault="00B55B4D" w:rsidP="000F7934">
      <w:pPr>
        <w:rPr>
          <w:lang w:val="en-CA"/>
        </w:rPr>
      </w:pPr>
    </w:p>
    <w:tbl>
      <w:tblPr>
        <w:tblStyle w:val="TableGrid"/>
        <w:tblW w:w="14575" w:type="dxa"/>
        <w:tblLook w:val="04A0" w:firstRow="1" w:lastRow="0" w:firstColumn="1" w:lastColumn="0" w:noHBand="0" w:noVBand="1"/>
      </w:tblPr>
      <w:tblGrid>
        <w:gridCol w:w="2335"/>
        <w:gridCol w:w="12240"/>
      </w:tblGrid>
      <w:tr w:rsidR="00B55B4D" w:rsidRPr="00273110" w:rsidTr="002623F6">
        <w:tc>
          <w:tcPr>
            <w:tcW w:w="2335" w:type="dxa"/>
            <w:shd w:val="clear" w:color="auto" w:fill="DEEAF6" w:themeFill="accent1" w:themeFillTint="33"/>
          </w:tcPr>
          <w:p w:rsidR="00B55B4D" w:rsidRPr="00F129F0" w:rsidRDefault="00B55B4D" w:rsidP="00F129F0">
            <w:r w:rsidRPr="00F129F0">
              <w:rPr>
                <w:lang w:val="en-CA"/>
              </w:rPr>
              <w:t>Research Design</w:t>
            </w:r>
            <w:r w:rsidR="000D27B4" w:rsidRPr="00F129F0">
              <w:rPr>
                <w:lang w:val="en-CA"/>
              </w:rPr>
              <w:t>/Statistical Approach</w:t>
            </w:r>
            <w:r w:rsidRPr="00F129F0">
              <w:rPr>
                <w:lang w:val="en-CA"/>
              </w:rPr>
              <w:t xml:space="preserve"> </w:t>
            </w:r>
            <w:r w:rsidR="00F9666E" w:rsidRPr="00F129F0">
              <w:rPr>
                <w:lang w:val="en-CA"/>
              </w:rPr>
              <w:t>–</w:t>
            </w:r>
            <w:r w:rsidRPr="00F129F0">
              <w:rPr>
                <w:lang w:val="en-CA"/>
              </w:rPr>
              <w:t xml:space="preserve"> Name</w:t>
            </w:r>
          </w:p>
        </w:tc>
        <w:tc>
          <w:tcPr>
            <w:tcW w:w="12240" w:type="dxa"/>
            <w:shd w:val="clear" w:color="auto" w:fill="auto"/>
          </w:tcPr>
          <w:p w:rsidR="00B55B4D" w:rsidRPr="00F129F0" w:rsidRDefault="00B55B4D" w:rsidP="000D27B4">
            <w:pPr>
              <w:rPr>
                <w:lang w:val="en-CA"/>
              </w:rPr>
            </w:pPr>
            <w:r w:rsidRPr="00F129F0">
              <w:rPr>
                <w:lang w:val="en-CA"/>
              </w:rPr>
              <w:t>Propensity score matching</w:t>
            </w:r>
          </w:p>
        </w:tc>
      </w:tr>
      <w:tr w:rsidR="00B55B4D" w:rsidTr="002623F6">
        <w:tc>
          <w:tcPr>
            <w:tcW w:w="2335" w:type="dxa"/>
            <w:shd w:val="clear" w:color="auto" w:fill="DEEAF6" w:themeFill="accent1" w:themeFillTint="33"/>
          </w:tcPr>
          <w:p w:rsidR="00B55B4D" w:rsidRPr="006A3BF9" w:rsidRDefault="00B55B4D" w:rsidP="00B55B4D">
            <w:r w:rsidRPr="006A3BF9">
              <w:rPr>
                <w:lang w:val="en-CA"/>
              </w:rPr>
              <w:t>Problem(s) Addressed</w:t>
            </w:r>
          </w:p>
        </w:tc>
        <w:tc>
          <w:tcPr>
            <w:tcW w:w="12240" w:type="dxa"/>
          </w:tcPr>
          <w:p w:rsidR="00B55B4D" w:rsidRDefault="00B55B4D" w:rsidP="00B55B4D">
            <w:pPr>
              <w:rPr>
                <w:lang w:val="en-CA"/>
              </w:rPr>
            </w:pPr>
            <w:r>
              <w:rPr>
                <w:lang w:val="en-CA"/>
              </w:rPr>
              <w:t xml:space="preserve">For observational data – addresses the problem of confounded variables used to define cohorts, or selection bias involved in assignment of persons to different groups. </w:t>
            </w:r>
          </w:p>
          <w:p w:rsidR="00B55B4D" w:rsidRDefault="00B55B4D" w:rsidP="00B55B4D">
            <w:pPr>
              <w:rPr>
                <w:lang w:val="en-CA"/>
              </w:rPr>
            </w:pPr>
            <w:r>
              <w:rPr>
                <w:lang w:val="en-CA"/>
              </w:rPr>
              <w:t>“</w:t>
            </w:r>
            <w:proofErr w:type="gramStart"/>
            <w:r>
              <w:rPr>
                <w:rFonts w:ascii="Arial" w:hAnsi="Arial" w:cs="Arial"/>
                <w:color w:val="222222"/>
                <w:sz w:val="21"/>
                <w:szCs w:val="21"/>
                <w:shd w:val="clear" w:color="auto" w:fill="FFFFFF"/>
              </w:rPr>
              <w:t>he</w:t>
            </w:r>
            <w:proofErr w:type="gramEnd"/>
            <w:r>
              <w:rPr>
                <w:rFonts w:ascii="Arial" w:hAnsi="Arial" w:cs="Arial"/>
                <w:color w:val="222222"/>
                <w:sz w:val="21"/>
                <w:szCs w:val="21"/>
                <w:shd w:val="clear" w:color="auto" w:fill="FFFFFF"/>
              </w:rPr>
              <w:t xml:space="preserve"> possibility of bias arises because the apparent difference in outcome between these two groups of units may depend on characteristics that affected whether or not a unit received a given treatment instead of due to the effect of the treatment per se.</w:t>
            </w:r>
            <w:r>
              <w:rPr>
                <w:rFonts w:ascii="Arial" w:hAnsi="Arial" w:cs="Arial"/>
                <w:color w:val="222222"/>
                <w:sz w:val="21"/>
                <w:szCs w:val="21"/>
                <w:shd w:val="clear" w:color="auto" w:fill="FFFFFF"/>
              </w:rPr>
              <w:t>”</w:t>
            </w:r>
          </w:p>
        </w:tc>
      </w:tr>
      <w:tr w:rsidR="00273110" w:rsidTr="002623F6">
        <w:tc>
          <w:tcPr>
            <w:tcW w:w="2335" w:type="dxa"/>
            <w:shd w:val="clear" w:color="auto" w:fill="DEEAF6" w:themeFill="accent1" w:themeFillTint="33"/>
          </w:tcPr>
          <w:p w:rsidR="00273110" w:rsidRPr="006A3BF9" w:rsidRDefault="00273110" w:rsidP="00B55B4D">
            <w:pPr>
              <w:rPr>
                <w:lang w:val="en-CA"/>
              </w:rPr>
            </w:pPr>
            <w:r>
              <w:rPr>
                <w:lang w:val="en-CA"/>
              </w:rPr>
              <w:t>Conceptual Requirements</w:t>
            </w:r>
          </w:p>
        </w:tc>
        <w:tc>
          <w:tcPr>
            <w:tcW w:w="12240" w:type="dxa"/>
          </w:tcPr>
          <w:p w:rsidR="00273110" w:rsidRDefault="00273110" w:rsidP="00B55B4D">
            <w:pPr>
              <w:rPr>
                <w:lang w:val="en-CA"/>
              </w:rPr>
            </w:pPr>
            <w:r>
              <w:rPr>
                <w:lang w:val="en-CA"/>
              </w:rPr>
              <w:t>You have to be working from a model that identifies the possible confounds or the factors that would bias selection. In other words, you need to have a reasonably complete model that identifies those factors whose expressions would be neutralized through randomization</w:t>
            </w:r>
          </w:p>
        </w:tc>
      </w:tr>
      <w:tr w:rsidR="00B55B4D" w:rsidTr="002623F6">
        <w:tc>
          <w:tcPr>
            <w:tcW w:w="2335" w:type="dxa"/>
            <w:shd w:val="clear" w:color="auto" w:fill="DEEAF6" w:themeFill="accent1" w:themeFillTint="33"/>
          </w:tcPr>
          <w:p w:rsidR="00B55B4D" w:rsidRPr="006A3BF9" w:rsidRDefault="00B55B4D" w:rsidP="00B55B4D">
            <w:r w:rsidRPr="006A3BF9">
              <w:rPr>
                <w:lang w:val="en-CA"/>
              </w:rPr>
              <w:t>Data Requirements</w:t>
            </w:r>
          </w:p>
        </w:tc>
        <w:tc>
          <w:tcPr>
            <w:tcW w:w="12240" w:type="dxa"/>
          </w:tcPr>
          <w:p w:rsidR="00B55B4D" w:rsidRDefault="00273110" w:rsidP="00B55B4D">
            <w:pPr>
              <w:rPr>
                <w:lang w:val="en-CA"/>
              </w:rPr>
            </w:pPr>
            <w:r>
              <w:rPr>
                <w:lang w:val="en-CA"/>
              </w:rPr>
              <w:t>Cohort definers</w:t>
            </w:r>
          </w:p>
          <w:p w:rsidR="00273110" w:rsidRDefault="00273110" w:rsidP="00B55B4D">
            <w:pPr>
              <w:rPr>
                <w:lang w:val="en-CA"/>
              </w:rPr>
            </w:pPr>
            <w:r>
              <w:rPr>
                <w:lang w:val="en-CA"/>
              </w:rPr>
              <w:t>Measures of confounding/selection biasing factors</w:t>
            </w:r>
          </w:p>
        </w:tc>
      </w:tr>
      <w:tr w:rsidR="00B55B4D" w:rsidTr="002623F6">
        <w:tc>
          <w:tcPr>
            <w:tcW w:w="2335" w:type="dxa"/>
            <w:shd w:val="clear" w:color="auto" w:fill="DEEAF6" w:themeFill="accent1" w:themeFillTint="33"/>
          </w:tcPr>
          <w:p w:rsidR="00B55B4D" w:rsidRPr="006A3BF9" w:rsidRDefault="00B55B4D" w:rsidP="00B55B4D">
            <w:r w:rsidRPr="006A3BF9">
              <w:rPr>
                <w:lang w:val="en-CA"/>
              </w:rPr>
              <w:t>Explanation</w:t>
            </w:r>
            <w:r>
              <w:rPr>
                <w:lang w:val="en-CA"/>
              </w:rPr>
              <w:t xml:space="preserve"> – How the procedure works</w:t>
            </w:r>
          </w:p>
        </w:tc>
        <w:tc>
          <w:tcPr>
            <w:tcW w:w="12240" w:type="dxa"/>
          </w:tcPr>
          <w:p w:rsidR="00273110" w:rsidRDefault="00273110" w:rsidP="00F9666E">
            <w:pPr>
              <w:pStyle w:val="NormalWeb"/>
              <w:numPr>
                <w:ilvl w:val="1"/>
                <w:numId w:val="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Run logistic regression:</w:t>
            </w:r>
          </w:p>
          <w:p w:rsidR="00273110" w:rsidRDefault="00273110" w:rsidP="00273110">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Dependent variable:</w:t>
            </w:r>
            <w:r>
              <w:rPr>
                <w:rStyle w:val="apple-converted-space"/>
                <w:rFonts w:ascii="Arial" w:hAnsi="Arial" w:cs="Arial"/>
                <w:color w:val="222222"/>
                <w:sz w:val="21"/>
                <w:szCs w:val="21"/>
              </w:rPr>
              <w:t> </w:t>
            </w:r>
            <w:r>
              <w:rPr>
                <w:rFonts w:ascii="Arial" w:hAnsi="Arial" w:cs="Arial"/>
                <w:i/>
                <w:iCs/>
                <w:color w:val="222222"/>
                <w:sz w:val="21"/>
                <w:szCs w:val="21"/>
              </w:rPr>
              <w:t>Y</w:t>
            </w:r>
            <w:r>
              <w:rPr>
                <w:rStyle w:val="apple-converted-space"/>
                <w:rFonts w:ascii="Arial" w:hAnsi="Arial" w:cs="Arial"/>
                <w:color w:val="222222"/>
                <w:sz w:val="21"/>
                <w:szCs w:val="21"/>
              </w:rPr>
              <w:t> </w:t>
            </w:r>
            <w:r>
              <w:rPr>
                <w:rFonts w:ascii="Arial" w:hAnsi="Arial" w:cs="Arial"/>
                <w:color w:val="222222"/>
                <w:sz w:val="21"/>
                <w:szCs w:val="21"/>
              </w:rPr>
              <w:t>= 1, if participate;</w:t>
            </w:r>
            <w:r>
              <w:rPr>
                <w:rStyle w:val="apple-converted-space"/>
                <w:rFonts w:ascii="Arial" w:hAnsi="Arial" w:cs="Arial"/>
                <w:color w:val="222222"/>
                <w:sz w:val="21"/>
                <w:szCs w:val="21"/>
              </w:rPr>
              <w:t> </w:t>
            </w:r>
            <w:r>
              <w:rPr>
                <w:rFonts w:ascii="Arial" w:hAnsi="Arial" w:cs="Arial"/>
                <w:i/>
                <w:iCs/>
                <w:color w:val="222222"/>
                <w:sz w:val="21"/>
                <w:szCs w:val="21"/>
              </w:rPr>
              <w:t>Y</w:t>
            </w:r>
            <w:r>
              <w:rPr>
                <w:rStyle w:val="apple-converted-space"/>
                <w:rFonts w:ascii="Arial" w:hAnsi="Arial" w:cs="Arial"/>
                <w:color w:val="222222"/>
                <w:sz w:val="21"/>
                <w:szCs w:val="21"/>
              </w:rPr>
              <w:t> </w:t>
            </w:r>
            <w:r>
              <w:rPr>
                <w:rFonts w:ascii="Arial" w:hAnsi="Arial" w:cs="Arial"/>
                <w:color w:val="222222"/>
                <w:sz w:val="21"/>
                <w:szCs w:val="21"/>
              </w:rPr>
              <w:t>= 0, otherwise.</w:t>
            </w:r>
          </w:p>
          <w:p w:rsidR="00273110" w:rsidRDefault="00273110" w:rsidP="00273110">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Choose appropriate confounders (variables hypothesized to be associated with both treatment and outcome)</w:t>
            </w:r>
          </w:p>
          <w:p w:rsidR="00273110" w:rsidRDefault="00273110" w:rsidP="00273110">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Obtain propensity score: predicted probability (</w:t>
            </w:r>
            <w:r>
              <w:rPr>
                <w:rFonts w:ascii="Arial" w:hAnsi="Arial" w:cs="Arial"/>
                <w:i/>
                <w:iCs/>
                <w:color w:val="222222"/>
                <w:sz w:val="21"/>
                <w:szCs w:val="21"/>
              </w:rPr>
              <w:t>p</w:t>
            </w:r>
            <w:r>
              <w:rPr>
                <w:rFonts w:ascii="Arial" w:hAnsi="Arial" w:cs="Arial"/>
                <w:color w:val="222222"/>
                <w:sz w:val="21"/>
                <w:szCs w:val="21"/>
              </w:rPr>
              <w:t xml:space="preserve">) or </w:t>
            </w:r>
            <w:proofErr w:type="gramStart"/>
            <w:r>
              <w:rPr>
                <w:rFonts w:ascii="Arial" w:hAnsi="Arial" w:cs="Arial"/>
                <w:color w:val="222222"/>
                <w:sz w:val="21"/>
                <w:szCs w:val="21"/>
              </w:rPr>
              <w:t>log[</w:t>
            </w:r>
            <w:proofErr w:type="gramEnd"/>
            <w:r>
              <w:rPr>
                <w:rFonts w:ascii="Arial" w:hAnsi="Arial" w:cs="Arial"/>
                <w:i/>
                <w:iCs/>
                <w:color w:val="222222"/>
                <w:sz w:val="21"/>
                <w:szCs w:val="21"/>
              </w:rPr>
              <w:t>p</w:t>
            </w:r>
            <w:r>
              <w:rPr>
                <w:rFonts w:ascii="Arial" w:hAnsi="Arial" w:cs="Arial"/>
                <w:color w:val="222222"/>
                <w:sz w:val="21"/>
                <w:szCs w:val="21"/>
              </w:rPr>
              <w:t>/(1 </w:t>
            </w:r>
            <w:r w:rsidR="00F9666E">
              <w:rPr>
                <w:rFonts w:ascii="Arial"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p</w:t>
            </w:r>
            <w:r>
              <w:rPr>
                <w:rFonts w:ascii="Arial" w:hAnsi="Arial" w:cs="Arial"/>
                <w:color w:val="222222"/>
                <w:sz w:val="21"/>
                <w:szCs w:val="21"/>
              </w:rPr>
              <w:t>)].</w:t>
            </w:r>
          </w:p>
          <w:p w:rsidR="00273110" w:rsidRDefault="00273110" w:rsidP="002731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 Check that propensity score is balanced across treatment and comparison groups, and check that covariates are balanced across treatment and comparison groups within strata of the propensity score.</w:t>
            </w:r>
          </w:p>
          <w:p w:rsidR="00273110" w:rsidRDefault="00273110" w:rsidP="00273110">
            <w:pPr>
              <w:numPr>
                <w:ilvl w:val="0"/>
                <w:numId w:val="6"/>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Use standardized differences or graphs to examine distributions</w:t>
            </w:r>
          </w:p>
          <w:p w:rsidR="00273110" w:rsidRDefault="00273110" w:rsidP="002731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 Match each participant to one or more nonparticipants on propensity score:</w:t>
            </w:r>
          </w:p>
          <w:p w:rsidR="00273110" w:rsidRDefault="00273110" w:rsidP="00273110">
            <w:pPr>
              <w:numPr>
                <w:ilvl w:val="0"/>
                <w:numId w:val="7"/>
              </w:numPr>
              <w:shd w:val="clear" w:color="auto" w:fill="FFFFFF"/>
              <w:spacing w:before="100" w:beforeAutospacing="1" w:after="24"/>
              <w:ind w:left="384"/>
              <w:rPr>
                <w:rFonts w:ascii="Arial" w:hAnsi="Arial" w:cs="Arial"/>
                <w:color w:val="222222"/>
                <w:sz w:val="21"/>
                <w:szCs w:val="21"/>
              </w:rPr>
            </w:pPr>
            <w:hyperlink r:id="rId7" w:tooltip="Nearest neighbor search" w:history="1">
              <w:r>
                <w:rPr>
                  <w:rStyle w:val="Hyperlink"/>
                  <w:rFonts w:ascii="Arial" w:hAnsi="Arial" w:cs="Arial"/>
                  <w:color w:val="0B0080"/>
                  <w:sz w:val="21"/>
                  <w:szCs w:val="21"/>
                </w:rPr>
                <w:t>Nearest neighbor matching</w:t>
              </w:r>
            </w:hyperlink>
          </w:p>
          <w:p w:rsidR="00273110" w:rsidRDefault="00273110" w:rsidP="00273110">
            <w:pPr>
              <w:numPr>
                <w:ilvl w:val="0"/>
                <w:numId w:val="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Caliper matching</w:t>
            </w:r>
          </w:p>
          <w:p w:rsidR="00273110" w:rsidRDefault="00273110" w:rsidP="00273110">
            <w:pPr>
              <w:numPr>
                <w:ilvl w:val="0"/>
                <w:numId w:val="7"/>
              </w:numPr>
              <w:shd w:val="clear" w:color="auto" w:fill="FFFFFF"/>
              <w:spacing w:before="100" w:beforeAutospacing="1" w:after="24"/>
              <w:ind w:left="384"/>
              <w:rPr>
                <w:rFonts w:ascii="Arial" w:hAnsi="Arial" w:cs="Arial"/>
                <w:color w:val="222222"/>
                <w:sz w:val="21"/>
                <w:szCs w:val="21"/>
              </w:rPr>
            </w:pPr>
            <w:hyperlink r:id="rId8" w:tooltip="Mahalanobis distance" w:history="1">
              <w:proofErr w:type="spellStart"/>
              <w:r>
                <w:rPr>
                  <w:rStyle w:val="Hyperlink"/>
                  <w:rFonts w:ascii="Arial" w:hAnsi="Arial" w:cs="Arial"/>
                  <w:color w:val="0B0080"/>
                  <w:sz w:val="21"/>
                  <w:szCs w:val="21"/>
                </w:rPr>
                <w:t>Mahalanobis</w:t>
              </w:r>
              <w:proofErr w:type="spellEnd"/>
              <w:r>
                <w:rPr>
                  <w:rStyle w:val="Hyperlink"/>
                  <w:rFonts w:ascii="Arial" w:hAnsi="Arial" w:cs="Arial"/>
                  <w:color w:val="0B0080"/>
                  <w:sz w:val="21"/>
                  <w:szCs w:val="21"/>
                </w:rPr>
                <w:t xml:space="preserve"> metric</w:t>
              </w:r>
            </w:hyperlink>
            <w:r>
              <w:rPr>
                <w:rStyle w:val="apple-converted-space"/>
                <w:rFonts w:ascii="Arial" w:hAnsi="Arial" w:cs="Arial"/>
                <w:color w:val="222222"/>
                <w:sz w:val="21"/>
                <w:szCs w:val="21"/>
              </w:rPr>
              <w:t> </w:t>
            </w:r>
            <w:r>
              <w:rPr>
                <w:rFonts w:ascii="Arial" w:hAnsi="Arial" w:cs="Arial"/>
                <w:color w:val="222222"/>
                <w:sz w:val="21"/>
                <w:szCs w:val="21"/>
              </w:rPr>
              <w:t>matching in conjunction with PSM</w:t>
            </w:r>
          </w:p>
          <w:p w:rsidR="00273110" w:rsidRDefault="00273110" w:rsidP="00273110">
            <w:pPr>
              <w:numPr>
                <w:ilvl w:val="0"/>
                <w:numId w:val="7"/>
              </w:numPr>
              <w:shd w:val="clear" w:color="auto" w:fill="FFFFFF"/>
              <w:spacing w:before="100" w:beforeAutospacing="1" w:after="24"/>
              <w:ind w:left="384"/>
              <w:rPr>
                <w:rFonts w:ascii="Arial" w:hAnsi="Arial" w:cs="Arial"/>
                <w:color w:val="222222"/>
                <w:sz w:val="21"/>
                <w:szCs w:val="21"/>
              </w:rPr>
            </w:pPr>
            <w:hyperlink r:id="rId9" w:tooltip="Stratified sampling" w:history="1">
              <w:r>
                <w:rPr>
                  <w:rStyle w:val="Hyperlink"/>
                  <w:rFonts w:ascii="Arial" w:hAnsi="Arial" w:cs="Arial"/>
                  <w:color w:val="0B0080"/>
                  <w:sz w:val="21"/>
                  <w:szCs w:val="21"/>
                </w:rPr>
                <w:t>Stratification matching</w:t>
              </w:r>
            </w:hyperlink>
          </w:p>
          <w:p w:rsidR="00273110" w:rsidRDefault="00273110" w:rsidP="00273110">
            <w:pPr>
              <w:numPr>
                <w:ilvl w:val="0"/>
                <w:numId w:val="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Difference-in-differences matching (kernel and local linear weights)</w:t>
            </w:r>
          </w:p>
          <w:p w:rsidR="00273110" w:rsidRDefault="00273110" w:rsidP="00273110">
            <w:pPr>
              <w:numPr>
                <w:ilvl w:val="0"/>
                <w:numId w:val="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Exact matching</w:t>
            </w:r>
          </w:p>
          <w:p w:rsidR="00273110" w:rsidRDefault="00273110" w:rsidP="002731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4. Verify that covariates are balanced across treatment and comparison groups in the matched or weighted sample</w:t>
            </w:r>
          </w:p>
          <w:p w:rsidR="00273110" w:rsidRDefault="00273110" w:rsidP="002731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5. Multivariate analysis based on new sample</w:t>
            </w:r>
          </w:p>
          <w:p w:rsidR="00273110" w:rsidRDefault="00273110" w:rsidP="00273110">
            <w:pPr>
              <w:numPr>
                <w:ilvl w:val="0"/>
                <w:numId w:val="8"/>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Use analyses appropriate for non-independent matched samples if more than one nonparticipant is matched to each participant</w:t>
            </w:r>
          </w:p>
          <w:p w:rsidR="00273110" w:rsidRDefault="00273110" w:rsidP="002731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Note: When you have multiple matches for a single treated observation, it is essential to use Weighted Least Squares rather than OLS.</w:t>
            </w:r>
          </w:p>
          <w:p w:rsidR="00B55B4D" w:rsidRDefault="00B55B4D" w:rsidP="00B55B4D">
            <w:pPr>
              <w:rPr>
                <w:lang w:val="en-CA"/>
              </w:rPr>
            </w:pPr>
          </w:p>
        </w:tc>
      </w:tr>
      <w:tr w:rsidR="00B55B4D" w:rsidTr="002623F6">
        <w:tc>
          <w:tcPr>
            <w:tcW w:w="2335" w:type="dxa"/>
            <w:shd w:val="clear" w:color="auto" w:fill="DEEAF6" w:themeFill="accent1" w:themeFillTint="33"/>
          </w:tcPr>
          <w:p w:rsidR="00B55B4D" w:rsidRPr="006A3BF9" w:rsidRDefault="00B55B4D" w:rsidP="00B55B4D">
            <w:pPr>
              <w:rPr>
                <w:lang w:val="en-CA"/>
              </w:rPr>
            </w:pPr>
            <w:r>
              <w:rPr>
                <w:lang w:val="en-CA"/>
              </w:rPr>
              <w:t>Reference, sources</w:t>
            </w:r>
          </w:p>
        </w:tc>
        <w:tc>
          <w:tcPr>
            <w:tcW w:w="12240" w:type="dxa"/>
          </w:tcPr>
          <w:p w:rsidR="00273110" w:rsidRDefault="00273110" w:rsidP="00273110">
            <w:pPr>
              <w:rPr>
                <w:lang w:val="en-CA"/>
              </w:rPr>
            </w:pPr>
            <w:hyperlink r:id="rId10" w:history="1">
              <w:r w:rsidRPr="00840ABA">
                <w:rPr>
                  <w:rStyle w:val="Hyperlink"/>
                  <w:lang w:val="en-CA"/>
                </w:rPr>
                <w:t>https://en.wikipedia.org/wiki/Propensity_score_matching</w:t>
              </w:r>
            </w:hyperlink>
          </w:p>
          <w:p w:rsidR="00B55B4D" w:rsidRDefault="00273110" w:rsidP="00B55B4D">
            <w:pPr>
              <w:rPr>
                <w:lang w:val="en-CA"/>
              </w:rPr>
            </w:pPr>
            <w:r>
              <w:rPr>
                <w:lang w:val="en-CA"/>
              </w:rPr>
              <w:t xml:space="preserve">See also: </w:t>
            </w:r>
            <w:r w:rsidRPr="00273110">
              <w:rPr>
                <w:lang w:val="en-CA"/>
              </w:rPr>
              <w:t>Secondary</w:t>
            </w:r>
            <w:r>
              <w:rPr>
                <w:lang w:val="en-CA"/>
              </w:rPr>
              <w:t xml:space="preserve"> </w:t>
            </w:r>
            <w:r w:rsidRPr="00273110">
              <w:rPr>
                <w:lang w:val="en-CA"/>
              </w:rPr>
              <w:t>Analysis of</w:t>
            </w:r>
            <w:r>
              <w:rPr>
                <w:lang w:val="en-CA"/>
              </w:rPr>
              <w:t xml:space="preserve"> </w:t>
            </w:r>
            <w:r w:rsidRPr="00273110">
              <w:rPr>
                <w:lang w:val="en-CA"/>
              </w:rPr>
              <w:t>Electronic</w:t>
            </w:r>
            <w:r>
              <w:rPr>
                <w:lang w:val="en-CA"/>
              </w:rPr>
              <w:t xml:space="preserve"> </w:t>
            </w:r>
            <w:r w:rsidRPr="00273110">
              <w:rPr>
                <w:lang w:val="en-CA"/>
              </w:rPr>
              <w:t>Health Records</w:t>
            </w:r>
          </w:p>
        </w:tc>
      </w:tr>
    </w:tbl>
    <w:p w:rsidR="00B55B4D" w:rsidRDefault="00B55B4D" w:rsidP="000F7934">
      <w:pPr>
        <w:rPr>
          <w:lang w:val="en-CA"/>
        </w:rPr>
      </w:pPr>
    </w:p>
    <w:p w:rsidR="00273110" w:rsidRDefault="00273110" w:rsidP="000F7934">
      <w:pPr>
        <w:rPr>
          <w:lang w:val="en-CA"/>
        </w:rPr>
      </w:pPr>
    </w:p>
    <w:tbl>
      <w:tblPr>
        <w:tblStyle w:val="TableGrid"/>
        <w:tblW w:w="14575" w:type="dxa"/>
        <w:tblLook w:val="04A0" w:firstRow="1" w:lastRow="0" w:firstColumn="1" w:lastColumn="0" w:noHBand="0" w:noVBand="1"/>
      </w:tblPr>
      <w:tblGrid>
        <w:gridCol w:w="2335"/>
        <w:gridCol w:w="12240"/>
      </w:tblGrid>
      <w:tr w:rsidR="00273110" w:rsidRPr="00273110" w:rsidTr="002623F6">
        <w:tc>
          <w:tcPr>
            <w:tcW w:w="2335" w:type="dxa"/>
            <w:shd w:val="clear" w:color="auto" w:fill="DEEAF6" w:themeFill="accent1" w:themeFillTint="33"/>
          </w:tcPr>
          <w:p w:rsidR="00273110" w:rsidRPr="00F129F0" w:rsidRDefault="00F129F0" w:rsidP="00F129F0">
            <w:r w:rsidRPr="00F129F0">
              <w:rPr>
                <w:lang w:val="en-CA"/>
              </w:rPr>
              <w:t>Research Design/Statistical Approach – Name</w:t>
            </w:r>
          </w:p>
        </w:tc>
        <w:tc>
          <w:tcPr>
            <w:tcW w:w="12240" w:type="dxa"/>
            <w:shd w:val="clear" w:color="auto" w:fill="auto"/>
          </w:tcPr>
          <w:p w:rsidR="00273110" w:rsidRPr="00F129F0" w:rsidRDefault="00F9666E" w:rsidP="00F9666E">
            <w:pPr>
              <w:rPr>
                <w:lang w:val="en-CA"/>
              </w:rPr>
            </w:pPr>
            <w:r w:rsidRPr="00F129F0">
              <w:rPr>
                <w:lang w:val="en-CA"/>
              </w:rPr>
              <w:t>Severity adjustment</w:t>
            </w:r>
          </w:p>
          <w:p w:rsidR="00273110" w:rsidRPr="00273110" w:rsidRDefault="00273110" w:rsidP="000D27B4">
            <w:pPr>
              <w:rPr>
                <w:b/>
                <w:lang w:val="en-CA"/>
              </w:rPr>
            </w:pPr>
          </w:p>
        </w:tc>
      </w:tr>
      <w:tr w:rsidR="00273110" w:rsidTr="002623F6">
        <w:tc>
          <w:tcPr>
            <w:tcW w:w="2335" w:type="dxa"/>
            <w:shd w:val="clear" w:color="auto" w:fill="DEEAF6" w:themeFill="accent1" w:themeFillTint="33"/>
          </w:tcPr>
          <w:p w:rsidR="00273110" w:rsidRPr="006A3BF9" w:rsidRDefault="00273110" w:rsidP="004B312E">
            <w:r w:rsidRPr="006A3BF9">
              <w:rPr>
                <w:lang w:val="en-CA"/>
              </w:rPr>
              <w:t>Problem(s) Addressed</w:t>
            </w:r>
          </w:p>
        </w:tc>
        <w:tc>
          <w:tcPr>
            <w:tcW w:w="12240" w:type="dxa"/>
          </w:tcPr>
          <w:p w:rsidR="00273110" w:rsidRDefault="00F9666E" w:rsidP="004B312E">
            <w:pPr>
              <w:rPr>
                <w:lang w:val="en-CA"/>
              </w:rPr>
            </w:pPr>
            <w:r>
              <w:rPr>
                <w:lang w:val="en-CA"/>
              </w:rPr>
              <w:t>Non-random assignment of persons to different treatment conditions</w:t>
            </w:r>
          </w:p>
        </w:tc>
      </w:tr>
      <w:tr w:rsidR="00273110" w:rsidTr="002623F6">
        <w:tc>
          <w:tcPr>
            <w:tcW w:w="2335" w:type="dxa"/>
            <w:shd w:val="clear" w:color="auto" w:fill="DEEAF6" w:themeFill="accent1" w:themeFillTint="33"/>
          </w:tcPr>
          <w:p w:rsidR="00273110" w:rsidRPr="006A3BF9" w:rsidRDefault="00273110" w:rsidP="004B312E">
            <w:pPr>
              <w:rPr>
                <w:lang w:val="en-CA"/>
              </w:rPr>
            </w:pPr>
            <w:r>
              <w:rPr>
                <w:lang w:val="en-CA"/>
              </w:rPr>
              <w:t>Conceptual Requirements</w:t>
            </w:r>
          </w:p>
        </w:tc>
        <w:tc>
          <w:tcPr>
            <w:tcW w:w="12240" w:type="dxa"/>
          </w:tcPr>
          <w:p w:rsidR="00273110" w:rsidRDefault="00273110" w:rsidP="004B312E">
            <w:pPr>
              <w:rPr>
                <w:lang w:val="en-CA"/>
              </w:rPr>
            </w:pPr>
          </w:p>
        </w:tc>
      </w:tr>
      <w:tr w:rsidR="00273110" w:rsidTr="002623F6">
        <w:tc>
          <w:tcPr>
            <w:tcW w:w="2335" w:type="dxa"/>
            <w:shd w:val="clear" w:color="auto" w:fill="DEEAF6" w:themeFill="accent1" w:themeFillTint="33"/>
          </w:tcPr>
          <w:p w:rsidR="00273110" w:rsidRPr="006A3BF9" w:rsidRDefault="00273110" w:rsidP="004B312E">
            <w:r w:rsidRPr="006A3BF9">
              <w:rPr>
                <w:lang w:val="en-CA"/>
              </w:rPr>
              <w:t>Data Requirements</w:t>
            </w:r>
          </w:p>
        </w:tc>
        <w:tc>
          <w:tcPr>
            <w:tcW w:w="12240" w:type="dxa"/>
          </w:tcPr>
          <w:p w:rsidR="00273110" w:rsidRDefault="00273110" w:rsidP="004B312E">
            <w:pPr>
              <w:rPr>
                <w:lang w:val="en-CA"/>
              </w:rPr>
            </w:pPr>
          </w:p>
        </w:tc>
      </w:tr>
      <w:tr w:rsidR="00273110" w:rsidTr="002623F6">
        <w:tc>
          <w:tcPr>
            <w:tcW w:w="2335" w:type="dxa"/>
            <w:shd w:val="clear" w:color="auto" w:fill="DEEAF6" w:themeFill="accent1" w:themeFillTint="33"/>
          </w:tcPr>
          <w:p w:rsidR="00273110" w:rsidRPr="006A3BF9" w:rsidRDefault="00273110" w:rsidP="004B312E">
            <w:r w:rsidRPr="006A3BF9">
              <w:rPr>
                <w:lang w:val="en-CA"/>
              </w:rPr>
              <w:t>Explanation</w:t>
            </w:r>
            <w:r>
              <w:rPr>
                <w:lang w:val="en-CA"/>
              </w:rPr>
              <w:t xml:space="preserve"> – How the procedure works</w:t>
            </w:r>
          </w:p>
        </w:tc>
        <w:tc>
          <w:tcPr>
            <w:tcW w:w="12240" w:type="dxa"/>
          </w:tcPr>
          <w:p w:rsidR="00273110" w:rsidRDefault="00273110" w:rsidP="004B312E">
            <w:pPr>
              <w:rPr>
                <w:lang w:val="en-CA"/>
              </w:rPr>
            </w:pPr>
          </w:p>
        </w:tc>
      </w:tr>
      <w:tr w:rsidR="00273110" w:rsidTr="002623F6">
        <w:tc>
          <w:tcPr>
            <w:tcW w:w="2335" w:type="dxa"/>
            <w:shd w:val="clear" w:color="auto" w:fill="DEEAF6" w:themeFill="accent1" w:themeFillTint="33"/>
          </w:tcPr>
          <w:p w:rsidR="00273110" w:rsidRPr="006A3BF9" w:rsidRDefault="00273110" w:rsidP="004B312E">
            <w:pPr>
              <w:rPr>
                <w:lang w:val="en-CA"/>
              </w:rPr>
            </w:pPr>
            <w:r>
              <w:rPr>
                <w:lang w:val="en-CA"/>
              </w:rPr>
              <w:t>Reference, sources</w:t>
            </w:r>
          </w:p>
        </w:tc>
        <w:tc>
          <w:tcPr>
            <w:tcW w:w="12240" w:type="dxa"/>
          </w:tcPr>
          <w:p w:rsidR="00273110" w:rsidRDefault="00273110" w:rsidP="00273110">
            <w:pPr>
              <w:rPr>
                <w:lang w:val="en-CA"/>
              </w:rPr>
            </w:pPr>
          </w:p>
        </w:tc>
      </w:tr>
    </w:tbl>
    <w:p w:rsidR="00273110" w:rsidRDefault="00273110">
      <w:pPr>
        <w:rPr>
          <w:lang w:val="en-CA"/>
        </w:rPr>
      </w:pPr>
    </w:p>
    <w:tbl>
      <w:tblPr>
        <w:tblStyle w:val="TableGrid"/>
        <w:tblW w:w="14575" w:type="dxa"/>
        <w:tblLook w:val="04A0" w:firstRow="1" w:lastRow="0" w:firstColumn="1" w:lastColumn="0" w:noHBand="0" w:noVBand="1"/>
      </w:tblPr>
      <w:tblGrid>
        <w:gridCol w:w="2335"/>
        <w:gridCol w:w="12240"/>
      </w:tblGrid>
      <w:tr w:rsidR="00F129F0" w:rsidRPr="00273110" w:rsidTr="002623F6">
        <w:tc>
          <w:tcPr>
            <w:tcW w:w="2335" w:type="dxa"/>
            <w:shd w:val="clear" w:color="auto" w:fill="DEEAF6" w:themeFill="accent1" w:themeFillTint="33"/>
          </w:tcPr>
          <w:p w:rsidR="00F129F0" w:rsidRPr="00F129F0" w:rsidRDefault="00F129F0" w:rsidP="004B312E">
            <w:r w:rsidRPr="00F129F0">
              <w:rPr>
                <w:lang w:val="en-CA"/>
              </w:rPr>
              <w:t>Research Design/Statistical Approach – Name</w:t>
            </w:r>
          </w:p>
        </w:tc>
        <w:tc>
          <w:tcPr>
            <w:tcW w:w="12240" w:type="dxa"/>
            <w:shd w:val="clear" w:color="auto" w:fill="auto"/>
          </w:tcPr>
          <w:p w:rsidR="00F129F0" w:rsidRPr="00273110" w:rsidRDefault="00F129F0" w:rsidP="004B312E">
            <w:pPr>
              <w:rPr>
                <w:b/>
                <w:lang w:val="en-CA"/>
              </w:rPr>
            </w:pPr>
          </w:p>
        </w:tc>
      </w:tr>
      <w:tr w:rsidR="00F129F0" w:rsidTr="002623F6">
        <w:tc>
          <w:tcPr>
            <w:tcW w:w="2335" w:type="dxa"/>
            <w:shd w:val="clear" w:color="auto" w:fill="DEEAF6" w:themeFill="accent1" w:themeFillTint="33"/>
          </w:tcPr>
          <w:p w:rsidR="00F129F0" w:rsidRPr="006A3BF9" w:rsidRDefault="00F129F0" w:rsidP="004B312E">
            <w:r w:rsidRPr="006A3BF9">
              <w:rPr>
                <w:lang w:val="en-CA"/>
              </w:rPr>
              <w:t>Problem(s) Addressed</w:t>
            </w:r>
          </w:p>
        </w:tc>
        <w:tc>
          <w:tcPr>
            <w:tcW w:w="12240" w:type="dxa"/>
          </w:tcPr>
          <w:p w:rsidR="00F129F0" w:rsidRDefault="00F129F0" w:rsidP="004B312E">
            <w:pPr>
              <w:rPr>
                <w:lang w:val="en-CA"/>
              </w:rPr>
            </w:pPr>
          </w:p>
        </w:tc>
      </w:tr>
      <w:tr w:rsidR="00F129F0" w:rsidTr="002623F6">
        <w:tc>
          <w:tcPr>
            <w:tcW w:w="2335" w:type="dxa"/>
            <w:shd w:val="clear" w:color="auto" w:fill="DEEAF6" w:themeFill="accent1" w:themeFillTint="33"/>
          </w:tcPr>
          <w:p w:rsidR="00F129F0" w:rsidRPr="006A3BF9" w:rsidRDefault="00F129F0" w:rsidP="004B312E">
            <w:pPr>
              <w:rPr>
                <w:lang w:val="en-CA"/>
              </w:rPr>
            </w:pPr>
            <w:r>
              <w:rPr>
                <w:lang w:val="en-CA"/>
              </w:rPr>
              <w:t>Conceptual Requirements</w:t>
            </w:r>
          </w:p>
        </w:tc>
        <w:tc>
          <w:tcPr>
            <w:tcW w:w="12240" w:type="dxa"/>
          </w:tcPr>
          <w:p w:rsidR="00F129F0" w:rsidRDefault="00F129F0" w:rsidP="004B312E">
            <w:pPr>
              <w:rPr>
                <w:lang w:val="en-CA"/>
              </w:rPr>
            </w:pPr>
          </w:p>
        </w:tc>
      </w:tr>
      <w:tr w:rsidR="00F129F0" w:rsidTr="002623F6">
        <w:tc>
          <w:tcPr>
            <w:tcW w:w="2335" w:type="dxa"/>
            <w:shd w:val="clear" w:color="auto" w:fill="DEEAF6" w:themeFill="accent1" w:themeFillTint="33"/>
          </w:tcPr>
          <w:p w:rsidR="00F129F0" w:rsidRPr="006A3BF9" w:rsidRDefault="00F129F0" w:rsidP="004B312E">
            <w:r w:rsidRPr="006A3BF9">
              <w:rPr>
                <w:lang w:val="en-CA"/>
              </w:rPr>
              <w:t>Data Requirements</w:t>
            </w:r>
          </w:p>
        </w:tc>
        <w:tc>
          <w:tcPr>
            <w:tcW w:w="12240" w:type="dxa"/>
          </w:tcPr>
          <w:p w:rsidR="00F129F0" w:rsidRDefault="00F129F0" w:rsidP="004B312E">
            <w:pPr>
              <w:rPr>
                <w:lang w:val="en-CA"/>
              </w:rPr>
            </w:pPr>
          </w:p>
        </w:tc>
      </w:tr>
      <w:tr w:rsidR="00F129F0" w:rsidTr="002623F6">
        <w:tc>
          <w:tcPr>
            <w:tcW w:w="2335" w:type="dxa"/>
            <w:shd w:val="clear" w:color="auto" w:fill="DEEAF6" w:themeFill="accent1" w:themeFillTint="33"/>
          </w:tcPr>
          <w:p w:rsidR="00F129F0" w:rsidRPr="006A3BF9" w:rsidRDefault="00F129F0" w:rsidP="004B312E">
            <w:r w:rsidRPr="006A3BF9">
              <w:rPr>
                <w:lang w:val="en-CA"/>
              </w:rPr>
              <w:t>Explanation</w:t>
            </w:r>
            <w:r>
              <w:rPr>
                <w:lang w:val="en-CA"/>
              </w:rPr>
              <w:t xml:space="preserve"> – How the procedure works</w:t>
            </w:r>
          </w:p>
        </w:tc>
        <w:tc>
          <w:tcPr>
            <w:tcW w:w="12240" w:type="dxa"/>
          </w:tcPr>
          <w:p w:rsidR="00F129F0" w:rsidRDefault="00F129F0" w:rsidP="004B312E">
            <w:pPr>
              <w:rPr>
                <w:lang w:val="en-CA"/>
              </w:rPr>
            </w:pPr>
          </w:p>
        </w:tc>
      </w:tr>
      <w:tr w:rsidR="00F129F0" w:rsidTr="002623F6">
        <w:tc>
          <w:tcPr>
            <w:tcW w:w="2335" w:type="dxa"/>
            <w:shd w:val="clear" w:color="auto" w:fill="DEEAF6" w:themeFill="accent1" w:themeFillTint="33"/>
          </w:tcPr>
          <w:p w:rsidR="00F129F0" w:rsidRPr="006A3BF9" w:rsidRDefault="00F129F0" w:rsidP="004B312E">
            <w:pPr>
              <w:rPr>
                <w:lang w:val="en-CA"/>
              </w:rPr>
            </w:pPr>
            <w:r>
              <w:rPr>
                <w:lang w:val="en-CA"/>
              </w:rPr>
              <w:t>Reference, sources</w:t>
            </w:r>
          </w:p>
        </w:tc>
        <w:tc>
          <w:tcPr>
            <w:tcW w:w="12240" w:type="dxa"/>
          </w:tcPr>
          <w:p w:rsidR="00F129F0" w:rsidRDefault="00F129F0" w:rsidP="004B312E">
            <w:pPr>
              <w:rPr>
                <w:lang w:val="en-CA"/>
              </w:rPr>
            </w:pPr>
          </w:p>
        </w:tc>
      </w:tr>
    </w:tbl>
    <w:p w:rsidR="00C32BBC" w:rsidRDefault="00C32BBC">
      <w:pPr>
        <w:rPr>
          <w:lang w:val="en-CA"/>
        </w:rPr>
      </w:pPr>
      <w:r>
        <w:rPr>
          <w:lang w:val="en-CA"/>
        </w:rPr>
        <w:br w:type="page"/>
      </w:r>
    </w:p>
    <w:p w:rsidR="00F9666E" w:rsidRDefault="00C32BBC" w:rsidP="00C32BBC">
      <w:pPr>
        <w:pStyle w:val="Heading1"/>
        <w:rPr>
          <w:lang w:val="en-CA"/>
        </w:rPr>
      </w:pPr>
      <w:r>
        <w:rPr>
          <w:lang w:val="en-CA"/>
        </w:rPr>
        <w:t>Cohort Selection Methodologies</w:t>
      </w:r>
    </w:p>
    <w:p w:rsidR="00C32BBC" w:rsidRDefault="00C32BBC">
      <w:pPr>
        <w:rPr>
          <w:lang w:val="en-CA"/>
        </w:rPr>
      </w:pPr>
    </w:p>
    <w:tbl>
      <w:tblPr>
        <w:tblStyle w:val="TableGrid"/>
        <w:tblW w:w="14575" w:type="dxa"/>
        <w:tblLook w:val="04A0" w:firstRow="1" w:lastRow="0" w:firstColumn="1" w:lastColumn="0" w:noHBand="0" w:noVBand="1"/>
      </w:tblPr>
      <w:tblGrid>
        <w:gridCol w:w="3145"/>
        <w:gridCol w:w="11430"/>
      </w:tblGrid>
      <w:tr w:rsidR="00C32BBC" w:rsidTr="002623F6">
        <w:tc>
          <w:tcPr>
            <w:tcW w:w="3145" w:type="dxa"/>
            <w:shd w:val="clear" w:color="auto" w:fill="DEEAF6" w:themeFill="accent1" w:themeFillTint="33"/>
          </w:tcPr>
          <w:p w:rsidR="00C32BBC" w:rsidRPr="0050045A" w:rsidRDefault="00C32BBC" w:rsidP="00C32BBC">
            <w:r>
              <w:t>Methodology – short descriptor</w:t>
            </w:r>
          </w:p>
        </w:tc>
        <w:tc>
          <w:tcPr>
            <w:tcW w:w="11430" w:type="dxa"/>
          </w:tcPr>
          <w:p w:rsidR="00C32BBC" w:rsidRDefault="00C32BBC" w:rsidP="00C32BBC">
            <w:pPr>
              <w:rPr>
                <w:lang w:val="en-CA"/>
              </w:rPr>
            </w:pPr>
            <w:r>
              <w:rPr>
                <w:lang w:val="en-CA"/>
              </w:rPr>
              <w:t>Based on diagnosis</w:t>
            </w:r>
          </w:p>
        </w:tc>
      </w:tr>
      <w:tr w:rsidR="003147A2" w:rsidTr="002623F6">
        <w:tc>
          <w:tcPr>
            <w:tcW w:w="3145" w:type="dxa"/>
            <w:shd w:val="clear" w:color="auto" w:fill="DEEAF6" w:themeFill="accent1" w:themeFillTint="33"/>
          </w:tcPr>
          <w:p w:rsidR="003147A2" w:rsidRDefault="003147A2" w:rsidP="00C32BBC">
            <w:r>
              <w:t>Examples – where this approach might work</w:t>
            </w:r>
          </w:p>
        </w:tc>
        <w:tc>
          <w:tcPr>
            <w:tcW w:w="11430" w:type="dxa"/>
          </w:tcPr>
          <w:p w:rsidR="003147A2" w:rsidRPr="00F129F0" w:rsidRDefault="003147A2" w:rsidP="00F129F0">
            <w:pPr>
              <w:pStyle w:val="ListParagraph"/>
              <w:numPr>
                <w:ilvl w:val="0"/>
                <w:numId w:val="10"/>
              </w:numPr>
              <w:rPr>
                <w:lang w:val="en-CA"/>
              </w:rPr>
            </w:pPr>
            <w:r w:rsidRPr="00F129F0">
              <w:rPr>
                <w:lang w:val="en-CA"/>
              </w:rPr>
              <w:t>Diagnostic criteria are sufficient to create a cohort that is homogeneous with respect to emergent co-morbidities, etiology and response to treatment (the ideal case)</w:t>
            </w:r>
          </w:p>
          <w:p w:rsidR="003147A2" w:rsidRPr="00F129F0" w:rsidRDefault="003147A2" w:rsidP="00F129F0">
            <w:pPr>
              <w:pStyle w:val="ListParagraph"/>
              <w:numPr>
                <w:ilvl w:val="0"/>
                <w:numId w:val="10"/>
              </w:numPr>
              <w:rPr>
                <w:lang w:val="en-CA"/>
              </w:rPr>
            </w:pPr>
            <w:r w:rsidRPr="00F129F0">
              <w:rPr>
                <w:lang w:val="en-CA"/>
              </w:rPr>
              <w:t xml:space="preserve">Clinically </w:t>
            </w:r>
            <w:proofErr w:type="spellStart"/>
            <w:r w:rsidRPr="00F129F0">
              <w:rPr>
                <w:lang w:val="en-CA"/>
              </w:rPr>
              <w:t>uni</w:t>
            </w:r>
            <w:proofErr w:type="spellEnd"/>
            <w:r w:rsidRPr="00F129F0">
              <w:rPr>
                <w:lang w:val="en-CA"/>
              </w:rPr>
              <w:t>-dimensional acute illness or injury, amenable to clinical resolution within a reasonably clearly specified period of time.</w:t>
            </w:r>
          </w:p>
          <w:p w:rsidR="003147A2" w:rsidRPr="00F129F0" w:rsidRDefault="003147A2" w:rsidP="00F129F0">
            <w:pPr>
              <w:pStyle w:val="ListParagraph"/>
              <w:numPr>
                <w:ilvl w:val="0"/>
                <w:numId w:val="10"/>
              </w:numPr>
              <w:rPr>
                <w:lang w:val="en-CA"/>
              </w:rPr>
            </w:pPr>
            <w:r w:rsidRPr="00F129F0">
              <w:rPr>
                <w:lang w:val="en-CA"/>
              </w:rPr>
              <w:t>Example – appendicitis (????)</w:t>
            </w:r>
          </w:p>
        </w:tc>
      </w:tr>
      <w:tr w:rsidR="003147A2" w:rsidTr="002623F6">
        <w:tc>
          <w:tcPr>
            <w:tcW w:w="3145" w:type="dxa"/>
            <w:shd w:val="clear" w:color="auto" w:fill="DEEAF6" w:themeFill="accent1" w:themeFillTint="33"/>
          </w:tcPr>
          <w:p w:rsidR="003147A2" w:rsidRDefault="003147A2" w:rsidP="00C32BBC">
            <w:r>
              <w:t>Examples – where this approach might be limited</w:t>
            </w:r>
          </w:p>
        </w:tc>
        <w:tc>
          <w:tcPr>
            <w:tcW w:w="11430" w:type="dxa"/>
          </w:tcPr>
          <w:p w:rsidR="003147A2" w:rsidRPr="00F129F0" w:rsidRDefault="003147A2" w:rsidP="00F129F0">
            <w:pPr>
              <w:pStyle w:val="ListParagraph"/>
              <w:numPr>
                <w:ilvl w:val="0"/>
                <w:numId w:val="11"/>
              </w:numPr>
              <w:rPr>
                <w:lang w:val="en-CA"/>
              </w:rPr>
            </w:pPr>
            <w:r w:rsidRPr="00F129F0">
              <w:rPr>
                <w:lang w:val="en-CA"/>
              </w:rPr>
              <w:t xml:space="preserve">Chronic conditions associated with variable emergent co-morbidities, </w:t>
            </w:r>
            <w:proofErr w:type="spellStart"/>
            <w:r w:rsidRPr="00F129F0">
              <w:rPr>
                <w:lang w:val="en-CA"/>
              </w:rPr>
              <w:t>e.g</w:t>
            </w:r>
            <w:proofErr w:type="spellEnd"/>
            <w:proofErr w:type="gramStart"/>
            <w:r w:rsidRPr="00F129F0">
              <w:rPr>
                <w:lang w:val="en-CA"/>
              </w:rPr>
              <w:t>,.</w:t>
            </w:r>
            <w:proofErr w:type="gramEnd"/>
            <w:r w:rsidRPr="00F129F0">
              <w:rPr>
                <w:lang w:val="en-CA"/>
              </w:rPr>
              <w:t xml:space="preserve"> Type II diabetes</w:t>
            </w:r>
          </w:p>
          <w:p w:rsidR="003147A2" w:rsidRDefault="003147A2" w:rsidP="00F129F0">
            <w:pPr>
              <w:pStyle w:val="ListParagraph"/>
              <w:numPr>
                <w:ilvl w:val="0"/>
                <w:numId w:val="11"/>
              </w:numPr>
              <w:rPr>
                <w:lang w:val="en-CA"/>
              </w:rPr>
            </w:pPr>
            <w:r w:rsidRPr="00F129F0">
              <w:rPr>
                <w:lang w:val="en-CA"/>
              </w:rPr>
              <w:t>Chronic conditions where the base cohort definition is clinically heterogeneous, e.g., “concurrent MHSU disorders”</w:t>
            </w:r>
          </w:p>
          <w:p w:rsidR="00F129F0" w:rsidRPr="00F129F0" w:rsidRDefault="00F129F0" w:rsidP="00F129F0">
            <w:pPr>
              <w:pStyle w:val="ListParagraph"/>
              <w:numPr>
                <w:ilvl w:val="0"/>
                <w:numId w:val="11"/>
              </w:numPr>
              <w:rPr>
                <w:lang w:val="en-CA"/>
              </w:rPr>
            </w:pPr>
            <w:r>
              <w:rPr>
                <w:lang w:val="en-CA"/>
              </w:rPr>
              <w:t>Mood disorders (e.g., major depression; anxiety disorders) where the estimates of lifetime prevalence are much higher than the fraction of that population that are treated.</w:t>
            </w:r>
          </w:p>
        </w:tc>
      </w:tr>
      <w:tr w:rsidR="00C32BBC" w:rsidTr="002623F6">
        <w:tc>
          <w:tcPr>
            <w:tcW w:w="3145" w:type="dxa"/>
            <w:shd w:val="clear" w:color="auto" w:fill="DEEAF6" w:themeFill="accent1" w:themeFillTint="33"/>
          </w:tcPr>
          <w:p w:rsidR="00C32BBC" w:rsidRPr="0050045A" w:rsidRDefault="00C32BBC" w:rsidP="00C32BBC">
            <w:pPr>
              <w:rPr>
                <w:lang w:val="en-CA"/>
              </w:rPr>
            </w:pPr>
            <w:r w:rsidRPr="0050045A">
              <w:rPr>
                <w:lang w:val="en-CA"/>
              </w:rPr>
              <w:t>Strengths</w:t>
            </w:r>
          </w:p>
        </w:tc>
        <w:tc>
          <w:tcPr>
            <w:tcW w:w="11430" w:type="dxa"/>
          </w:tcPr>
          <w:p w:rsidR="00C32BBC" w:rsidRDefault="00C32BBC" w:rsidP="00C32BBC">
            <w:pPr>
              <w:rPr>
                <w:lang w:val="en-CA"/>
              </w:rPr>
            </w:pPr>
            <w:r>
              <w:rPr>
                <w:lang w:val="en-CA"/>
              </w:rPr>
              <w:t>Clear delineation of problems addressed by research</w:t>
            </w:r>
          </w:p>
        </w:tc>
      </w:tr>
      <w:tr w:rsidR="00C32BBC" w:rsidTr="002623F6">
        <w:tc>
          <w:tcPr>
            <w:tcW w:w="3145" w:type="dxa"/>
            <w:shd w:val="clear" w:color="auto" w:fill="DEEAF6" w:themeFill="accent1" w:themeFillTint="33"/>
          </w:tcPr>
          <w:p w:rsidR="00C32BBC" w:rsidRPr="0050045A" w:rsidRDefault="00C32BBC" w:rsidP="00C32BBC">
            <w:r w:rsidRPr="0050045A">
              <w:rPr>
                <w:lang w:val="en-CA"/>
              </w:rPr>
              <w:t>Limitations</w:t>
            </w:r>
          </w:p>
        </w:tc>
        <w:tc>
          <w:tcPr>
            <w:tcW w:w="11430" w:type="dxa"/>
          </w:tcPr>
          <w:p w:rsidR="00C32BBC" w:rsidRPr="00F129F0" w:rsidRDefault="00C32BBC" w:rsidP="00F129F0">
            <w:pPr>
              <w:pStyle w:val="ListParagraph"/>
              <w:numPr>
                <w:ilvl w:val="0"/>
                <w:numId w:val="12"/>
              </w:numPr>
              <w:rPr>
                <w:lang w:val="en-CA"/>
              </w:rPr>
            </w:pPr>
            <w:r w:rsidRPr="00F129F0">
              <w:rPr>
                <w:lang w:val="en-CA"/>
              </w:rPr>
              <w:t>Very generic; issues around relevance of results for persons who are contending with clinically significant co-morbidities</w:t>
            </w:r>
          </w:p>
          <w:p w:rsidR="00C32BBC" w:rsidRPr="00F129F0" w:rsidRDefault="00C32BBC" w:rsidP="00F129F0">
            <w:pPr>
              <w:pStyle w:val="ListParagraph"/>
              <w:numPr>
                <w:ilvl w:val="0"/>
                <w:numId w:val="12"/>
              </w:numPr>
              <w:rPr>
                <w:lang w:val="en-CA"/>
              </w:rPr>
            </w:pPr>
            <w:r w:rsidRPr="00F129F0">
              <w:rPr>
                <w:lang w:val="en-CA"/>
              </w:rPr>
              <w:t xml:space="preserve">Doesn’t work well if diagnosis does not lend itself to stratification by severity </w:t>
            </w:r>
          </w:p>
          <w:p w:rsidR="00C32BBC" w:rsidRPr="00F129F0" w:rsidRDefault="00C32BBC" w:rsidP="00F129F0">
            <w:pPr>
              <w:pStyle w:val="ListParagraph"/>
              <w:numPr>
                <w:ilvl w:val="0"/>
                <w:numId w:val="12"/>
              </w:numPr>
              <w:rPr>
                <w:lang w:val="en-CA"/>
              </w:rPr>
            </w:pPr>
            <w:r w:rsidRPr="00F129F0">
              <w:rPr>
                <w:lang w:val="en-CA"/>
              </w:rPr>
              <w:t>Doesn’t work well for chronic conditions associated with emergence of different constellations of co-morbidities at different points in time</w:t>
            </w:r>
          </w:p>
        </w:tc>
      </w:tr>
      <w:tr w:rsidR="00C32BBC" w:rsidTr="002623F6">
        <w:tc>
          <w:tcPr>
            <w:tcW w:w="3145" w:type="dxa"/>
            <w:shd w:val="clear" w:color="auto" w:fill="DEEAF6" w:themeFill="accent1" w:themeFillTint="33"/>
          </w:tcPr>
          <w:p w:rsidR="00C32BBC" w:rsidRDefault="00C32BBC" w:rsidP="00C32BBC">
            <w:r w:rsidRPr="0050045A">
              <w:rPr>
                <w:lang w:val="en-CA"/>
              </w:rPr>
              <w:t>Strategies for addressing limitations</w:t>
            </w:r>
          </w:p>
        </w:tc>
        <w:tc>
          <w:tcPr>
            <w:tcW w:w="11430" w:type="dxa"/>
          </w:tcPr>
          <w:p w:rsidR="003147A2" w:rsidRPr="00F129F0" w:rsidRDefault="003147A2" w:rsidP="00F129F0">
            <w:pPr>
              <w:pStyle w:val="ListParagraph"/>
              <w:numPr>
                <w:ilvl w:val="0"/>
                <w:numId w:val="13"/>
              </w:numPr>
              <w:rPr>
                <w:lang w:val="en-CA"/>
              </w:rPr>
            </w:pPr>
            <w:r w:rsidRPr="00F129F0">
              <w:rPr>
                <w:lang w:val="en-CA"/>
              </w:rPr>
              <w:t>Multi-dimensional case definitions</w:t>
            </w:r>
          </w:p>
          <w:p w:rsidR="003147A2" w:rsidRPr="00F129F0" w:rsidRDefault="003147A2" w:rsidP="00F129F0">
            <w:pPr>
              <w:pStyle w:val="ListParagraph"/>
              <w:numPr>
                <w:ilvl w:val="0"/>
                <w:numId w:val="13"/>
              </w:numPr>
              <w:rPr>
                <w:lang w:val="en-CA"/>
              </w:rPr>
            </w:pPr>
            <w:r w:rsidRPr="00F129F0">
              <w:rPr>
                <w:lang w:val="en-CA"/>
              </w:rPr>
              <w:t>Include [longitudinal] encounter data in case definitions</w:t>
            </w:r>
          </w:p>
        </w:tc>
      </w:tr>
      <w:tr w:rsidR="00C32BBC" w:rsidTr="002623F6">
        <w:tc>
          <w:tcPr>
            <w:tcW w:w="3145" w:type="dxa"/>
            <w:shd w:val="clear" w:color="auto" w:fill="DEEAF6" w:themeFill="accent1" w:themeFillTint="33"/>
          </w:tcPr>
          <w:p w:rsidR="00C32BBC" w:rsidRPr="0050045A" w:rsidRDefault="003147A2" w:rsidP="00C32BBC">
            <w:r>
              <w:t>Comments</w:t>
            </w:r>
          </w:p>
        </w:tc>
        <w:tc>
          <w:tcPr>
            <w:tcW w:w="11430" w:type="dxa"/>
          </w:tcPr>
          <w:p w:rsidR="00C32BBC" w:rsidRDefault="00C32BBC" w:rsidP="00C32BBC">
            <w:pPr>
              <w:rPr>
                <w:lang w:val="en-CA"/>
              </w:rPr>
            </w:pPr>
          </w:p>
        </w:tc>
      </w:tr>
    </w:tbl>
    <w:p w:rsidR="00C32BBC" w:rsidRDefault="00C32BBC">
      <w:pPr>
        <w:rPr>
          <w:lang w:val="en-CA"/>
        </w:rPr>
      </w:pPr>
    </w:p>
    <w:tbl>
      <w:tblPr>
        <w:tblStyle w:val="TableGrid"/>
        <w:tblW w:w="14575" w:type="dxa"/>
        <w:tblLook w:val="04A0" w:firstRow="1" w:lastRow="0" w:firstColumn="1" w:lastColumn="0" w:noHBand="0" w:noVBand="1"/>
      </w:tblPr>
      <w:tblGrid>
        <w:gridCol w:w="3145"/>
        <w:gridCol w:w="11430"/>
      </w:tblGrid>
      <w:tr w:rsidR="004806DB" w:rsidTr="004B312E">
        <w:tc>
          <w:tcPr>
            <w:tcW w:w="3145" w:type="dxa"/>
            <w:shd w:val="clear" w:color="auto" w:fill="DEEAF6" w:themeFill="accent1" w:themeFillTint="33"/>
          </w:tcPr>
          <w:p w:rsidR="004806DB" w:rsidRPr="0050045A" w:rsidRDefault="004806DB" w:rsidP="004B312E">
            <w:r>
              <w:t>Methodology – short descriptor</w:t>
            </w:r>
          </w:p>
        </w:tc>
        <w:tc>
          <w:tcPr>
            <w:tcW w:w="11430" w:type="dxa"/>
          </w:tcPr>
          <w:p w:rsidR="004806DB" w:rsidRDefault="004806DB" w:rsidP="004B312E">
            <w:pPr>
              <w:rPr>
                <w:lang w:val="en-CA"/>
              </w:rPr>
            </w:pPr>
          </w:p>
        </w:tc>
      </w:tr>
      <w:tr w:rsidR="004806DB" w:rsidTr="004B312E">
        <w:tc>
          <w:tcPr>
            <w:tcW w:w="3145" w:type="dxa"/>
            <w:shd w:val="clear" w:color="auto" w:fill="DEEAF6" w:themeFill="accent1" w:themeFillTint="33"/>
          </w:tcPr>
          <w:p w:rsidR="004806DB" w:rsidRDefault="004806DB" w:rsidP="004B312E">
            <w:r>
              <w:t>Examples – where this approach might work</w:t>
            </w:r>
          </w:p>
        </w:tc>
        <w:tc>
          <w:tcPr>
            <w:tcW w:w="11430" w:type="dxa"/>
          </w:tcPr>
          <w:p w:rsidR="004806DB" w:rsidRPr="00F129F0" w:rsidRDefault="004806DB" w:rsidP="004806DB">
            <w:pPr>
              <w:pStyle w:val="ListParagraph"/>
              <w:rPr>
                <w:lang w:val="en-CA"/>
              </w:rPr>
            </w:pPr>
          </w:p>
        </w:tc>
      </w:tr>
      <w:tr w:rsidR="004806DB" w:rsidTr="004B312E">
        <w:tc>
          <w:tcPr>
            <w:tcW w:w="3145" w:type="dxa"/>
            <w:shd w:val="clear" w:color="auto" w:fill="DEEAF6" w:themeFill="accent1" w:themeFillTint="33"/>
          </w:tcPr>
          <w:p w:rsidR="004806DB" w:rsidRDefault="004806DB" w:rsidP="004B312E">
            <w:r>
              <w:t>Examples – where this approach might be limited</w:t>
            </w:r>
          </w:p>
        </w:tc>
        <w:tc>
          <w:tcPr>
            <w:tcW w:w="11430" w:type="dxa"/>
          </w:tcPr>
          <w:p w:rsidR="004806DB" w:rsidRPr="00F129F0" w:rsidRDefault="004806DB" w:rsidP="004806DB">
            <w:pPr>
              <w:pStyle w:val="ListParagraph"/>
              <w:rPr>
                <w:lang w:val="en-CA"/>
              </w:rPr>
            </w:pPr>
          </w:p>
        </w:tc>
      </w:tr>
      <w:tr w:rsidR="004806DB" w:rsidTr="004B312E">
        <w:tc>
          <w:tcPr>
            <w:tcW w:w="3145" w:type="dxa"/>
            <w:shd w:val="clear" w:color="auto" w:fill="DEEAF6" w:themeFill="accent1" w:themeFillTint="33"/>
          </w:tcPr>
          <w:p w:rsidR="004806DB" w:rsidRPr="0050045A" w:rsidRDefault="004806DB" w:rsidP="004B312E">
            <w:pPr>
              <w:rPr>
                <w:lang w:val="en-CA"/>
              </w:rPr>
            </w:pPr>
            <w:r w:rsidRPr="0050045A">
              <w:rPr>
                <w:lang w:val="en-CA"/>
              </w:rPr>
              <w:t>Strengths</w:t>
            </w:r>
          </w:p>
        </w:tc>
        <w:tc>
          <w:tcPr>
            <w:tcW w:w="11430" w:type="dxa"/>
          </w:tcPr>
          <w:p w:rsidR="004806DB" w:rsidRDefault="004806DB" w:rsidP="004B312E">
            <w:pPr>
              <w:rPr>
                <w:lang w:val="en-CA"/>
              </w:rPr>
            </w:pPr>
          </w:p>
        </w:tc>
      </w:tr>
      <w:tr w:rsidR="004806DB" w:rsidTr="004B312E">
        <w:tc>
          <w:tcPr>
            <w:tcW w:w="3145" w:type="dxa"/>
            <w:shd w:val="clear" w:color="auto" w:fill="DEEAF6" w:themeFill="accent1" w:themeFillTint="33"/>
          </w:tcPr>
          <w:p w:rsidR="004806DB" w:rsidRPr="0050045A" w:rsidRDefault="004806DB" w:rsidP="004B312E">
            <w:r w:rsidRPr="0050045A">
              <w:rPr>
                <w:lang w:val="en-CA"/>
              </w:rPr>
              <w:t>Limitations</w:t>
            </w:r>
          </w:p>
        </w:tc>
        <w:tc>
          <w:tcPr>
            <w:tcW w:w="11430" w:type="dxa"/>
          </w:tcPr>
          <w:p w:rsidR="004806DB" w:rsidRPr="00F129F0" w:rsidRDefault="004806DB" w:rsidP="004806DB">
            <w:pPr>
              <w:pStyle w:val="ListParagraph"/>
              <w:rPr>
                <w:lang w:val="en-CA"/>
              </w:rPr>
            </w:pPr>
          </w:p>
        </w:tc>
      </w:tr>
      <w:tr w:rsidR="004806DB" w:rsidTr="004B312E">
        <w:tc>
          <w:tcPr>
            <w:tcW w:w="3145" w:type="dxa"/>
            <w:shd w:val="clear" w:color="auto" w:fill="DEEAF6" w:themeFill="accent1" w:themeFillTint="33"/>
          </w:tcPr>
          <w:p w:rsidR="004806DB" w:rsidRDefault="004806DB" w:rsidP="004B312E">
            <w:r w:rsidRPr="0050045A">
              <w:rPr>
                <w:lang w:val="en-CA"/>
              </w:rPr>
              <w:t>Strategies for addressing limitations</w:t>
            </w:r>
          </w:p>
        </w:tc>
        <w:tc>
          <w:tcPr>
            <w:tcW w:w="11430" w:type="dxa"/>
          </w:tcPr>
          <w:p w:rsidR="004806DB" w:rsidRPr="00F129F0" w:rsidRDefault="004806DB" w:rsidP="004806DB">
            <w:pPr>
              <w:pStyle w:val="ListParagraph"/>
              <w:rPr>
                <w:lang w:val="en-CA"/>
              </w:rPr>
            </w:pPr>
          </w:p>
        </w:tc>
      </w:tr>
      <w:tr w:rsidR="004806DB" w:rsidTr="004B312E">
        <w:tc>
          <w:tcPr>
            <w:tcW w:w="3145" w:type="dxa"/>
            <w:shd w:val="clear" w:color="auto" w:fill="DEEAF6" w:themeFill="accent1" w:themeFillTint="33"/>
          </w:tcPr>
          <w:p w:rsidR="004806DB" w:rsidRPr="0050045A" w:rsidRDefault="004806DB" w:rsidP="004B312E">
            <w:r>
              <w:t>Comments</w:t>
            </w:r>
          </w:p>
        </w:tc>
        <w:tc>
          <w:tcPr>
            <w:tcW w:w="11430" w:type="dxa"/>
          </w:tcPr>
          <w:p w:rsidR="004806DB" w:rsidRDefault="004806DB" w:rsidP="004B312E">
            <w:pPr>
              <w:rPr>
                <w:lang w:val="en-CA"/>
              </w:rPr>
            </w:pPr>
          </w:p>
        </w:tc>
      </w:tr>
    </w:tbl>
    <w:p w:rsidR="00F9666E" w:rsidRDefault="00F9666E">
      <w:pPr>
        <w:rPr>
          <w:lang w:val="en-CA"/>
        </w:rPr>
      </w:pPr>
    </w:p>
    <w:p w:rsidR="00D25D84" w:rsidRDefault="00D25D84">
      <w:pPr>
        <w:rPr>
          <w:lang w:val="en-CA"/>
        </w:rPr>
      </w:pPr>
      <w:r>
        <w:rPr>
          <w:lang w:val="en-CA"/>
        </w:rPr>
        <w:t>Based on distal factors (non-medical determinants of health profiles)</w:t>
      </w:r>
    </w:p>
    <w:p w:rsidR="00D25D84" w:rsidRDefault="00D25D84">
      <w:pPr>
        <w:rPr>
          <w:lang w:val="en-CA"/>
        </w:rPr>
      </w:pPr>
      <w:r>
        <w:rPr>
          <w:lang w:val="en-CA"/>
        </w:rPr>
        <w:t>Based on exposure, etiologic factors (proximal factors)</w:t>
      </w:r>
    </w:p>
    <w:p w:rsidR="00D25D84" w:rsidRDefault="00D25D84">
      <w:pPr>
        <w:rPr>
          <w:lang w:val="en-CA"/>
        </w:rPr>
      </w:pPr>
      <w:r>
        <w:rPr>
          <w:lang w:val="en-CA"/>
        </w:rPr>
        <w:t>Based patterns of service utilization (quantitative within specified periods of time, or lifetime)</w:t>
      </w:r>
    </w:p>
    <w:p w:rsidR="00D25D84" w:rsidRDefault="00D25D84">
      <w:pPr>
        <w:rPr>
          <w:lang w:val="en-CA"/>
        </w:rPr>
      </w:pPr>
      <w:r>
        <w:rPr>
          <w:lang w:val="en-CA"/>
        </w:rPr>
        <w:t>Based on patterns of service utilization – longitudinal (trajectories)</w:t>
      </w:r>
    </w:p>
    <w:p w:rsidR="00D25D84" w:rsidRDefault="00D25D84">
      <w:pPr>
        <w:rPr>
          <w:lang w:val="en-CA"/>
        </w:rPr>
      </w:pPr>
      <w:r>
        <w:rPr>
          <w:lang w:val="en-CA"/>
        </w:rPr>
        <w:t>Based on treatments, procedures</w:t>
      </w:r>
    </w:p>
    <w:p w:rsidR="00D25D84" w:rsidRDefault="00D25D84">
      <w:pPr>
        <w:rPr>
          <w:lang w:val="en-CA"/>
        </w:rPr>
      </w:pPr>
      <w:r>
        <w:rPr>
          <w:lang w:val="en-CA"/>
        </w:rPr>
        <w:t>Based on lab results</w:t>
      </w:r>
    </w:p>
    <w:p w:rsidR="00D25D84" w:rsidRDefault="00D25D84">
      <w:pPr>
        <w:rPr>
          <w:lang w:val="en-CA"/>
        </w:rPr>
      </w:pPr>
      <w:r>
        <w:rPr>
          <w:lang w:val="en-CA"/>
        </w:rPr>
        <w:t>Based on pharmaceuticals prescribed</w:t>
      </w:r>
    </w:p>
    <w:p w:rsidR="00D25D84" w:rsidRDefault="00D25D84">
      <w:pPr>
        <w:rPr>
          <w:lang w:val="en-CA"/>
        </w:rPr>
      </w:pPr>
      <w:r>
        <w:rPr>
          <w:lang w:val="en-CA"/>
        </w:rPr>
        <w:t>Based on outcomes (working backwards designs, e.g., decision tree analysis)</w:t>
      </w:r>
    </w:p>
    <w:p w:rsidR="00D25D84" w:rsidRDefault="00D25D84">
      <w:pPr>
        <w:rPr>
          <w:lang w:val="en-CA"/>
        </w:rPr>
      </w:pPr>
      <w:r>
        <w:rPr>
          <w:lang w:val="en-CA"/>
        </w:rPr>
        <w:t>Based on products of unsupervised machine learning algorithms applied to unstructured data</w:t>
      </w:r>
    </w:p>
    <w:p w:rsidR="00D25D84" w:rsidRDefault="00D25D84">
      <w:pPr>
        <w:rPr>
          <w:lang w:val="en-CA"/>
        </w:rPr>
      </w:pPr>
      <w:r>
        <w:rPr>
          <w:lang w:val="en-CA"/>
        </w:rPr>
        <w:t>Based on combinations (specify)</w:t>
      </w:r>
    </w:p>
    <w:p w:rsidR="00F129F0" w:rsidRPr="00D25D84" w:rsidRDefault="00F129F0">
      <w:pPr>
        <w:rPr>
          <w:lang w:val="en-CA"/>
        </w:rPr>
      </w:pPr>
    </w:p>
    <w:p w:rsidR="00D25D84" w:rsidRDefault="00D25D84">
      <w:pPr>
        <w:rPr>
          <w:rFonts w:asciiTheme="majorHAnsi" w:eastAsiaTheme="majorEastAsia" w:hAnsiTheme="majorHAnsi" w:cstheme="majorBidi"/>
          <w:color w:val="2E74B5" w:themeColor="accent1" w:themeShade="BF"/>
          <w:sz w:val="32"/>
          <w:szCs w:val="32"/>
          <w:lang w:val="en-CA"/>
        </w:rPr>
      </w:pPr>
      <w:r>
        <w:rPr>
          <w:lang w:val="en-CA"/>
        </w:rPr>
        <w:br w:type="page"/>
      </w:r>
    </w:p>
    <w:p w:rsidR="00F9666E" w:rsidRDefault="00F9666E" w:rsidP="00F9666E">
      <w:pPr>
        <w:pStyle w:val="Heading1"/>
        <w:rPr>
          <w:lang w:val="en-CA"/>
        </w:rPr>
      </w:pPr>
      <w:r>
        <w:rPr>
          <w:lang w:val="en-CA"/>
        </w:rPr>
        <w:t>Conclusions</w:t>
      </w:r>
    </w:p>
    <w:p w:rsidR="00F9666E" w:rsidRDefault="00F9666E" w:rsidP="00F9666E">
      <w:pPr>
        <w:rPr>
          <w:lang w:val="en-CA"/>
        </w:rPr>
      </w:pPr>
    </w:p>
    <w:p w:rsidR="00F9666E" w:rsidRDefault="00F9666E" w:rsidP="00F9666E">
      <w:pPr>
        <w:pStyle w:val="ListParagraph"/>
        <w:numPr>
          <w:ilvl w:val="0"/>
          <w:numId w:val="9"/>
        </w:numPr>
        <w:rPr>
          <w:lang w:val="en-CA"/>
        </w:rPr>
      </w:pPr>
      <w:r w:rsidRPr="00F9666E">
        <w:rPr>
          <w:lang w:val="en-CA"/>
        </w:rPr>
        <w:t>Ultimately,</w:t>
      </w:r>
      <w:r w:rsidRPr="00F9666E">
        <w:rPr>
          <w:lang w:val="en-CA"/>
        </w:rPr>
        <w:t xml:space="preserve"> </w:t>
      </w:r>
      <w:r w:rsidRPr="00F9666E">
        <w:rPr>
          <w:lang w:val="en-CA"/>
        </w:rPr>
        <w:t>signi</w:t>
      </w:r>
      <w:r w:rsidRPr="00F9666E">
        <w:rPr>
          <w:rFonts w:ascii="BbqskvAdvTT5ada87cc+fb" w:hAnsi="BbqskvAdvTT5ada87cc+fb" w:cs="BbqskvAdvTT5ada87cc+fb"/>
          <w:lang w:val="en-CA"/>
        </w:rPr>
        <w:t>fi</w:t>
      </w:r>
      <w:r w:rsidRPr="00F9666E">
        <w:rPr>
          <w:lang w:val="en-CA"/>
        </w:rPr>
        <w:t>cant confounding cannot be adjusted away by the most sophisticated statistical</w:t>
      </w:r>
      <w:r w:rsidRPr="00F9666E">
        <w:rPr>
          <w:lang w:val="en-CA"/>
        </w:rPr>
        <w:t xml:space="preserve"> </w:t>
      </w:r>
      <w:r w:rsidRPr="00F9666E">
        <w:rPr>
          <w:lang w:val="en-CA"/>
        </w:rPr>
        <w:t>techniques, and thoughtful and careful examination of the limitations of any</w:t>
      </w:r>
      <w:r w:rsidRPr="00F9666E">
        <w:rPr>
          <w:lang w:val="en-CA"/>
        </w:rPr>
        <w:t xml:space="preserve"> </w:t>
      </w:r>
      <w:r w:rsidRPr="00F9666E">
        <w:rPr>
          <w:lang w:val="en-CA"/>
        </w:rPr>
        <w:t>observat</w:t>
      </w:r>
      <w:r>
        <w:rPr>
          <w:lang w:val="en-CA"/>
        </w:rPr>
        <w:t>ional study must be transparent (p. 76, Secondary Analysis of EHRs)</w:t>
      </w:r>
    </w:p>
    <w:p w:rsidR="00F9666E" w:rsidRPr="00F9666E" w:rsidRDefault="00F9666E" w:rsidP="00F9666E">
      <w:pPr>
        <w:pStyle w:val="ListParagraph"/>
        <w:numPr>
          <w:ilvl w:val="0"/>
          <w:numId w:val="9"/>
        </w:numPr>
        <w:rPr>
          <w:lang w:val="en-CA"/>
        </w:rPr>
      </w:pPr>
    </w:p>
    <w:sectPr w:rsidR="00F9666E" w:rsidRPr="00F9666E" w:rsidSect="00F129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bqskvAdvTT5ada87cc+fb">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04C4"/>
    <w:multiLevelType w:val="multilevel"/>
    <w:tmpl w:val="95FC656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738F2"/>
    <w:multiLevelType w:val="hybridMultilevel"/>
    <w:tmpl w:val="A8542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05FB3"/>
    <w:multiLevelType w:val="hybridMultilevel"/>
    <w:tmpl w:val="25B4E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127789"/>
    <w:multiLevelType w:val="hybridMultilevel"/>
    <w:tmpl w:val="412A7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853A12"/>
    <w:multiLevelType w:val="multilevel"/>
    <w:tmpl w:val="E48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37644"/>
    <w:multiLevelType w:val="hybridMultilevel"/>
    <w:tmpl w:val="E4482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91407D"/>
    <w:multiLevelType w:val="hybridMultilevel"/>
    <w:tmpl w:val="7FA6A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CA53BC"/>
    <w:multiLevelType w:val="multilevel"/>
    <w:tmpl w:val="107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423841"/>
    <w:multiLevelType w:val="hybridMultilevel"/>
    <w:tmpl w:val="AE9AC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894852"/>
    <w:multiLevelType w:val="hybridMultilevel"/>
    <w:tmpl w:val="6D68C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AD3881"/>
    <w:multiLevelType w:val="hybridMultilevel"/>
    <w:tmpl w:val="98022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D57F3E"/>
    <w:multiLevelType w:val="multilevel"/>
    <w:tmpl w:val="A266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715757"/>
    <w:multiLevelType w:val="hybridMultilevel"/>
    <w:tmpl w:val="E326C30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12"/>
  </w:num>
  <w:num w:numId="5">
    <w:abstractNumId w:val="7"/>
  </w:num>
  <w:num w:numId="6">
    <w:abstractNumId w:val="4"/>
  </w:num>
  <w:num w:numId="7">
    <w:abstractNumId w:val="0"/>
  </w:num>
  <w:num w:numId="8">
    <w:abstractNumId w:val="11"/>
  </w:num>
  <w:num w:numId="9">
    <w:abstractNumId w:val="8"/>
  </w:num>
  <w:num w:numId="10">
    <w:abstractNumId w:val="1"/>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34"/>
    <w:rsid w:val="000D27B4"/>
    <w:rsid w:val="000F7934"/>
    <w:rsid w:val="002623F6"/>
    <w:rsid w:val="00273110"/>
    <w:rsid w:val="00286687"/>
    <w:rsid w:val="003147A2"/>
    <w:rsid w:val="003A4633"/>
    <w:rsid w:val="00427A95"/>
    <w:rsid w:val="004806DB"/>
    <w:rsid w:val="00570D8C"/>
    <w:rsid w:val="005F6844"/>
    <w:rsid w:val="00974F0F"/>
    <w:rsid w:val="00B55B4D"/>
    <w:rsid w:val="00C32BBC"/>
    <w:rsid w:val="00D25D84"/>
    <w:rsid w:val="00F129F0"/>
    <w:rsid w:val="00F57A66"/>
    <w:rsid w:val="00F9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031A0-FE10-4792-BCFF-303B7318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0F7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3110"/>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27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71970">
      <w:bodyDiv w:val="1"/>
      <w:marLeft w:val="0"/>
      <w:marRight w:val="0"/>
      <w:marTop w:val="0"/>
      <w:marBottom w:val="0"/>
      <w:divBdr>
        <w:top w:val="none" w:sz="0" w:space="0" w:color="auto"/>
        <w:left w:val="none" w:sz="0" w:space="0" w:color="auto"/>
        <w:bottom w:val="none" w:sz="0" w:space="0" w:color="auto"/>
        <w:right w:val="none" w:sz="0" w:space="0" w:color="auto"/>
      </w:divBdr>
    </w:div>
    <w:div w:id="1242985180">
      <w:bodyDiv w:val="1"/>
      <w:marLeft w:val="0"/>
      <w:marRight w:val="0"/>
      <w:marTop w:val="0"/>
      <w:marBottom w:val="0"/>
      <w:divBdr>
        <w:top w:val="none" w:sz="0" w:space="0" w:color="auto"/>
        <w:left w:val="none" w:sz="0" w:space="0" w:color="auto"/>
        <w:bottom w:val="none" w:sz="0" w:space="0" w:color="auto"/>
        <w:right w:val="none" w:sz="0" w:space="0" w:color="auto"/>
      </w:divBdr>
    </w:div>
    <w:div w:id="19565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halanobis_distance" TargetMode="External"/><Relationship Id="rId3" Type="http://schemas.openxmlformats.org/officeDocument/2006/relationships/styles" Target="styles.xml"/><Relationship Id="rId7" Type="http://schemas.openxmlformats.org/officeDocument/2006/relationships/hyperlink" Target="https://en.wikipedia.org/wiki/Nearest_neighbor_sear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zheimersanddementia.com/article/S1552-5260(16)32508-0/abstra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ropensity_score_matching" TargetMode="External"/><Relationship Id="rId4" Type="http://schemas.openxmlformats.org/officeDocument/2006/relationships/settings" Target="settings.xml"/><Relationship Id="rId9" Type="http://schemas.openxmlformats.org/officeDocument/2006/relationships/hyperlink" Target="https://en.wikipedia.org/wiki/Stratified_samp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20Mosel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Moselle</dc:creator>
  <cp:keywords/>
  <dc:description/>
  <cp:lastModifiedBy>Kenneth Moselle</cp:lastModifiedBy>
  <cp:revision>2</cp:revision>
  <dcterms:created xsi:type="dcterms:W3CDTF">2017-06-07T16:05:00Z</dcterms:created>
  <dcterms:modified xsi:type="dcterms:W3CDTF">2017-06-07T16:05:00Z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