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C7226D" w14:textId="1BFAA8D4" w:rsidR="00904B94" w:rsidRPr="00904B94" w:rsidRDefault="00904B94" w:rsidP="002818A1">
      <w:pPr>
        <w:pStyle w:val="1"/>
      </w:pPr>
      <w:bookmarkStart w:id="0" w:name="_Hlk135666024"/>
      <w:bookmarkEnd w:id="0"/>
      <w:r w:rsidRPr="00904B94">
        <w:rPr>
          <w:rFonts w:hint="eastAsia"/>
        </w:rPr>
        <w:t>光阱阵列制备技术报告</w:t>
      </w:r>
    </w:p>
    <w:p w14:paraId="50470980" w14:textId="169B28B4" w:rsidR="00904B94" w:rsidRPr="00904B94" w:rsidRDefault="00904B94" w:rsidP="002818A1">
      <w:pPr>
        <w:pStyle w:val="2"/>
      </w:pPr>
      <w:r w:rsidRPr="00904B94">
        <w:rPr>
          <w:rFonts w:hint="eastAsia"/>
        </w:rPr>
        <w:t>光阱阵列制备技术简介</w:t>
      </w:r>
    </w:p>
    <w:p w14:paraId="087AE652" w14:textId="0358DEF2" w:rsidR="00904B94" w:rsidRDefault="00D1759D" w:rsidP="002818A1">
      <w:pPr>
        <w:spacing w:line="360" w:lineRule="auto"/>
        <w:ind w:firstLineChars="200" w:firstLine="420"/>
      </w:pPr>
      <w:r>
        <w:rPr>
          <w:rFonts w:hint="eastAsia"/>
        </w:rPr>
        <w:t>中性原子体系用于量子计算的一个显著优势在于</w:t>
      </w:r>
      <w:r w:rsidR="00BB5E5B">
        <w:rPr>
          <w:rFonts w:hint="eastAsia"/>
        </w:rPr>
        <w:t>原子阵列</w:t>
      </w:r>
      <w:r w:rsidR="00704BFC">
        <w:rPr>
          <w:rFonts w:hint="eastAsia"/>
        </w:rPr>
        <w:t>具有很强</w:t>
      </w:r>
      <w:r w:rsidR="00BB5E5B">
        <w:rPr>
          <w:rFonts w:hint="eastAsia"/>
        </w:rPr>
        <w:t>的</w:t>
      </w:r>
      <w:r w:rsidR="00385B58">
        <w:rPr>
          <w:rFonts w:hint="eastAsia"/>
        </w:rPr>
        <w:t>可</w:t>
      </w:r>
      <w:r>
        <w:rPr>
          <w:rFonts w:hint="eastAsia"/>
        </w:rPr>
        <w:t>拓展性</w:t>
      </w:r>
      <w:r w:rsidR="00385B58">
        <w:rPr>
          <w:rFonts w:hint="eastAsia"/>
        </w:rPr>
        <w:t>，而这种可扩展性需要依赖原子阵列的高效制备才能够体现。目前原子阵列的实现主要有两种途径，第一种是通过</w:t>
      </w:r>
      <w:r w:rsidR="00704BFC">
        <w:rPr>
          <w:rFonts w:hint="eastAsia"/>
        </w:rPr>
        <w:t>光阱阵列制备技术。光阱阵列制备技术指的是将激光通过</w:t>
      </w:r>
      <w:r w:rsidR="00373282">
        <w:rPr>
          <w:rFonts w:hint="eastAsia"/>
        </w:rPr>
        <w:t>特定的</w:t>
      </w:r>
      <w:r w:rsidR="00704BFC">
        <w:rPr>
          <w:rFonts w:hint="eastAsia"/>
        </w:rPr>
        <w:t>光学器件调制后经过强聚焦透镜组形成光偶极阱阵列</w:t>
      </w:r>
      <w:r w:rsidR="00256775">
        <w:rPr>
          <w:rFonts w:hint="eastAsia"/>
        </w:rPr>
        <w:t>的技术</w:t>
      </w:r>
      <w:r w:rsidR="00704BFC">
        <w:rPr>
          <w:rFonts w:hint="eastAsia"/>
        </w:rPr>
        <w:t>，其中每个</w:t>
      </w:r>
      <w:r w:rsidR="002E1004">
        <w:rPr>
          <w:rFonts w:hint="eastAsia"/>
        </w:rPr>
        <w:t>偶极</w:t>
      </w:r>
      <w:r w:rsidR="00704BFC">
        <w:rPr>
          <w:rFonts w:hint="eastAsia"/>
        </w:rPr>
        <w:t>阱都能用来囚禁</w:t>
      </w:r>
      <w:r w:rsidR="00C60962">
        <w:rPr>
          <w:rFonts w:hint="eastAsia"/>
        </w:rPr>
        <w:t>单</w:t>
      </w:r>
      <w:r w:rsidR="00704BFC">
        <w:rPr>
          <w:rFonts w:hint="eastAsia"/>
        </w:rPr>
        <w:t>原子</w:t>
      </w:r>
      <w:r w:rsidR="00BA312A">
        <w:rPr>
          <w:rFonts w:hint="eastAsia"/>
        </w:rPr>
        <w:t>乃至</w:t>
      </w:r>
      <w:r w:rsidR="00704BFC">
        <w:rPr>
          <w:rFonts w:hint="eastAsia"/>
        </w:rPr>
        <w:t>原子系综</w:t>
      </w:r>
      <w:r w:rsidR="00B41752">
        <w:rPr>
          <w:rFonts w:hint="eastAsia"/>
        </w:rPr>
        <w:t>，</w:t>
      </w:r>
      <w:r w:rsidR="00A02E3F">
        <w:rPr>
          <w:rFonts w:hint="eastAsia"/>
        </w:rPr>
        <w:t>符合条件的光学器件包括</w:t>
      </w:r>
      <w:r w:rsidR="00B41752">
        <w:rPr>
          <w:rFonts w:hint="eastAsia"/>
        </w:rPr>
        <w:t>空间光调制器</w:t>
      </w:r>
      <w:r w:rsidR="00F7406C">
        <w:rPr>
          <w:rFonts w:hint="eastAsia"/>
        </w:rPr>
        <w:t>(</w:t>
      </w:r>
      <w:r w:rsidR="00F7406C" w:rsidRPr="00F7406C">
        <w:t>Spatial Light Modulator</w:t>
      </w:r>
      <w:r w:rsidR="00F7406C">
        <w:t>, SLM)</w:t>
      </w:r>
      <w:r w:rsidR="00B41752">
        <w:rPr>
          <w:rFonts w:hint="eastAsia"/>
        </w:rPr>
        <w:t>、声光偏转器</w:t>
      </w:r>
      <w:r w:rsidR="00F7406C">
        <w:rPr>
          <w:rFonts w:hint="eastAsia"/>
        </w:rPr>
        <w:t>(</w:t>
      </w:r>
      <w:r w:rsidR="00F7406C" w:rsidRPr="00F7406C">
        <w:t>Acousto Optical Deflecto</w:t>
      </w:r>
      <w:r w:rsidR="00F7406C">
        <w:t>r, AOD)</w:t>
      </w:r>
      <w:r w:rsidR="00373282">
        <w:rPr>
          <w:rFonts w:hint="eastAsia"/>
        </w:rPr>
        <w:t>等等</w:t>
      </w:r>
      <w:r w:rsidR="00B41752">
        <w:rPr>
          <w:rFonts w:hint="eastAsia"/>
        </w:rPr>
        <w:t>。</w:t>
      </w:r>
      <w:r w:rsidR="004C277F">
        <w:rPr>
          <w:rFonts w:hint="eastAsia"/>
        </w:rPr>
        <w:t>此外，原子阵列</w:t>
      </w:r>
      <w:r w:rsidR="00385B58">
        <w:rPr>
          <w:rFonts w:hint="eastAsia"/>
        </w:rPr>
        <w:t>也可以通过对射激光干涉效应形成的周期分布的光晶格</w:t>
      </w:r>
      <w:r w:rsidR="00927556">
        <w:rPr>
          <w:rFonts w:hint="eastAsia"/>
        </w:rPr>
        <w:t>来实现</w:t>
      </w:r>
      <w:r w:rsidR="00F93EF9">
        <w:rPr>
          <w:rFonts w:hint="eastAsia"/>
        </w:rPr>
        <w:t>，冷却到BEC的原子</w:t>
      </w:r>
      <w:r w:rsidR="00927556">
        <w:rPr>
          <w:rFonts w:hint="eastAsia"/>
        </w:rPr>
        <w:t>被装载在驻波场形成的光晶格的格点中</w:t>
      </w:r>
      <w:r w:rsidR="00F7406C">
        <w:rPr>
          <w:rFonts w:hint="eastAsia"/>
        </w:rPr>
        <w:t>。本文主要介绍通过空间光调制器来生成光偶极阱阵列的技术，相比其他方法其最大的优势在于</w:t>
      </w:r>
      <w:r w:rsidR="0072114D">
        <w:rPr>
          <w:rFonts w:hint="eastAsia"/>
        </w:rPr>
        <w:t>原子</w:t>
      </w:r>
      <w:r w:rsidR="00931966">
        <w:rPr>
          <w:rFonts w:hint="eastAsia"/>
        </w:rPr>
        <w:t>阵列</w:t>
      </w:r>
      <w:r w:rsidR="0072114D">
        <w:rPr>
          <w:rFonts w:hint="eastAsia"/>
        </w:rPr>
        <w:t>排布的灵活性，即原子几乎可以以预定义好的任意</w:t>
      </w:r>
      <w:r w:rsidR="008C3033">
        <w:rPr>
          <w:rFonts w:hint="eastAsia"/>
        </w:rPr>
        <w:t>二维</w:t>
      </w:r>
      <w:r w:rsidR="0072114D">
        <w:rPr>
          <w:rFonts w:hint="eastAsia"/>
        </w:rPr>
        <w:t>构型进行排布。</w:t>
      </w:r>
      <w:r w:rsidR="00083904">
        <w:rPr>
          <w:rFonts w:hint="eastAsia"/>
        </w:rPr>
        <w:t xml:space="preserve"> </w:t>
      </w:r>
    </w:p>
    <w:p w14:paraId="373BA4CB" w14:textId="41C60568" w:rsidR="00904B94" w:rsidRDefault="00904B94" w:rsidP="002818A1">
      <w:pPr>
        <w:pStyle w:val="2"/>
      </w:pPr>
      <w:r>
        <w:rPr>
          <w:rFonts w:hint="eastAsia"/>
        </w:rPr>
        <w:t>光阱阵列制备技术方案</w:t>
      </w:r>
    </w:p>
    <w:p w14:paraId="28D16CAF" w14:textId="430FF056" w:rsidR="00904B94" w:rsidRDefault="00904B94" w:rsidP="002818A1">
      <w:pPr>
        <w:pStyle w:val="3"/>
      </w:pPr>
      <w:r w:rsidRPr="00904B94">
        <w:t>2.</w:t>
      </w:r>
      <w:r w:rsidR="001F38B0">
        <w:t>1</w:t>
      </w:r>
      <w:r w:rsidRPr="00904B94">
        <w:rPr>
          <w:rFonts w:hint="eastAsia"/>
        </w:rPr>
        <w:t xml:space="preserve"> </w:t>
      </w:r>
      <w:r>
        <w:rPr>
          <w:rFonts w:hint="eastAsia"/>
        </w:rPr>
        <w:t>用空间光</w:t>
      </w:r>
      <w:r w:rsidRPr="001F38B0">
        <w:rPr>
          <w:rFonts w:hint="eastAsia"/>
        </w:rPr>
        <w:t>调制器</w:t>
      </w:r>
      <w:r w:rsidR="001F38B0" w:rsidRPr="001F38B0">
        <w:rPr>
          <w:rFonts w:hint="eastAsia"/>
        </w:rPr>
        <w:t>生成二</w:t>
      </w:r>
      <w:r w:rsidR="001F38B0">
        <w:rPr>
          <w:rFonts w:hint="eastAsia"/>
        </w:rPr>
        <w:t>维光阱阵列</w:t>
      </w:r>
    </w:p>
    <w:p w14:paraId="434FDC38" w14:textId="3713E2CB" w:rsidR="004751E6" w:rsidRDefault="0002538C" w:rsidP="008046DC">
      <w:pPr>
        <w:spacing w:line="360" w:lineRule="auto"/>
        <w:ind w:firstLineChars="200" w:firstLine="420"/>
      </w:pPr>
      <w:r>
        <w:rPr>
          <w:rFonts w:hint="eastAsia"/>
        </w:rPr>
        <w:t>SLM</w:t>
      </w:r>
      <w:r w:rsidR="00CA49D8" w:rsidRPr="00CA49D8">
        <w:t>是由双折射液晶组成的像素阵列，类似于液晶显示器中所使用的液晶。每个像素可以对反射光场引入一个</w:t>
      </w:r>
      <w:r w:rsidR="00F927EE">
        <w:rPr>
          <w:rFonts w:hint="eastAsia"/>
        </w:rPr>
        <w:t>偏振</w:t>
      </w:r>
      <w:r w:rsidR="00CA49D8" w:rsidRPr="00CA49D8">
        <w:t>依赖</w:t>
      </w:r>
      <w:r w:rsidR="00F927EE">
        <w:rPr>
          <w:rFonts w:hint="eastAsia"/>
        </w:rPr>
        <w:t>的</w:t>
      </w:r>
      <w:r w:rsidR="00CA49D8" w:rsidRPr="00CA49D8">
        <w:t>相移，并且可以独立地控制每个像素</w:t>
      </w:r>
      <w:r>
        <w:rPr>
          <w:rFonts w:hint="eastAsia"/>
        </w:rPr>
        <w:t>引入的相移</w:t>
      </w:r>
      <w:r w:rsidR="00CA49D8" w:rsidRPr="00CA49D8">
        <w:t>大小</w:t>
      </w:r>
      <w:r w:rsidR="00F970D5">
        <w:rPr>
          <w:rFonts w:hint="eastAsia"/>
        </w:rPr>
        <w:t>。通过在每个像素点</w:t>
      </w:r>
      <w:r w:rsidR="00E270C6">
        <w:rPr>
          <w:rFonts w:hint="eastAsia"/>
        </w:rPr>
        <w:t>对反射光场引入</w:t>
      </w:r>
      <w:r w:rsidR="00F970D5">
        <w:rPr>
          <w:rFonts w:hint="eastAsia"/>
        </w:rPr>
        <w:t>合适的相移，我们</w:t>
      </w:r>
      <w:r w:rsidR="00E270C6">
        <w:rPr>
          <w:rFonts w:hint="eastAsia"/>
        </w:rPr>
        <w:t>能够任意的调节反射光在透镜焦平面的强度分布</w:t>
      </w:r>
      <w:r w:rsidR="00F970D5">
        <w:rPr>
          <w:rFonts w:hint="eastAsia"/>
        </w:rPr>
        <w:t>。因此，</w:t>
      </w:r>
      <w:r w:rsidR="00DD55FA">
        <w:rPr>
          <w:rFonts w:hint="eastAsia"/>
        </w:rPr>
        <w:t>问题的关键在于</w:t>
      </w:r>
      <w:r w:rsidR="00E270C6">
        <w:rPr>
          <w:rFonts w:hint="eastAsia"/>
        </w:rPr>
        <w:t>如何找到合适的</w:t>
      </w:r>
      <w:r w:rsidR="0067079D">
        <w:rPr>
          <w:rFonts w:hint="eastAsia"/>
        </w:rPr>
        <w:t>相位使反射光在透镜焦平面能产生我们需要的强度分布模式</w:t>
      </w:r>
      <w:r w:rsidR="00C55BAB">
        <w:rPr>
          <w:rFonts w:hint="eastAsia"/>
        </w:rPr>
        <w:t>。</w:t>
      </w:r>
      <w:r w:rsidR="008046DC" w:rsidRPr="0011538C">
        <w:t>Gerchberg-Saxton</w:t>
      </w:r>
      <w:r w:rsidR="008046DC">
        <w:t>(GS)</w:t>
      </w:r>
      <w:r w:rsidR="008046DC">
        <w:rPr>
          <w:rFonts w:hint="eastAsia"/>
        </w:rPr>
        <w:t>算法</w:t>
      </w:r>
      <w:r w:rsidR="008046DC">
        <w:rPr>
          <w:rFonts w:hint="eastAsia"/>
        </w:rPr>
        <w:t>是一种</w:t>
      </w:r>
      <w:r w:rsidR="005C7D51">
        <w:rPr>
          <w:rFonts w:hint="eastAsia"/>
        </w:rPr>
        <w:t>能够根据目标光强分布来计算相位图的通用算法。</w:t>
      </w:r>
      <w:r w:rsidR="008046DC">
        <w:rPr>
          <w:rFonts w:hint="eastAsia"/>
        </w:rPr>
        <w:t>但</w:t>
      </w:r>
      <w:r w:rsidR="003C21EF">
        <w:rPr>
          <w:rFonts w:hint="eastAsia"/>
        </w:rPr>
        <w:t>需要注意的是，由于SLM只能调制光场的相位分布，无法改变</w:t>
      </w:r>
      <w:r w:rsidR="00DF1F68">
        <w:rPr>
          <w:rFonts w:hint="eastAsia"/>
        </w:rPr>
        <w:t>入射的</w:t>
      </w:r>
      <w:r w:rsidR="003C21EF">
        <w:rPr>
          <w:rFonts w:hint="eastAsia"/>
        </w:rPr>
        <w:t>振幅分布，所以透镜焦平面的光强分布不可能跟目标光强分布完全相同，</w:t>
      </w:r>
      <w:r w:rsidR="002A1A0B">
        <w:rPr>
          <w:rFonts w:hint="eastAsia"/>
        </w:rPr>
        <w:t>只可能尽量接近目标光强分布。另外，由于算法过程是完全确定的，最终迭代出的相位分布只跟初始</w:t>
      </w:r>
      <w:r w:rsidR="005935DF">
        <w:rPr>
          <w:rFonts w:hint="eastAsia"/>
        </w:rPr>
        <w:t>设置</w:t>
      </w:r>
      <w:r w:rsidR="002A1A0B">
        <w:rPr>
          <w:rFonts w:hint="eastAsia"/>
        </w:rPr>
        <w:t>的相位分布相关，</w:t>
      </w:r>
      <w:r w:rsidR="000B2BFF">
        <w:rPr>
          <w:rFonts w:hint="eastAsia"/>
        </w:rPr>
        <w:t>初始相位分布的随机性会导致最终相位</w:t>
      </w:r>
      <w:r w:rsidR="00060F6B">
        <w:rPr>
          <w:rFonts w:hint="eastAsia"/>
        </w:rPr>
        <w:t>的</w:t>
      </w:r>
      <w:r w:rsidR="000B2BFF">
        <w:rPr>
          <w:rFonts w:hint="eastAsia"/>
        </w:rPr>
        <w:t>分布</w:t>
      </w:r>
      <w:r w:rsidR="002A1A0B">
        <w:rPr>
          <w:rFonts w:hint="eastAsia"/>
        </w:rPr>
        <w:t>并不唯一。</w:t>
      </w:r>
    </w:p>
    <w:p w14:paraId="5F565F4F" w14:textId="6614347A" w:rsidR="0054523B" w:rsidRDefault="00C14A7C" w:rsidP="008046DC">
      <w:pPr>
        <w:spacing w:line="360" w:lineRule="auto"/>
        <w:ind w:firstLineChars="200" w:firstLine="420"/>
      </w:pPr>
      <w:r>
        <w:rPr>
          <w:rFonts w:hint="eastAsia"/>
        </w:rPr>
        <w:t>与一些直接算法相比，</w:t>
      </w:r>
      <w:r w:rsidR="005A2B4F">
        <w:rPr>
          <w:rFonts w:hint="eastAsia"/>
        </w:rPr>
        <w:t>GS算法在计算全息</w:t>
      </w:r>
      <w:r>
        <w:rPr>
          <w:rFonts w:hint="eastAsia"/>
        </w:rPr>
        <w:t>相位</w:t>
      </w:r>
      <w:r w:rsidR="005A2B4F">
        <w:rPr>
          <w:rFonts w:hint="eastAsia"/>
        </w:rPr>
        <w:t>图</w:t>
      </w:r>
      <w:r>
        <w:rPr>
          <w:rFonts w:hint="eastAsia"/>
        </w:rPr>
        <w:t>、生成任意构型的光阱上具有光强的利用率较高的优势，但是缺点在于生成的光阱的均匀性非常有限。针对这个问题，已经有学者在GS算法的基础上进行了改进，得到了Weighted</w:t>
      </w:r>
      <w:r>
        <w:t xml:space="preserve"> </w:t>
      </w:r>
      <w:r w:rsidRPr="0011538C">
        <w:t>Gerchberg-Saxton</w:t>
      </w:r>
      <w:r>
        <w:t>(WGS)</w:t>
      </w:r>
      <w:r>
        <w:rPr>
          <w:rFonts w:hint="eastAsia"/>
        </w:rPr>
        <w:t>算法和</w:t>
      </w:r>
      <w:r>
        <w:t>Generalized Adaptive</w:t>
      </w:r>
      <w:r>
        <w:rPr>
          <w:rFonts w:hint="eastAsia"/>
        </w:rPr>
        <w:t xml:space="preserve"> </w:t>
      </w:r>
      <w:r>
        <w:t>Additive</w:t>
      </w:r>
      <w:r>
        <w:rPr>
          <w:rFonts w:hint="eastAsia"/>
        </w:rPr>
        <w:t>(</w:t>
      </w:r>
      <w:r>
        <w:t>GAA)</w:t>
      </w:r>
      <w:r>
        <w:rPr>
          <w:rFonts w:hint="eastAsia"/>
        </w:rPr>
        <w:t>算法</w:t>
      </w:r>
      <w:r w:rsidR="00A74251">
        <w:rPr>
          <w:rFonts w:hint="eastAsia"/>
        </w:rPr>
        <w:t>等。</w:t>
      </w:r>
    </w:p>
    <w:p w14:paraId="7653D8D4" w14:textId="3D6ED9B1" w:rsidR="001F38B0" w:rsidRDefault="001F38B0" w:rsidP="002818A1">
      <w:pPr>
        <w:pStyle w:val="3"/>
      </w:pPr>
      <w:r>
        <w:rPr>
          <w:rFonts w:hint="eastAsia"/>
        </w:rPr>
        <w:lastRenderedPageBreak/>
        <w:t>2</w:t>
      </w:r>
      <w:r>
        <w:t xml:space="preserve">.2 </w:t>
      </w:r>
      <w:r>
        <w:rPr>
          <w:rFonts w:hint="eastAsia"/>
        </w:rPr>
        <w:t>修正波前畸变</w:t>
      </w:r>
    </w:p>
    <w:p w14:paraId="72F605A3" w14:textId="169F06D9" w:rsidR="00C526BB" w:rsidRDefault="002377B0" w:rsidP="00AE3296">
      <w:pPr>
        <w:spacing w:line="360" w:lineRule="auto"/>
        <w:ind w:firstLineChars="200" w:firstLine="420"/>
      </w:pPr>
      <w:r>
        <w:rPr>
          <w:rFonts w:hint="eastAsia"/>
        </w:rPr>
        <w:t>当光阱阵列的规模逐渐变大时，</w:t>
      </w:r>
      <w:r w:rsidR="00083E5B">
        <w:rPr>
          <w:rFonts w:hint="eastAsia"/>
        </w:rPr>
        <w:t>光束质量会由于波前畸变而显著下降。</w:t>
      </w:r>
      <w:r w:rsidR="008E5626">
        <w:rPr>
          <w:rFonts w:hint="eastAsia"/>
        </w:rPr>
        <w:t>这种波前畸变通常</w:t>
      </w:r>
      <w:r w:rsidR="00F44954">
        <w:rPr>
          <w:rFonts w:hint="eastAsia"/>
        </w:rPr>
        <w:t>是由于</w:t>
      </w:r>
      <w:r w:rsidR="008E5626">
        <w:rPr>
          <w:rFonts w:hint="eastAsia"/>
        </w:rPr>
        <w:t>光学元器件表面或镀膜的光学均匀性</w:t>
      </w:r>
      <w:r w:rsidR="00D17892">
        <w:rPr>
          <w:rFonts w:hint="eastAsia"/>
        </w:rPr>
        <w:t>有限</w:t>
      </w:r>
      <w:r w:rsidR="00CF53E3">
        <w:rPr>
          <w:rFonts w:hint="eastAsia"/>
        </w:rPr>
        <w:t>所导致</w:t>
      </w:r>
      <w:r w:rsidR="00F83777">
        <w:rPr>
          <w:rFonts w:hint="eastAsia"/>
        </w:rPr>
        <w:t>。</w:t>
      </w:r>
      <w:r w:rsidR="00A97E22">
        <w:rPr>
          <w:rFonts w:hint="eastAsia"/>
        </w:rPr>
        <w:t>这种畸变会</w:t>
      </w:r>
      <w:r w:rsidR="00D17892">
        <w:rPr>
          <w:rFonts w:hint="eastAsia"/>
        </w:rPr>
        <w:t>影响</w:t>
      </w:r>
      <w:r w:rsidR="005274A9">
        <w:rPr>
          <w:rFonts w:hint="eastAsia"/>
        </w:rPr>
        <w:t>束腰处光斑的峰值功率</w:t>
      </w:r>
      <w:r w:rsidR="00D17892">
        <w:rPr>
          <w:rFonts w:hint="eastAsia"/>
        </w:rPr>
        <w:t>，</w:t>
      </w:r>
      <w:r w:rsidR="009B6289">
        <w:rPr>
          <w:rFonts w:hint="eastAsia"/>
        </w:rPr>
        <w:t>减小原子感受到的光频移，从而限制我们的光阱阵列规模；波前畸变还会显著影响束腰处光斑的</w:t>
      </w:r>
      <w:r w:rsidR="00D90878">
        <w:rPr>
          <w:rFonts w:hint="eastAsia"/>
        </w:rPr>
        <w:t>尺寸和</w:t>
      </w:r>
      <w:r w:rsidR="009B6289">
        <w:rPr>
          <w:rFonts w:hint="eastAsia"/>
        </w:rPr>
        <w:t>形状</w:t>
      </w:r>
      <w:r w:rsidR="00D90878">
        <w:rPr>
          <w:rFonts w:hint="eastAsia"/>
        </w:rPr>
        <w:t>，从而影响光阱之间的最小间距</w:t>
      </w:r>
      <w:r w:rsidR="00F67512">
        <w:rPr>
          <w:rFonts w:hint="eastAsia"/>
        </w:rPr>
        <w:t>。此外，全息图的计算是基于具有平整波前的高斯光束而言，</w:t>
      </w:r>
      <w:r w:rsidR="00332B40">
        <w:rPr>
          <w:rFonts w:hint="eastAsia"/>
        </w:rPr>
        <w:t>因此波前畸变会导致全息图的质量下降。</w:t>
      </w:r>
      <w:r w:rsidR="00F4195A">
        <w:rPr>
          <w:rFonts w:hint="eastAsia"/>
        </w:rPr>
        <w:t>基于</w:t>
      </w:r>
      <w:r w:rsidR="003741CE">
        <w:rPr>
          <w:rFonts w:hint="eastAsia"/>
        </w:rPr>
        <w:t>这些</w:t>
      </w:r>
      <w:r w:rsidR="00137041">
        <w:rPr>
          <w:rFonts w:hint="eastAsia"/>
        </w:rPr>
        <w:t>原因，对波前畸变进行修正是非常有必要的。</w:t>
      </w:r>
      <w:r w:rsidR="00AC6A02">
        <w:rPr>
          <w:rFonts w:hint="eastAsia"/>
        </w:rPr>
        <w:t>在SLM平面上，波前畸变可以理解为波前相位的偏差，所以</w:t>
      </w:r>
      <w:r w:rsidR="00C526BB">
        <w:rPr>
          <w:rFonts w:hint="eastAsia"/>
        </w:rPr>
        <w:t>对波前畸变的修正可以简单的通过</w:t>
      </w:r>
      <w:r w:rsidR="004C1420">
        <w:rPr>
          <w:rFonts w:hint="eastAsia"/>
        </w:rPr>
        <w:t>SLM来完成。</w:t>
      </w:r>
    </w:p>
    <w:p w14:paraId="0AB1286F" w14:textId="589DAE26" w:rsidR="006B31CC" w:rsidRDefault="006B31CC" w:rsidP="00AE3296">
      <w:pPr>
        <w:spacing w:line="360" w:lineRule="auto"/>
        <w:ind w:firstLineChars="200" w:firstLine="420"/>
      </w:pPr>
      <w:r>
        <w:rPr>
          <w:rFonts w:hint="eastAsia"/>
        </w:rPr>
        <w:t>除了由于光学元件引入的波前畸变之外，SLM屏幕表面的不平整也会引入额外的波前畸变。</w:t>
      </w:r>
      <w:r w:rsidR="001764B4">
        <w:rPr>
          <w:rFonts w:hint="eastAsia"/>
        </w:rPr>
        <w:t>尽管我们在计算相位图时假定SLM屏幕是一个完美的平面，但是实际上由于制造商的加工公差，实际的SLM屏幕是存在一定的不平整度的。有的SLM制造商在出厂SLM时也会附上</w:t>
      </w:r>
      <w:r w:rsidR="00CD33DC">
        <w:rPr>
          <w:rFonts w:hint="eastAsia"/>
        </w:rPr>
        <w:t>用于修正SLM屏幕表面不平整度的相位图</w:t>
      </w:r>
      <w:r w:rsidR="007834EB">
        <w:rPr>
          <w:rFonts w:hint="eastAsia"/>
        </w:rPr>
        <w:t>。</w:t>
      </w:r>
      <w:r w:rsidR="00E23347">
        <w:rPr>
          <w:rFonts w:hint="eastAsia"/>
        </w:rPr>
        <w:t>修正方式同样是将厂家提供的相位添加到计算好的相位图中，即：</w:t>
      </w:r>
    </w:p>
    <w:p w14:paraId="23DB23C8" w14:textId="39053FB7" w:rsidR="00E23347" w:rsidRDefault="007B3943" w:rsidP="00AE3296">
      <w:pPr>
        <w:spacing w:line="360" w:lineRule="auto"/>
        <w:ind w:firstLineChars="200" w:firstLine="420"/>
      </w:pPr>
      <m:oMathPara>
        <m:oMath>
          <m:sSub>
            <m:sSubPr>
              <m:ctrlPr>
                <w:rPr>
                  <w:rFonts w:ascii="Cambria Math" w:hAnsi="Cambria Math"/>
                  <w:i/>
                </w:rPr>
              </m:ctrlPr>
            </m:sSubPr>
            <m:e>
              <m:r>
                <w:rPr>
                  <w:rFonts w:ascii="Cambria Math" w:hAnsi="Cambria Math"/>
                </w:rPr>
                <m:t>φ</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array</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aberration</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factory</m:t>
              </m:r>
            </m:sub>
          </m:sSub>
        </m:oMath>
      </m:oMathPara>
    </w:p>
    <w:p w14:paraId="56454764" w14:textId="2B6099CA" w:rsidR="00904B94" w:rsidRDefault="001F38B0" w:rsidP="002818A1">
      <w:pPr>
        <w:pStyle w:val="3"/>
      </w:pPr>
      <w:r>
        <w:t xml:space="preserve">2.3 </w:t>
      </w:r>
      <w:r>
        <w:rPr>
          <w:rFonts w:hint="eastAsia"/>
        </w:rPr>
        <w:t>优化光阱阵列的均匀性</w:t>
      </w:r>
    </w:p>
    <w:p w14:paraId="2512F8E7" w14:textId="601E0C18" w:rsidR="007D5352" w:rsidRPr="00A31519" w:rsidRDefault="008C2F87" w:rsidP="00A31519">
      <w:pPr>
        <w:spacing w:line="360" w:lineRule="auto"/>
        <w:ind w:firstLineChars="200" w:firstLine="420"/>
        <w:rPr>
          <w:rFonts w:ascii="Arial" w:hAnsi="Arial" w:cs="Arial" w:hint="eastAsia"/>
          <w:color w:val="222222"/>
          <w:sz w:val="20"/>
          <w:szCs w:val="20"/>
          <w:shd w:val="clear" w:color="auto" w:fill="FFFFFF"/>
        </w:rPr>
      </w:pPr>
      <w:r>
        <w:rPr>
          <w:rFonts w:hint="eastAsia"/>
        </w:rPr>
        <w:t>在考虑了SLM表面平整度以及光学元件引入的波前畸变后，采用GS算法进行迭代</w:t>
      </w:r>
      <w:r w:rsidR="00236093">
        <w:rPr>
          <w:rFonts w:hint="eastAsia"/>
        </w:rPr>
        <w:t>得到的光阱阵列的阱深仍然是非常不均匀的，</w:t>
      </w:r>
      <w:r w:rsidR="00DE4605">
        <w:rPr>
          <w:rFonts w:hint="eastAsia"/>
        </w:rPr>
        <w:t>这种不均匀性可能来自于光在SLM屏幕上衍射效率的不均匀性或者GS算法本身的限制。</w:t>
      </w:r>
      <w:r w:rsidR="00B8388C">
        <w:rPr>
          <w:rFonts w:hint="eastAsia"/>
        </w:rPr>
        <w:t>对于前者，我们可以考虑引入反馈回路对目标光强分布来进行修正，对于后者我们可以考虑采用WGS等改进算法。</w:t>
      </w:r>
      <w:r w:rsidR="00E37C75">
        <w:rPr>
          <w:rFonts w:hint="eastAsia"/>
        </w:rPr>
        <w:t>光阱阵列的不均匀性对后续的实验具有非常</w:t>
      </w:r>
      <w:r w:rsidR="00582732">
        <w:rPr>
          <w:rFonts w:hint="eastAsia"/>
        </w:rPr>
        <w:t>大</w:t>
      </w:r>
      <w:r w:rsidR="00E37C75">
        <w:rPr>
          <w:rFonts w:hint="eastAsia"/>
        </w:rPr>
        <w:t>的影响，对于阱深偏大的光阱，原子感受到的光位移也偏大，这就导致后续对该原子的冷却效果变差、探测过程中放出的光子数变少等问题；而阱深偏小的光阱对原子的束缚能力有限，原子可能在实验结束后没能重新被阱抓住</w:t>
      </w:r>
      <w:r w:rsidR="00AA2A50">
        <w:rPr>
          <w:rFonts w:hint="eastAsia"/>
        </w:rPr>
        <w:t>导致原子的损失</w:t>
      </w:r>
      <w:r w:rsidR="00E37C75">
        <w:rPr>
          <w:rFonts w:hint="eastAsia"/>
        </w:rPr>
        <w:t>。</w:t>
      </w:r>
      <w:r w:rsidR="00AA2A50">
        <w:rPr>
          <w:rFonts w:hint="eastAsia"/>
        </w:rPr>
        <w:t>所以，</w:t>
      </w:r>
      <w:r w:rsidR="00A31519">
        <w:rPr>
          <w:rFonts w:hint="eastAsia"/>
        </w:rPr>
        <w:t>优化光阱阵列的均匀性对后续的实验来说非常重要。</w:t>
      </w:r>
    </w:p>
    <w:p w14:paraId="33F8A0D1" w14:textId="0BCEDA2F" w:rsidR="001F38B0" w:rsidRDefault="007D5352" w:rsidP="002818A1">
      <w:pPr>
        <w:spacing w:line="360" w:lineRule="auto"/>
        <w:jc w:val="center"/>
      </w:pPr>
      <w:r w:rsidRPr="007D5352">
        <w:rPr>
          <w:noProof/>
        </w:rPr>
        <w:lastRenderedPageBreak/>
        <w:drawing>
          <wp:inline distT="0" distB="0" distL="0" distR="0" wp14:anchorId="31CE0F89" wp14:editId="17C56C0D">
            <wp:extent cx="2871223" cy="3502324"/>
            <wp:effectExtent l="0" t="0" r="571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74285" cy="3506060"/>
                    </a:xfrm>
                    <a:prstGeom prst="rect">
                      <a:avLst/>
                    </a:prstGeom>
                  </pic:spPr>
                </pic:pic>
              </a:graphicData>
            </a:graphic>
          </wp:inline>
        </w:drawing>
      </w:r>
    </w:p>
    <w:p w14:paraId="1B9B6277" w14:textId="6CDB26E7" w:rsidR="0048348A" w:rsidRPr="00A31519" w:rsidRDefault="00EC46F2" w:rsidP="002818A1">
      <w:pPr>
        <w:spacing w:line="360" w:lineRule="auto"/>
        <w:jc w:val="center"/>
        <w:rPr>
          <w:rFonts w:asciiTheme="minorEastAsia" w:hAnsiTheme="minorEastAsia" w:cs="Arial"/>
          <w:color w:val="222222"/>
          <w:sz w:val="18"/>
          <w:szCs w:val="18"/>
          <w:shd w:val="clear" w:color="auto" w:fill="FFFFFF"/>
        </w:rPr>
      </w:pPr>
      <w:r w:rsidRPr="00A31519">
        <w:rPr>
          <w:rFonts w:asciiTheme="minorEastAsia" w:hAnsiTheme="minorEastAsia" w:hint="eastAsia"/>
          <w:sz w:val="18"/>
          <w:szCs w:val="18"/>
        </w:rPr>
        <w:t>图</w:t>
      </w:r>
      <w:r w:rsidR="00A31519">
        <w:rPr>
          <w:rFonts w:asciiTheme="minorEastAsia" w:hAnsiTheme="minorEastAsia"/>
          <w:sz w:val="18"/>
          <w:szCs w:val="18"/>
        </w:rPr>
        <w:t>1.</w:t>
      </w:r>
      <w:r w:rsidRPr="00A31519">
        <w:rPr>
          <w:rFonts w:asciiTheme="minorEastAsia" w:hAnsiTheme="minorEastAsia"/>
          <w:sz w:val="18"/>
          <w:szCs w:val="18"/>
        </w:rPr>
        <w:t xml:space="preserve"> </w:t>
      </w:r>
      <w:r w:rsidRPr="00A31519">
        <w:rPr>
          <w:rFonts w:asciiTheme="minorEastAsia" w:hAnsiTheme="minorEastAsia" w:hint="eastAsia"/>
          <w:sz w:val="18"/>
          <w:szCs w:val="18"/>
        </w:rPr>
        <w:t>优化</w:t>
      </w:r>
      <w:r w:rsidR="00C5473D" w:rsidRPr="00A31519">
        <w:rPr>
          <w:rFonts w:asciiTheme="minorEastAsia" w:hAnsiTheme="minorEastAsia" w:hint="eastAsia"/>
          <w:sz w:val="18"/>
          <w:szCs w:val="18"/>
        </w:rPr>
        <w:t>光阱阵列的阱深均匀性。(</w:t>
      </w:r>
      <w:r w:rsidR="00C5473D" w:rsidRPr="00A31519">
        <w:rPr>
          <w:rFonts w:asciiTheme="minorEastAsia" w:hAnsiTheme="minorEastAsia"/>
          <w:sz w:val="18"/>
          <w:szCs w:val="18"/>
        </w:rPr>
        <w:t>a)</w:t>
      </w:r>
      <w:r w:rsidR="00E56877" w:rsidRPr="00A31519">
        <w:rPr>
          <w:rFonts w:asciiTheme="minorEastAsia" w:hAnsiTheme="minorEastAsia" w:hint="eastAsia"/>
          <w:sz w:val="18"/>
          <w:szCs w:val="18"/>
        </w:rPr>
        <w:t>优化阱深均匀性的反馈回路</w:t>
      </w:r>
      <w:r w:rsidR="00874CA9" w:rsidRPr="00A31519">
        <w:rPr>
          <w:rFonts w:asciiTheme="minorEastAsia" w:hAnsiTheme="minorEastAsia" w:hint="eastAsia"/>
          <w:sz w:val="18"/>
          <w:szCs w:val="18"/>
        </w:rPr>
        <w:t>。(</w:t>
      </w:r>
      <w:r w:rsidR="00874CA9" w:rsidRPr="00A31519">
        <w:rPr>
          <w:rFonts w:asciiTheme="minorEastAsia" w:hAnsiTheme="minorEastAsia"/>
          <w:sz w:val="18"/>
          <w:szCs w:val="18"/>
        </w:rPr>
        <w:t>b)</w:t>
      </w:r>
      <w:r w:rsidR="00874CA9" w:rsidRPr="00A31519">
        <w:rPr>
          <w:rFonts w:asciiTheme="minorEastAsia" w:hAnsiTheme="minorEastAsia" w:hint="eastAsia"/>
          <w:sz w:val="18"/>
          <w:szCs w:val="18"/>
        </w:rPr>
        <w:t>优化前和优化后的归一化光强分布。</w:t>
      </w:r>
      <w:r w:rsidR="0048348A" w:rsidRPr="00A31519">
        <w:rPr>
          <w:rFonts w:asciiTheme="minorEastAsia" w:hAnsiTheme="minorEastAsia" w:hint="eastAsia"/>
          <w:sz w:val="18"/>
          <w:szCs w:val="18"/>
        </w:rPr>
        <w:t>图片来源为2</w:t>
      </w:r>
      <w:r w:rsidR="0048348A" w:rsidRPr="00A31519">
        <w:rPr>
          <w:rFonts w:asciiTheme="minorEastAsia" w:hAnsiTheme="minorEastAsia"/>
          <w:sz w:val="18"/>
          <w:szCs w:val="18"/>
        </w:rPr>
        <w:t>016</w:t>
      </w:r>
      <w:r w:rsidR="0048348A" w:rsidRPr="00A31519">
        <w:rPr>
          <w:rFonts w:asciiTheme="minorEastAsia" w:hAnsiTheme="minorEastAsia" w:hint="eastAsia"/>
          <w:sz w:val="18"/>
          <w:szCs w:val="18"/>
        </w:rPr>
        <w:t>年</w:t>
      </w:r>
      <w:r w:rsidR="0048348A" w:rsidRPr="00A31519">
        <w:rPr>
          <w:rFonts w:asciiTheme="minorEastAsia" w:hAnsiTheme="minorEastAsia" w:cs="Arial"/>
          <w:color w:val="222222"/>
          <w:sz w:val="18"/>
          <w:szCs w:val="18"/>
          <w:shd w:val="clear" w:color="auto" w:fill="FFFFFF"/>
        </w:rPr>
        <w:t>Henning Labuhn</w:t>
      </w:r>
      <w:r w:rsidR="0048348A" w:rsidRPr="00A31519">
        <w:rPr>
          <w:rFonts w:asciiTheme="minorEastAsia" w:hAnsiTheme="minorEastAsia" w:cs="Arial" w:hint="eastAsia"/>
          <w:color w:val="222222"/>
          <w:sz w:val="18"/>
          <w:szCs w:val="18"/>
          <w:shd w:val="clear" w:color="auto" w:fill="FFFFFF"/>
        </w:rPr>
        <w:t>的博士论文。</w:t>
      </w:r>
    </w:p>
    <w:p w14:paraId="01D473E4" w14:textId="29A8D651" w:rsidR="0048348A" w:rsidRPr="00A31519" w:rsidRDefault="0048348A" w:rsidP="00A31519">
      <w:pPr>
        <w:spacing w:line="360" w:lineRule="auto"/>
        <w:ind w:firstLineChars="200" w:firstLine="420"/>
        <w:rPr>
          <w:rFonts w:ascii="Arial" w:hAnsi="Arial" w:cs="Arial"/>
          <w:color w:val="222222"/>
          <w:shd w:val="clear" w:color="auto" w:fill="FFFFFF"/>
        </w:rPr>
      </w:pPr>
      <w:r w:rsidRPr="00A31519">
        <w:rPr>
          <w:rFonts w:ascii="Arial" w:hAnsi="Arial" w:cs="Arial" w:hint="eastAsia"/>
          <w:color w:val="222222"/>
          <w:shd w:val="clear" w:color="auto" w:fill="FFFFFF"/>
        </w:rPr>
        <w:t>我们可以采用一个</w:t>
      </w:r>
      <w:r w:rsidRPr="00A31519">
        <w:rPr>
          <w:rFonts w:ascii="Arial" w:hAnsi="Arial" w:cs="Arial" w:hint="eastAsia"/>
          <w:color w:val="222222"/>
          <w:shd w:val="clear" w:color="auto" w:fill="FFFFFF"/>
        </w:rPr>
        <w:t>CCD</w:t>
      </w:r>
      <w:r w:rsidRPr="00A31519">
        <w:rPr>
          <w:rFonts w:ascii="Arial" w:hAnsi="Arial" w:cs="Arial" w:hint="eastAsia"/>
          <w:color w:val="222222"/>
          <w:shd w:val="clear" w:color="auto" w:fill="FFFFFF"/>
        </w:rPr>
        <w:t>相机来优化阱深均匀性，如图</w:t>
      </w:r>
      <w:r w:rsidR="00A31519">
        <w:rPr>
          <w:rFonts w:ascii="Arial" w:hAnsi="Arial" w:cs="Arial"/>
          <w:color w:val="222222"/>
          <w:shd w:val="clear" w:color="auto" w:fill="FFFFFF"/>
        </w:rPr>
        <w:t>1</w:t>
      </w:r>
      <w:r w:rsidRPr="00A31519">
        <w:rPr>
          <w:rFonts w:ascii="Arial" w:hAnsi="Arial" w:cs="Arial" w:hint="eastAsia"/>
          <w:color w:val="222222"/>
          <w:shd w:val="clear" w:color="auto" w:fill="FFFFFF"/>
        </w:rPr>
        <w:t>所示。我们首先采用均匀的光阱阵列作为目标光强分布，</w:t>
      </w:r>
      <w:r w:rsidR="00B8388C" w:rsidRPr="00A31519">
        <w:rPr>
          <w:rFonts w:ascii="Arial" w:hAnsi="Arial" w:cs="Arial" w:hint="eastAsia"/>
          <w:color w:val="222222"/>
          <w:shd w:val="clear" w:color="auto" w:fill="FFFFFF"/>
        </w:rPr>
        <w:t>采用</w:t>
      </w:r>
      <w:r w:rsidR="00B8388C" w:rsidRPr="00A31519">
        <w:rPr>
          <w:rFonts w:ascii="Arial" w:hAnsi="Arial" w:cs="Arial" w:hint="eastAsia"/>
          <w:color w:val="222222"/>
          <w:shd w:val="clear" w:color="auto" w:fill="FFFFFF"/>
        </w:rPr>
        <w:t>GS</w:t>
      </w:r>
      <w:r w:rsidR="00B8388C" w:rsidRPr="00A31519">
        <w:rPr>
          <w:rFonts w:ascii="Arial" w:hAnsi="Arial" w:cs="Arial" w:hint="eastAsia"/>
          <w:color w:val="222222"/>
          <w:shd w:val="clear" w:color="auto" w:fill="FFFFFF"/>
        </w:rPr>
        <w:t>算法或者前面提到的改进算法</w:t>
      </w:r>
      <w:r w:rsidR="00451EEF" w:rsidRPr="00A31519">
        <w:rPr>
          <w:rFonts w:ascii="Arial" w:hAnsi="Arial" w:cs="Arial" w:hint="eastAsia"/>
          <w:color w:val="222222"/>
          <w:shd w:val="clear" w:color="auto" w:fill="FFFFFF"/>
        </w:rPr>
        <w:t>计算出对应的相位图，经过若干次往返迭代后，等到算法收敛时，我们暂停算法并把相图加载到</w:t>
      </w:r>
      <w:r w:rsidR="00451EEF" w:rsidRPr="00A31519">
        <w:rPr>
          <w:rFonts w:ascii="Arial" w:hAnsi="Arial" w:cs="Arial" w:hint="eastAsia"/>
          <w:color w:val="222222"/>
          <w:shd w:val="clear" w:color="auto" w:fill="FFFFFF"/>
        </w:rPr>
        <w:t>SLM</w:t>
      </w:r>
      <w:r w:rsidR="00451EEF" w:rsidRPr="00A31519">
        <w:rPr>
          <w:rFonts w:ascii="Arial" w:hAnsi="Arial" w:cs="Arial" w:hint="eastAsia"/>
          <w:color w:val="222222"/>
          <w:shd w:val="clear" w:color="auto" w:fill="FFFFFF"/>
        </w:rPr>
        <w:t>上，通过</w:t>
      </w:r>
      <w:r w:rsidR="00451EEF" w:rsidRPr="00A31519">
        <w:rPr>
          <w:rFonts w:ascii="Arial" w:hAnsi="Arial" w:cs="Arial" w:hint="eastAsia"/>
          <w:color w:val="222222"/>
          <w:shd w:val="clear" w:color="auto" w:fill="FFFFFF"/>
        </w:rPr>
        <w:t>CCD</w:t>
      </w:r>
      <w:r w:rsidR="00451EEF" w:rsidRPr="00A31519">
        <w:rPr>
          <w:rFonts w:ascii="Arial" w:hAnsi="Arial" w:cs="Arial" w:hint="eastAsia"/>
          <w:color w:val="222222"/>
          <w:shd w:val="clear" w:color="auto" w:fill="FFFFFF"/>
        </w:rPr>
        <w:t>相机记录每个阱实际的光强分布</w:t>
      </w:r>
      <w:r w:rsidR="00CE6961" w:rsidRPr="00A31519">
        <w:rPr>
          <w:rFonts w:ascii="Arial" w:hAnsi="Arial" w:cs="Arial" w:hint="eastAsia"/>
          <w:color w:val="222222"/>
          <w:shd w:val="clear" w:color="auto" w:fill="FFFFFF"/>
        </w:rPr>
        <w:t>。根据</w:t>
      </w:r>
      <w:r w:rsidR="00CE6961" w:rsidRPr="00A31519">
        <w:rPr>
          <w:rFonts w:ascii="Arial" w:hAnsi="Arial" w:cs="Arial" w:hint="eastAsia"/>
          <w:color w:val="222222"/>
          <w:shd w:val="clear" w:color="auto" w:fill="FFFFFF"/>
        </w:rPr>
        <w:t>CCD</w:t>
      </w:r>
      <w:r w:rsidR="00CE6961" w:rsidRPr="00A31519">
        <w:rPr>
          <w:rFonts w:ascii="Arial" w:hAnsi="Arial" w:cs="Arial" w:hint="eastAsia"/>
          <w:color w:val="222222"/>
          <w:shd w:val="clear" w:color="auto" w:fill="FFFFFF"/>
        </w:rPr>
        <w:t>相机</w:t>
      </w:r>
      <w:r w:rsidR="007D6038" w:rsidRPr="00A31519">
        <w:rPr>
          <w:rFonts w:ascii="Arial" w:hAnsi="Arial" w:cs="Arial" w:hint="eastAsia"/>
          <w:color w:val="222222"/>
          <w:shd w:val="clear" w:color="auto" w:fill="FFFFFF"/>
        </w:rPr>
        <w:t>采集的结果</w:t>
      </w:r>
      <w:r w:rsidR="00CE6961" w:rsidRPr="00A31519">
        <w:rPr>
          <w:rFonts w:ascii="Arial" w:hAnsi="Arial" w:cs="Arial" w:hint="eastAsia"/>
          <w:color w:val="222222"/>
          <w:shd w:val="clear" w:color="auto" w:fill="FFFFFF"/>
        </w:rPr>
        <w:t>，我们对目标光强分布进行调整：对于实际光强较弱的阱，提高目标光强分布中该阱的光强；对于实际光强过强的阱，降低目标光强中该阱的光强。</w:t>
      </w:r>
      <w:r w:rsidR="00512E0F" w:rsidRPr="00A31519">
        <w:rPr>
          <w:rFonts w:ascii="Arial" w:hAnsi="Arial" w:cs="Arial" w:hint="eastAsia"/>
          <w:color w:val="222222"/>
          <w:shd w:val="clear" w:color="auto" w:fill="FFFFFF"/>
        </w:rPr>
        <w:t>然后，我们就能根据修正后的目标光强分布继续采用算法进行迭代，直到最终在</w:t>
      </w:r>
      <w:r w:rsidR="00512E0F" w:rsidRPr="00A31519">
        <w:rPr>
          <w:rFonts w:ascii="Arial" w:hAnsi="Arial" w:cs="Arial" w:hint="eastAsia"/>
          <w:color w:val="222222"/>
          <w:shd w:val="clear" w:color="auto" w:fill="FFFFFF"/>
        </w:rPr>
        <w:t>CCD</w:t>
      </w:r>
      <w:r w:rsidR="00512E0F" w:rsidRPr="00A31519">
        <w:rPr>
          <w:rFonts w:ascii="Arial" w:hAnsi="Arial" w:cs="Arial" w:hint="eastAsia"/>
          <w:color w:val="222222"/>
          <w:shd w:val="clear" w:color="auto" w:fill="FFFFFF"/>
        </w:rPr>
        <w:t>相机上得到具有较好均匀性的光阱阵列。</w:t>
      </w:r>
      <w:r w:rsidR="007D6038" w:rsidRPr="00A31519">
        <w:rPr>
          <w:rFonts w:ascii="Arial" w:hAnsi="Arial" w:cs="Arial" w:hint="eastAsia"/>
          <w:color w:val="222222"/>
          <w:shd w:val="clear" w:color="auto" w:fill="FFFFFF"/>
        </w:rPr>
        <w:t>整个优化流程，包括采用算法进行迭代、通过</w:t>
      </w:r>
      <w:r w:rsidR="007D6038" w:rsidRPr="00A31519">
        <w:rPr>
          <w:rFonts w:ascii="Arial" w:hAnsi="Arial" w:cs="Arial" w:hint="eastAsia"/>
          <w:color w:val="222222"/>
          <w:shd w:val="clear" w:color="auto" w:fill="FFFFFF"/>
        </w:rPr>
        <w:t>CCD</w:t>
      </w:r>
      <w:r w:rsidR="007D6038" w:rsidRPr="00A31519">
        <w:rPr>
          <w:rFonts w:ascii="Arial" w:hAnsi="Arial" w:cs="Arial" w:hint="eastAsia"/>
          <w:color w:val="222222"/>
          <w:shd w:val="clear" w:color="auto" w:fill="FFFFFF"/>
        </w:rPr>
        <w:t>相机采集实际光强分布、根据实际光强分布对目标光强分布进行修正、采用修正后的目标光强分布继续进行迭代</w:t>
      </w:r>
      <w:r w:rsidR="00C413A4" w:rsidRPr="00A31519">
        <w:rPr>
          <w:rFonts w:ascii="Arial" w:hAnsi="Arial" w:cs="Arial" w:hint="eastAsia"/>
          <w:color w:val="222222"/>
          <w:shd w:val="clear" w:color="auto" w:fill="FFFFFF"/>
        </w:rPr>
        <w:t>这一系列步骤</w:t>
      </w:r>
      <w:r w:rsidR="007D6038" w:rsidRPr="00A31519">
        <w:rPr>
          <w:rFonts w:ascii="Arial" w:hAnsi="Arial" w:cs="Arial" w:hint="eastAsia"/>
          <w:color w:val="222222"/>
          <w:shd w:val="clear" w:color="auto" w:fill="FFFFFF"/>
        </w:rPr>
        <w:t>，</w:t>
      </w:r>
      <w:r w:rsidR="0024331D" w:rsidRPr="00A31519">
        <w:rPr>
          <w:rFonts w:ascii="Arial" w:hAnsi="Arial" w:cs="Arial" w:hint="eastAsia"/>
          <w:color w:val="222222"/>
          <w:shd w:val="clear" w:color="auto" w:fill="FFFFFF"/>
        </w:rPr>
        <w:t>都能够通过计算机自动完成。</w:t>
      </w:r>
    </w:p>
    <w:p w14:paraId="42F4F77B" w14:textId="2D518907" w:rsidR="0048348A" w:rsidRPr="00A31519" w:rsidRDefault="00E45667" w:rsidP="00A31519">
      <w:pPr>
        <w:spacing w:line="360" w:lineRule="auto"/>
        <w:ind w:firstLineChars="200" w:firstLine="420"/>
        <w:rPr>
          <w:rFonts w:ascii="Arial" w:hAnsi="Arial" w:cs="Arial"/>
          <w:color w:val="222222"/>
          <w:shd w:val="clear" w:color="auto" w:fill="FFFFFF"/>
        </w:rPr>
      </w:pPr>
      <w:r w:rsidRPr="00A31519">
        <w:rPr>
          <w:rFonts w:ascii="Arial" w:hAnsi="Arial" w:cs="Arial" w:hint="eastAsia"/>
          <w:color w:val="222222"/>
          <w:shd w:val="clear" w:color="auto" w:fill="FFFFFF"/>
        </w:rPr>
        <w:t>光阱阵列的均匀性优化完成后，可以采用</w:t>
      </w:r>
      <w:r w:rsidRPr="00A31519">
        <w:rPr>
          <w:rFonts w:ascii="Arial" w:hAnsi="Arial" w:cs="Arial" w:hint="eastAsia"/>
          <w:color w:val="222222"/>
          <w:shd w:val="clear" w:color="auto" w:fill="FFFFFF"/>
        </w:rPr>
        <w:t>CCD</w:t>
      </w:r>
      <w:r w:rsidRPr="00A31519">
        <w:rPr>
          <w:rFonts w:ascii="Arial" w:hAnsi="Arial" w:cs="Arial" w:hint="eastAsia"/>
          <w:color w:val="222222"/>
          <w:shd w:val="clear" w:color="auto" w:fill="FFFFFF"/>
        </w:rPr>
        <w:t>相机来标定此时光阱的均匀性。但是，由于</w:t>
      </w:r>
      <w:r w:rsidRPr="00A31519">
        <w:rPr>
          <w:rFonts w:ascii="Arial" w:hAnsi="Arial" w:cs="Arial" w:hint="eastAsia"/>
          <w:color w:val="222222"/>
          <w:shd w:val="clear" w:color="auto" w:fill="FFFFFF"/>
        </w:rPr>
        <w:t>CCD</w:t>
      </w:r>
      <w:r w:rsidRPr="00A31519">
        <w:rPr>
          <w:rFonts w:ascii="Arial" w:hAnsi="Arial" w:cs="Arial" w:hint="eastAsia"/>
          <w:color w:val="222222"/>
          <w:shd w:val="clear" w:color="auto" w:fill="FFFFFF"/>
        </w:rPr>
        <w:t>相机放在真空腔外，光阱阵列从原子处到</w:t>
      </w:r>
      <w:r w:rsidRPr="00A31519">
        <w:rPr>
          <w:rFonts w:ascii="Arial" w:hAnsi="Arial" w:cs="Arial" w:hint="eastAsia"/>
          <w:color w:val="222222"/>
          <w:shd w:val="clear" w:color="auto" w:fill="FFFFFF"/>
        </w:rPr>
        <w:t>CCD</w:t>
      </w:r>
      <w:r w:rsidRPr="00A31519">
        <w:rPr>
          <w:rFonts w:ascii="Arial" w:hAnsi="Arial" w:cs="Arial" w:hint="eastAsia"/>
          <w:color w:val="222222"/>
          <w:shd w:val="clear" w:color="auto" w:fill="FFFFFF"/>
        </w:rPr>
        <w:t>相机还需要经过一系列光学元件，从而引入额外的波前畸变，对每个光阱的阱深产生不同的影响，因此</w:t>
      </w:r>
      <w:r w:rsidRPr="00A31519">
        <w:rPr>
          <w:rFonts w:ascii="Arial" w:hAnsi="Arial" w:cs="Arial" w:hint="eastAsia"/>
          <w:color w:val="222222"/>
          <w:shd w:val="clear" w:color="auto" w:fill="FFFFFF"/>
        </w:rPr>
        <w:t>CCD</w:t>
      </w:r>
      <w:r w:rsidRPr="00A31519">
        <w:rPr>
          <w:rFonts w:ascii="Arial" w:hAnsi="Arial" w:cs="Arial" w:hint="eastAsia"/>
          <w:color w:val="222222"/>
          <w:shd w:val="clear" w:color="auto" w:fill="FFFFFF"/>
        </w:rPr>
        <w:t>相机处看到的光阱均匀性并不等同于原子真实感受到的阱深的均匀性。最准确的标定阱深均匀性的方式是通过原子的光频移进行标定，将在下一小节进行详细介绍。</w:t>
      </w:r>
    </w:p>
    <w:p w14:paraId="6A1929CC" w14:textId="67706DBB" w:rsidR="0021203B" w:rsidRDefault="0021203B" w:rsidP="002818A1">
      <w:pPr>
        <w:pStyle w:val="3"/>
      </w:pPr>
      <w:r>
        <w:rPr>
          <w:rFonts w:hint="eastAsia"/>
        </w:rPr>
        <w:t>2</w:t>
      </w:r>
      <w:r>
        <w:t xml:space="preserve">.4 </w:t>
      </w:r>
      <w:r>
        <w:rPr>
          <w:rFonts w:hint="eastAsia"/>
        </w:rPr>
        <w:t>用原子光频移标定</w:t>
      </w:r>
      <w:r w:rsidRPr="0021203B">
        <w:rPr>
          <w:rFonts w:hint="eastAsia"/>
        </w:rPr>
        <w:t>光阱阵列</w:t>
      </w:r>
      <w:r w:rsidR="00E45667">
        <w:rPr>
          <w:rFonts w:hint="eastAsia"/>
        </w:rPr>
        <w:t>的阱深</w:t>
      </w:r>
      <w:r w:rsidRPr="0021203B">
        <w:rPr>
          <w:rFonts w:hint="eastAsia"/>
        </w:rPr>
        <w:t>均匀性</w:t>
      </w:r>
    </w:p>
    <w:p w14:paraId="505497FC" w14:textId="14CAD58D" w:rsidR="0067206E" w:rsidRDefault="0067206E" w:rsidP="000B7A9A">
      <w:pPr>
        <w:spacing w:line="360" w:lineRule="auto"/>
        <w:ind w:firstLineChars="200" w:firstLine="420"/>
        <w:jc w:val="left"/>
      </w:pPr>
      <w:r>
        <w:rPr>
          <w:rFonts w:hint="eastAsia"/>
        </w:rPr>
        <w:lastRenderedPageBreak/>
        <w:t>光阱对于原子的囚禁作用是通过AC</w:t>
      </w:r>
      <w:r>
        <w:t>-</w:t>
      </w:r>
      <w:r>
        <w:rPr>
          <w:rFonts w:hint="eastAsia"/>
        </w:rPr>
        <w:t>Stark效应来实现的，原子能级在特定波长的激光作用下由于AC</w:t>
      </w:r>
      <w:r>
        <w:t>-</w:t>
      </w:r>
      <w:r>
        <w:rPr>
          <w:rFonts w:hint="eastAsia"/>
        </w:rPr>
        <w:t>Stark效应发生位移，也被称为光频移。利用这一点，我们可以通过精密光谱学手段测量光阱阵列中各原子的某一特定跃迁线的光频移，进而标定阱深。在铷8</w:t>
      </w:r>
      <w:r>
        <w:t>7</w:t>
      </w:r>
      <w:r>
        <w:rPr>
          <w:rFonts w:hint="eastAsia"/>
        </w:rPr>
        <w:t>原子中，我们选择D</w:t>
      </w:r>
      <w:r>
        <w:t>1</w:t>
      </w:r>
      <w:r>
        <w:rPr>
          <w:rFonts w:hint="eastAsia"/>
        </w:rPr>
        <w:t>线</w:t>
      </w:r>
      <w:r w:rsidR="000B7A9A">
        <w:rPr>
          <w:rFonts w:hint="eastAsia"/>
        </w:rPr>
        <w:t>（</w:t>
      </w:r>
      <w:r w:rsidR="000B7A9A">
        <w:t>795 nm</w:t>
      </w:r>
      <w:r w:rsidR="000B7A9A">
        <w:rPr>
          <w:rFonts w:hint="eastAsia"/>
        </w:rPr>
        <w:t>波长</w:t>
      </w:r>
      <w:r w:rsidR="000B7A9A">
        <w:rPr>
          <w:rFonts w:hint="eastAsia"/>
        </w:rPr>
        <w:t>）</w:t>
      </w:r>
      <w:r>
        <w:rPr>
          <w:rFonts w:hint="eastAsia"/>
        </w:rPr>
        <w:t>的</w:t>
      </w:r>
      <m:oMath>
        <m:r>
          <w:rPr>
            <w:rFonts w:ascii="Cambria Math" w:hAnsi="Cambria Math" w:hint="eastAsia"/>
          </w:rPr>
          <m:t>F</m:t>
        </m:r>
        <m:r>
          <w:rPr>
            <w:rFonts w:ascii="Cambria Math" w:hAnsi="Cambria Math"/>
          </w:rPr>
          <m:t>=2</m:t>
        </m:r>
        <m:r>
          <w:rPr>
            <w:rFonts w:ascii="Cambria Math" w:hAnsi="Cambria Math" w:hint="eastAsia"/>
          </w:rPr>
          <m:t>→</m:t>
        </m:r>
        <m:r>
          <w:rPr>
            <w:rFonts w:ascii="Cambria Math" w:hAnsi="Cambria Math" w:hint="eastAsia"/>
          </w:rPr>
          <m:t>F</m:t>
        </m:r>
        <m:r>
          <w:rPr>
            <w:rFonts w:ascii="Cambria Math" w:hAnsi="Cambria Math" w:hint="eastAsia"/>
          </w:rPr>
          <m:t>‘</m:t>
        </m:r>
        <m:r>
          <w:rPr>
            <w:rFonts w:ascii="Cambria Math" w:hAnsi="Cambria Math"/>
          </w:rPr>
          <m:t>=2</m:t>
        </m:r>
      </m:oMath>
      <w:r>
        <w:rPr>
          <w:rFonts w:hint="eastAsia"/>
        </w:rPr>
        <w:t>超精细跃迁作为标定光频移的跃迁线。</w:t>
      </w:r>
    </w:p>
    <w:p w14:paraId="5347EEB2" w14:textId="1A26EC00" w:rsidR="0021203B" w:rsidRDefault="0067206E" w:rsidP="000B7A9A">
      <w:pPr>
        <w:spacing w:line="360" w:lineRule="auto"/>
        <w:ind w:firstLineChars="200" w:firstLine="420"/>
        <w:rPr>
          <w:rFonts w:hint="eastAsia"/>
        </w:rPr>
      </w:pPr>
      <w:r>
        <w:rPr>
          <w:rFonts w:hint="eastAsia"/>
        </w:rPr>
        <w:t>实验中我们将阱内的原子先泵浦到处于基态F</w:t>
      </w:r>
      <w:r>
        <w:t>=2</w:t>
      </w:r>
      <w:r>
        <w:rPr>
          <w:rFonts w:hint="eastAsia"/>
        </w:rPr>
        <w:t>，对于被阱产生了光频移的这条跃迁线越共振的激光可以实现越好的回泵效果，将原子重新泵浦到F</w:t>
      </w:r>
      <w:r>
        <w:t>=1</w:t>
      </w:r>
      <w:r>
        <w:rPr>
          <w:rFonts w:hint="eastAsia"/>
        </w:rPr>
        <w:t>。通过扫描激光的频率并测量被重新泵浦到F</w:t>
      </w:r>
      <w:r>
        <w:t>=1</w:t>
      </w:r>
      <w:r>
        <w:rPr>
          <w:rFonts w:hint="eastAsia"/>
        </w:rPr>
        <w:t>的原子的比例得到的谱线可以测量得到阱内原子感受到的光频移。</w:t>
      </w:r>
    </w:p>
    <w:p w14:paraId="7554EC6F" w14:textId="62E2B5C3" w:rsidR="001F38B0" w:rsidRDefault="001F38B0" w:rsidP="002818A1">
      <w:pPr>
        <w:pStyle w:val="2"/>
      </w:pPr>
      <w:r>
        <w:rPr>
          <w:rFonts w:hint="eastAsia"/>
        </w:rPr>
        <w:t>光阱阵列制备技术研究进展</w:t>
      </w:r>
    </w:p>
    <w:p w14:paraId="725DE7C4" w14:textId="306EEC2A" w:rsidR="001F38B0" w:rsidRDefault="001F38B0" w:rsidP="002818A1">
      <w:pPr>
        <w:pStyle w:val="3"/>
      </w:pPr>
      <w:r>
        <w:rPr>
          <w:rFonts w:hint="eastAsia"/>
        </w:rPr>
        <w:t>3</w:t>
      </w:r>
      <w:r>
        <w:t xml:space="preserve">.1 </w:t>
      </w:r>
      <w:r>
        <w:rPr>
          <w:rFonts w:hint="eastAsia"/>
        </w:rPr>
        <w:t>Gamma</w:t>
      </w:r>
      <w:r>
        <w:rPr>
          <w:rFonts w:hint="eastAsia"/>
        </w:rPr>
        <w:t>曲线的测量与校正</w:t>
      </w:r>
    </w:p>
    <w:p w14:paraId="70A538C7" w14:textId="77777777" w:rsidR="00855671" w:rsidRDefault="00855671" w:rsidP="002818A1">
      <w:pPr>
        <w:spacing w:line="360" w:lineRule="auto"/>
        <w:ind w:firstLine="420"/>
      </w:pPr>
      <w:r>
        <w:rPr>
          <w:rFonts w:hint="eastAsia"/>
        </w:rPr>
        <w:t>SLM的gamma曲线是指写入SLM的灰度值与被调制的激光实际受到的相位改变的关系。如果gamma曲线与理想状态差异较大，会导致加载相位图的实际效果大打折扣。我们通过给SLM的左右半屏分别加载恒定为0的灰度值和从0扫描到2</w:t>
      </w:r>
      <w:r>
        <w:t>55</w:t>
      </w:r>
      <w:r>
        <w:rPr>
          <w:rFonts w:hint="eastAsia"/>
        </w:rPr>
        <w:t>的灰度值，将一束准直激光分成两束分别打到两个半屏上再用透镜将这两束平行的准直光合束做干涉，在灰度值从0扫描到2</w:t>
      </w:r>
      <w:r>
        <w:t>55</w:t>
      </w:r>
      <w:r>
        <w:rPr>
          <w:rFonts w:hint="eastAsia"/>
        </w:rPr>
        <w:t>的过程中可以看到干涉条纹的移动，进而反推出被调制的激光实际受到的相位改变的大小。Holoeye公司的SLM自带gamma曲线校准软件，将扫描灰度值得到的2</w:t>
      </w:r>
      <w:r>
        <w:t>56</w:t>
      </w:r>
      <w:r>
        <w:rPr>
          <w:rFonts w:hint="eastAsia"/>
        </w:rPr>
        <w:t>张干涉条纹的图片中提取出干涉对比度最高的一行像素并拼接成一张2</w:t>
      </w:r>
      <w:r>
        <w:t>56</w:t>
      </w:r>
      <w:r>
        <w:rPr>
          <w:rFonts w:hint="eastAsia"/>
        </w:rPr>
        <w:t>行像素的图片，然后导入软件中，可以自动分析生成gamma曲线。</w:t>
      </w:r>
    </w:p>
    <w:p w14:paraId="0D801D89" w14:textId="3AD59429" w:rsidR="00855671" w:rsidRDefault="00855671" w:rsidP="002818A1">
      <w:pPr>
        <w:spacing w:line="360" w:lineRule="auto"/>
      </w:pPr>
      <w:r>
        <w:rPr>
          <w:noProof/>
        </w:rPr>
        <w:drawing>
          <wp:inline distT="0" distB="0" distL="0" distR="0" wp14:anchorId="5788E8C8" wp14:editId="3A572EF4">
            <wp:extent cx="5274310" cy="1147445"/>
            <wp:effectExtent l="0" t="0" r="2540" b="0"/>
            <wp:docPr id="484061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61969" name=""/>
                    <pic:cNvPicPr/>
                  </pic:nvPicPr>
                  <pic:blipFill>
                    <a:blip r:embed="rId9"/>
                    <a:stretch>
                      <a:fillRect/>
                    </a:stretch>
                  </pic:blipFill>
                  <pic:spPr>
                    <a:xfrm>
                      <a:off x="0" y="0"/>
                      <a:ext cx="5274310" cy="1147445"/>
                    </a:xfrm>
                    <a:prstGeom prst="rect">
                      <a:avLst/>
                    </a:prstGeom>
                  </pic:spPr>
                </pic:pic>
              </a:graphicData>
            </a:graphic>
          </wp:inline>
        </w:drawing>
      </w:r>
    </w:p>
    <w:p w14:paraId="57761021" w14:textId="2D99B78E" w:rsidR="00294DAC" w:rsidRPr="00294DAC" w:rsidRDefault="00294DAC" w:rsidP="00294DAC">
      <w:pPr>
        <w:spacing w:line="360" w:lineRule="auto"/>
        <w:jc w:val="center"/>
        <w:rPr>
          <w:sz w:val="18"/>
          <w:szCs w:val="18"/>
        </w:rPr>
      </w:pPr>
      <w:r w:rsidRPr="007865E4">
        <w:rPr>
          <w:rFonts w:hint="eastAsia"/>
          <w:sz w:val="18"/>
          <w:szCs w:val="18"/>
        </w:rPr>
        <w:t>图</w:t>
      </w:r>
      <w:r>
        <w:rPr>
          <w:rFonts w:hint="eastAsia"/>
          <w:sz w:val="18"/>
          <w:szCs w:val="18"/>
        </w:rPr>
        <w:t>2</w:t>
      </w:r>
      <w:r w:rsidRPr="007865E4">
        <w:rPr>
          <w:sz w:val="18"/>
          <w:szCs w:val="18"/>
        </w:rPr>
        <w:t xml:space="preserve">. </w:t>
      </w:r>
      <w:r>
        <w:rPr>
          <w:rFonts w:hint="eastAsia"/>
          <w:sz w:val="18"/>
          <w:szCs w:val="18"/>
        </w:rPr>
        <w:t>校准前图片</w:t>
      </w:r>
    </w:p>
    <w:p w14:paraId="6D872C1D" w14:textId="3A732DE7" w:rsidR="006A2B41" w:rsidRDefault="00855671" w:rsidP="006A2B41">
      <w:pPr>
        <w:spacing w:line="360" w:lineRule="auto"/>
        <w:ind w:firstLine="420"/>
      </w:pPr>
      <w:r>
        <w:rPr>
          <w:rFonts w:hint="eastAsia"/>
        </w:rPr>
        <w:t>将上述测到的gamma曲线对应的修正用LUT导出，由于毛刺较多，用三次函数做了拟合处理，然后再重新导出一份LUT的拟合结果，加载到SLM上，以完成校准。</w:t>
      </w:r>
    </w:p>
    <w:p w14:paraId="3906DE3F" w14:textId="0318FDED" w:rsidR="00855671" w:rsidRDefault="00855671" w:rsidP="006A2B41">
      <w:pPr>
        <w:spacing w:line="360" w:lineRule="auto"/>
      </w:pPr>
      <w:r>
        <w:rPr>
          <w:noProof/>
        </w:rPr>
        <w:lastRenderedPageBreak/>
        <w:drawing>
          <wp:inline distT="0" distB="0" distL="0" distR="0" wp14:anchorId="55A27F6F" wp14:editId="55FFB51E">
            <wp:extent cx="5274310" cy="1139190"/>
            <wp:effectExtent l="0" t="0" r="2540" b="3810"/>
            <wp:docPr id="144018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8087" name=""/>
                    <pic:cNvPicPr/>
                  </pic:nvPicPr>
                  <pic:blipFill>
                    <a:blip r:embed="rId10"/>
                    <a:stretch>
                      <a:fillRect/>
                    </a:stretch>
                  </pic:blipFill>
                  <pic:spPr>
                    <a:xfrm>
                      <a:off x="0" y="0"/>
                      <a:ext cx="5274310" cy="1139190"/>
                    </a:xfrm>
                    <a:prstGeom prst="rect">
                      <a:avLst/>
                    </a:prstGeom>
                  </pic:spPr>
                </pic:pic>
              </a:graphicData>
            </a:graphic>
          </wp:inline>
        </w:drawing>
      </w:r>
    </w:p>
    <w:p w14:paraId="466C8DC5" w14:textId="07B9ABB1" w:rsidR="006A2B41" w:rsidRPr="00294DAC" w:rsidRDefault="006A2B41" w:rsidP="006A2B41">
      <w:pPr>
        <w:spacing w:line="360" w:lineRule="auto"/>
        <w:jc w:val="center"/>
        <w:rPr>
          <w:sz w:val="18"/>
          <w:szCs w:val="18"/>
        </w:rPr>
      </w:pPr>
      <w:r w:rsidRPr="007865E4">
        <w:rPr>
          <w:rFonts w:hint="eastAsia"/>
          <w:sz w:val="18"/>
          <w:szCs w:val="18"/>
        </w:rPr>
        <w:t>图</w:t>
      </w:r>
      <w:r>
        <w:rPr>
          <w:sz w:val="18"/>
          <w:szCs w:val="18"/>
        </w:rPr>
        <w:t>3</w:t>
      </w:r>
      <w:r w:rsidRPr="007865E4">
        <w:rPr>
          <w:sz w:val="18"/>
          <w:szCs w:val="18"/>
        </w:rPr>
        <w:t xml:space="preserve">. </w:t>
      </w:r>
      <w:r>
        <w:rPr>
          <w:rFonts w:hint="eastAsia"/>
          <w:sz w:val="18"/>
          <w:szCs w:val="18"/>
        </w:rPr>
        <w:t>校准</w:t>
      </w:r>
      <w:r>
        <w:rPr>
          <w:rFonts w:hint="eastAsia"/>
          <w:sz w:val="18"/>
          <w:szCs w:val="18"/>
        </w:rPr>
        <w:t>后</w:t>
      </w:r>
      <w:bookmarkStart w:id="1" w:name="_GoBack"/>
      <w:bookmarkEnd w:id="1"/>
      <w:r>
        <w:rPr>
          <w:rFonts w:hint="eastAsia"/>
          <w:sz w:val="18"/>
          <w:szCs w:val="18"/>
        </w:rPr>
        <w:t>图片</w:t>
      </w:r>
    </w:p>
    <w:p w14:paraId="0352A166" w14:textId="5A7CB0AD" w:rsidR="001F38B0" w:rsidRDefault="00C7718F" w:rsidP="002818A1">
      <w:pPr>
        <w:pStyle w:val="3"/>
      </w:pPr>
      <w:r>
        <w:rPr>
          <w:rFonts w:hint="eastAsia"/>
        </w:rPr>
        <w:t>3</w:t>
      </w:r>
      <w:r>
        <w:t xml:space="preserve">.2 808 </w:t>
      </w:r>
      <w:r>
        <w:rPr>
          <w:rFonts w:hint="eastAsia"/>
        </w:rPr>
        <w:t>nm</w:t>
      </w:r>
      <w:r>
        <w:rPr>
          <w:rFonts w:hint="eastAsia"/>
        </w:rPr>
        <w:t>光阱阵列光路</w:t>
      </w:r>
    </w:p>
    <w:p w14:paraId="1366A604" w14:textId="51F3DE1B" w:rsidR="00855671" w:rsidRPr="00B45EF9" w:rsidRDefault="00586A87" w:rsidP="002818A1">
      <w:pPr>
        <w:spacing w:line="360" w:lineRule="auto"/>
        <w:jc w:val="center"/>
      </w:pPr>
      <w:r>
        <w:rPr>
          <w:noProof/>
        </w:rPr>
        <w:drawing>
          <wp:inline distT="0" distB="0" distL="0" distR="0" wp14:anchorId="6C2AAC4E" wp14:editId="1AB94975">
            <wp:extent cx="3452775" cy="3676004"/>
            <wp:effectExtent l="0" t="0" r="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58966" cy="3682595"/>
                    </a:xfrm>
                    <a:prstGeom prst="rect">
                      <a:avLst/>
                    </a:prstGeom>
                    <a:noFill/>
                    <a:ln>
                      <a:noFill/>
                    </a:ln>
                  </pic:spPr>
                </pic:pic>
              </a:graphicData>
            </a:graphic>
          </wp:inline>
        </w:drawing>
      </w:r>
    </w:p>
    <w:p w14:paraId="4C2DBC1B" w14:textId="5EF19FF2" w:rsidR="00C7718F" w:rsidRDefault="00855671" w:rsidP="002818A1">
      <w:pPr>
        <w:spacing w:line="360" w:lineRule="auto"/>
        <w:ind w:firstLine="420"/>
      </w:pPr>
      <w:r>
        <w:rPr>
          <w:rFonts w:hint="eastAsia"/>
        </w:rPr>
        <w:t>上图为我们设计的8</w:t>
      </w:r>
      <w:r>
        <w:t xml:space="preserve">08 </w:t>
      </w:r>
      <w:r>
        <w:rPr>
          <w:rFonts w:hint="eastAsia"/>
        </w:rPr>
        <w:t>nm光阱阵列光路，其中绿色部分为</w:t>
      </w:r>
      <w:r w:rsidR="00A905E7">
        <w:rPr>
          <w:rFonts w:hint="eastAsia"/>
        </w:rPr>
        <w:t>高NA</w:t>
      </w:r>
      <w:r>
        <w:rPr>
          <w:rFonts w:hint="eastAsia"/>
        </w:rPr>
        <w:t>物镜</w:t>
      </w:r>
      <w:r w:rsidR="00A905E7">
        <w:rPr>
          <w:rFonts w:hint="eastAsia"/>
        </w:rPr>
        <w:t>（三丰，</w:t>
      </w:r>
      <w:r w:rsidR="00A905E7" w:rsidRPr="00A905E7">
        <w:t>378-848-3</w:t>
      </w:r>
      <w:r w:rsidR="00A905E7">
        <w:rPr>
          <w:rFonts w:hint="eastAsia"/>
        </w:rPr>
        <w:t>）</w:t>
      </w:r>
      <w:r>
        <w:rPr>
          <w:rFonts w:hint="eastAsia"/>
        </w:rPr>
        <w:t>。</w:t>
      </w:r>
      <w:r w:rsidR="006263FF">
        <w:rPr>
          <w:rFonts w:hint="eastAsia"/>
        </w:rPr>
        <w:t>三丰物镜处的入射光包括阵列光、用于挪原子的光以及单束光阱。阵列光入射后通过波片和</w:t>
      </w:r>
      <w:r w:rsidR="009F0AA1">
        <w:rPr>
          <w:rFonts w:hint="eastAsia"/>
        </w:rPr>
        <w:t>偏振分光棱镜(</w:t>
      </w:r>
      <w:r w:rsidR="006263FF">
        <w:rPr>
          <w:rFonts w:hint="eastAsia"/>
        </w:rPr>
        <w:t>PBS</w:t>
      </w:r>
      <w:r w:rsidR="009F0AA1">
        <w:t>)</w:t>
      </w:r>
      <w:r w:rsidR="006263FF">
        <w:rPr>
          <w:rFonts w:hint="eastAsia"/>
        </w:rPr>
        <w:t>进行功率稳定，然后通过SLM进行相位调制生成阵列光，然后用PBS合光之后</w:t>
      </w:r>
      <w:r w:rsidR="00730224">
        <w:rPr>
          <w:rFonts w:hint="eastAsia"/>
        </w:rPr>
        <w:t>经过缩束系统进入三丰物镜。</w:t>
      </w:r>
      <w:r w:rsidR="00491A27">
        <w:rPr>
          <w:rFonts w:hint="eastAsia"/>
        </w:rPr>
        <w:t>用于挪原子的光和单束光阱同样是</w:t>
      </w:r>
      <w:r w:rsidR="00586A87">
        <w:rPr>
          <w:rFonts w:hint="eastAsia"/>
        </w:rPr>
        <w:t>通过PBS合束后与阵列光进行合束，其中用于挪原子的光镊是通过两个方向的一维</w:t>
      </w:r>
      <w:r w:rsidR="0031611E">
        <w:rPr>
          <w:rFonts w:hint="eastAsia"/>
        </w:rPr>
        <w:t>声光偏转器(</w:t>
      </w:r>
      <w:r w:rsidR="00586A87">
        <w:rPr>
          <w:rFonts w:hint="eastAsia"/>
        </w:rPr>
        <w:t>AOD</w:t>
      </w:r>
      <w:r w:rsidR="0031611E">
        <w:t>)</w:t>
      </w:r>
      <w:r w:rsidR="00586A87">
        <w:rPr>
          <w:rFonts w:hint="eastAsia"/>
        </w:rPr>
        <w:t>生成。</w:t>
      </w:r>
      <w:r w:rsidR="009F0AA1">
        <w:rPr>
          <w:rFonts w:hint="eastAsia"/>
        </w:rPr>
        <w:t>三丰物镜前放置了一个双色镜(DM</w:t>
      </w:r>
      <w:r w:rsidR="009F0AA1">
        <w:t>)</w:t>
      </w:r>
      <w:r w:rsidR="009F0AA1">
        <w:rPr>
          <w:rFonts w:hint="eastAsia"/>
        </w:rPr>
        <w:t>用于</w:t>
      </w:r>
      <w:r w:rsidR="0031611E">
        <w:rPr>
          <w:rFonts w:hint="eastAsia"/>
        </w:rPr>
        <w:t>将7</w:t>
      </w:r>
      <w:r w:rsidR="0031611E">
        <w:t xml:space="preserve">80 </w:t>
      </w:r>
      <w:r w:rsidR="0031611E">
        <w:rPr>
          <w:rFonts w:hint="eastAsia"/>
        </w:rPr>
        <w:t>nm的荧光反射出来，然后用EMCCD相机收集用于成像。</w:t>
      </w:r>
    </w:p>
    <w:p w14:paraId="5959D218" w14:textId="664F434B" w:rsidR="001F38B0" w:rsidRDefault="001F38B0" w:rsidP="002818A1">
      <w:pPr>
        <w:pStyle w:val="3"/>
      </w:pPr>
      <w:r>
        <w:rPr>
          <w:rFonts w:hint="eastAsia"/>
        </w:rPr>
        <w:t>3</w:t>
      </w:r>
      <w:r>
        <w:t>.</w:t>
      </w:r>
      <w:r w:rsidR="00C7718F">
        <w:t>3</w:t>
      </w:r>
      <w:r>
        <w:t xml:space="preserve"> </w:t>
      </w:r>
      <w:r w:rsidR="0021203B">
        <w:rPr>
          <w:rFonts w:hint="eastAsia"/>
        </w:rPr>
        <w:t>波前畸变修正效果</w:t>
      </w:r>
    </w:p>
    <w:p w14:paraId="09D581DF" w14:textId="20ABDED3" w:rsidR="00473DA7" w:rsidRPr="00344AC2" w:rsidRDefault="001E388F" w:rsidP="002818A1">
      <w:pPr>
        <w:spacing w:line="360" w:lineRule="auto"/>
      </w:pPr>
      <w:r>
        <w:tab/>
      </w:r>
      <w:r>
        <w:rPr>
          <w:rFonts w:hint="eastAsia"/>
        </w:rPr>
        <w:t>我们按照2</w:t>
      </w:r>
      <w:r>
        <w:t>.2</w:t>
      </w:r>
      <w:r>
        <w:rPr>
          <w:rFonts w:hint="eastAsia"/>
        </w:rPr>
        <w:t>中所述的方式对SLM处的波前进行修正</w:t>
      </w:r>
      <w:r w:rsidR="003B34A9">
        <w:rPr>
          <w:rFonts w:hint="eastAsia"/>
        </w:rPr>
        <w:t>。由于采用原子光频移标定一遍阱深耗时太久，我们先粗略的</w:t>
      </w:r>
      <w:r w:rsidR="003B34A9" w:rsidRPr="003B34A9">
        <w:rPr>
          <w:rFonts w:hint="eastAsia"/>
        </w:rPr>
        <w:t>以</w:t>
      </w:r>
      <w:r w:rsidR="003B34A9" w:rsidRPr="003B34A9">
        <w:t>0.05 wave</w:t>
      </w:r>
      <w:r w:rsidR="00BB16EF">
        <w:t>s</w:t>
      </w:r>
      <w:r w:rsidR="003B34A9" w:rsidRPr="003B34A9">
        <w:t>或0.1 wave</w:t>
      </w:r>
      <w:r w:rsidR="00BB16EF">
        <w:t>s</w:t>
      </w:r>
      <w:r w:rsidR="003B34A9" w:rsidRPr="003B34A9">
        <w:t>的目测精度将主要的几项Zernike</w:t>
      </w:r>
      <w:r w:rsidR="003B34A9" w:rsidRPr="003B34A9">
        <w:lastRenderedPageBreak/>
        <w:t>多</w:t>
      </w:r>
      <w:r w:rsidR="00CF53E3" w:rsidRPr="003B34A9">
        <w:t>项式进行了修正，使得sCMOS</w:t>
      </w:r>
      <w:r w:rsidR="00CF53E3">
        <w:rPr>
          <w:rFonts w:hint="eastAsia"/>
        </w:rPr>
        <w:t>相机</w:t>
      </w:r>
      <w:r w:rsidR="00CF53E3" w:rsidRPr="003B34A9">
        <w:t>上的光斑的峰值光强最大</w:t>
      </w:r>
      <w:r w:rsidR="00CF53E3">
        <w:rPr>
          <w:rFonts w:hint="eastAsia"/>
        </w:rPr>
        <w:t>，修正前后的效果如图</w:t>
      </w:r>
      <w:r w:rsidR="005C3F6B">
        <w:t>5</w:t>
      </w:r>
      <w:r w:rsidR="00CF53E3">
        <w:rPr>
          <w:rFonts w:hint="eastAsia"/>
        </w:rPr>
        <w:t>所示</w:t>
      </w:r>
      <w:r w:rsidR="00CF53E3" w:rsidRPr="003B34A9">
        <w:t>。</w:t>
      </w:r>
      <w:r w:rsidR="00344AC2">
        <w:rPr>
          <w:rFonts w:hint="eastAsia"/>
        </w:rPr>
        <w:t>可以看到，修正后sCMOS相机上的光斑的峰值功率(</w:t>
      </w:r>
      <w:r w:rsidR="00344AC2">
        <w:t>ROI 5)</w:t>
      </w:r>
      <w:r w:rsidR="00344AC2">
        <w:rPr>
          <w:rFonts w:hint="eastAsia"/>
        </w:rPr>
        <w:t>从9</w:t>
      </w:r>
      <w:r w:rsidR="00344AC2">
        <w:t>600</w:t>
      </w:r>
      <w:r w:rsidR="00DC700D">
        <w:rPr>
          <w:rFonts w:hint="eastAsia"/>
        </w:rPr>
        <w:t>左右变为</w:t>
      </w:r>
      <w:r w:rsidR="00344AC2">
        <w:rPr>
          <w:rFonts w:hint="eastAsia"/>
        </w:rPr>
        <w:t>约1</w:t>
      </w:r>
      <w:r w:rsidR="00344AC2">
        <w:t>6500</w:t>
      </w:r>
      <w:r w:rsidR="00344AC2">
        <w:rPr>
          <w:rFonts w:hint="eastAsia"/>
        </w:rPr>
        <w:t>，提升接近一倍</w:t>
      </w:r>
      <w:r w:rsidR="00DC700D">
        <w:rPr>
          <w:rFonts w:hint="eastAsia"/>
        </w:rPr>
        <w:t>。此外，光阱形状也有了明显的优化，修正前的光斑存在严重拖尾，修正后的光斑得到了明显改善，更加接近理想的高斯光束。</w:t>
      </w:r>
      <w:r w:rsidR="00294DAC">
        <w:rPr>
          <w:rFonts w:hint="eastAsia"/>
        </w:rPr>
        <w:t>我们把用于修正的Zernike多项式直接加载到SLM屏幕上，得到了最终的波前修正图。</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6138"/>
      </w:tblGrid>
      <w:tr w:rsidR="00CF53E3" w14:paraId="277A9E85" w14:textId="77777777" w:rsidTr="00CF53E3">
        <w:trPr>
          <w:jc w:val="center"/>
        </w:trPr>
        <w:tc>
          <w:tcPr>
            <w:tcW w:w="425" w:type="dxa"/>
          </w:tcPr>
          <w:p w14:paraId="505993DB" w14:textId="5C8DE213" w:rsidR="00834929" w:rsidRDefault="00834929" w:rsidP="002818A1">
            <w:pPr>
              <w:spacing w:line="360" w:lineRule="auto"/>
            </w:pPr>
            <w:r>
              <w:rPr>
                <w:rFonts w:hint="eastAsia"/>
              </w:rPr>
              <w:t>(</w:t>
            </w:r>
            <w:r>
              <w:t>a)</w:t>
            </w:r>
          </w:p>
        </w:tc>
        <w:tc>
          <w:tcPr>
            <w:tcW w:w="5387" w:type="dxa"/>
          </w:tcPr>
          <w:p w14:paraId="178A15FF" w14:textId="1799BA86" w:rsidR="00834929" w:rsidRDefault="00CF53E3" w:rsidP="002818A1">
            <w:pPr>
              <w:spacing w:line="360" w:lineRule="auto"/>
            </w:pPr>
            <w:r>
              <w:rPr>
                <w:rFonts w:hint="eastAsia"/>
                <w:noProof/>
              </w:rPr>
              <w:drawing>
                <wp:inline distT="0" distB="0" distL="0" distR="0" wp14:anchorId="0532DD52" wp14:editId="0856B472">
                  <wp:extent cx="3752602" cy="1751606"/>
                  <wp:effectExtent l="0" t="0" r="635"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60916" cy="1755487"/>
                          </a:xfrm>
                          <a:prstGeom prst="rect">
                            <a:avLst/>
                          </a:prstGeom>
                          <a:noFill/>
                          <a:ln>
                            <a:noFill/>
                          </a:ln>
                        </pic:spPr>
                      </pic:pic>
                    </a:graphicData>
                  </a:graphic>
                </wp:inline>
              </w:drawing>
            </w:r>
          </w:p>
        </w:tc>
      </w:tr>
      <w:tr w:rsidR="00CF53E3" w14:paraId="335CBFAF" w14:textId="77777777" w:rsidTr="00CF53E3">
        <w:trPr>
          <w:jc w:val="center"/>
        </w:trPr>
        <w:tc>
          <w:tcPr>
            <w:tcW w:w="425" w:type="dxa"/>
          </w:tcPr>
          <w:p w14:paraId="262027B7" w14:textId="5A5052DE" w:rsidR="00834929" w:rsidRDefault="00834929" w:rsidP="002818A1">
            <w:pPr>
              <w:spacing w:line="360" w:lineRule="auto"/>
            </w:pPr>
            <w:r>
              <w:rPr>
                <w:rFonts w:hint="eastAsia"/>
              </w:rPr>
              <w:t>(</w:t>
            </w:r>
            <w:r>
              <w:t>b)</w:t>
            </w:r>
          </w:p>
        </w:tc>
        <w:tc>
          <w:tcPr>
            <w:tcW w:w="5387" w:type="dxa"/>
          </w:tcPr>
          <w:p w14:paraId="3AA05153" w14:textId="5E38B2C3" w:rsidR="00834929" w:rsidRDefault="00CF53E3" w:rsidP="002818A1">
            <w:pPr>
              <w:spacing w:line="360" w:lineRule="auto"/>
            </w:pPr>
            <w:r>
              <w:rPr>
                <w:rFonts w:hint="eastAsia"/>
                <w:noProof/>
              </w:rPr>
              <w:drawing>
                <wp:inline distT="0" distB="0" distL="0" distR="0" wp14:anchorId="06CCEF65" wp14:editId="60D90FE6">
                  <wp:extent cx="3760967" cy="1765018"/>
                  <wp:effectExtent l="0" t="0" r="0"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91237" cy="1779224"/>
                          </a:xfrm>
                          <a:prstGeom prst="rect">
                            <a:avLst/>
                          </a:prstGeom>
                          <a:noFill/>
                          <a:ln>
                            <a:noFill/>
                          </a:ln>
                        </pic:spPr>
                      </pic:pic>
                    </a:graphicData>
                  </a:graphic>
                </wp:inline>
              </w:drawing>
            </w:r>
          </w:p>
        </w:tc>
      </w:tr>
    </w:tbl>
    <w:p w14:paraId="32376480" w14:textId="5A739F1C" w:rsidR="001E388F" w:rsidRPr="00294DAC" w:rsidRDefault="00834929" w:rsidP="00294DAC">
      <w:pPr>
        <w:spacing w:line="360" w:lineRule="auto"/>
        <w:jc w:val="center"/>
        <w:rPr>
          <w:rFonts w:hint="eastAsia"/>
          <w:sz w:val="18"/>
          <w:szCs w:val="18"/>
        </w:rPr>
      </w:pPr>
      <w:r w:rsidRPr="007865E4">
        <w:rPr>
          <w:rFonts w:hint="eastAsia"/>
          <w:sz w:val="18"/>
          <w:szCs w:val="18"/>
        </w:rPr>
        <w:t>图</w:t>
      </w:r>
      <w:r w:rsidR="005C3F6B" w:rsidRPr="007865E4">
        <w:rPr>
          <w:sz w:val="18"/>
          <w:szCs w:val="18"/>
        </w:rPr>
        <w:t>5</w:t>
      </w:r>
      <w:r w:rsidR="007865E4" w:rsidRPr="007865E4">
        <w:rPr>
          <w:sz w:val="18"/>
          <w:szCs w:val="18"/>
        </w:rPr>
        <w:t>.</w:t>
      </w:r>
      <w:r w:rsidRPr="007865E4">
        <w:rPr>
          <w:sz w:val="18"/>
          <w:szCs w:val="18"/>
        </w:rPr>
        <w:t xml:space="preserve"> </w:t>
      </w:r>
      <w:r w:rsidRPr="007865E4">
        <w:rPr>
          <w:rFonts w:hint="eastAsia"/>
          <w:sz w:val="18"/>
          <w:szCs w:val="18"/>
        </w:rPr>
        <w:t>修正前后用sCMOS相机拍到的光阱阵列。</w:t>
      </w:r>
    </w:p>
    <w:p w14:paraId="3E311AD2" w14:textId="53D96E2B" w:rsidR="0021203B" w:rsidRDefault="0021203B" w:rsidP="002818A1">
      <w:pPr>
        <w:pStyle w:val="3"/>
      </w:pPr>
      <w:r>
        <w:rPr>
          <w:rFonts w:hint="eastAsia"/>
        </w:rPr>
        <w:t>3</w:t>
      </w:r>
      <w:r>
        <w:t>.</w:t>
      </w:r>
      <w:r w:rsidR="00C7718F">
        <w:t>4</w:t>
      </w:r>
      <w:r>
        <w:t xml:space="preserve"> </w:t>
      </w:r>
      <w:r>
        <w:rPr>
          <w:rFonts w:hint="eastAsia"/>
        </w:rPr>
        <w:t>不均匀度优化效果</w:t>
      </w:r>
    </w:p>
    <w:p w14:paraId="49653470" w14:textId="71023E45" w:rsidR="00C052D0" w:rsidRDefault="006C705A" w:rsidP="00C052D0">
      <w:pPr>
        <w:spacing w:line="360" w:lineRule="auto"/>
      </w:pPr>
      <w:r>
        <w:tab/>
      </w:r>
      <w:r>
        <w:rPr>
          <w:rFonts w:hint="eastAsia"/>
        </w:rPr>
        <w:t>我们按照</w:t>
      </w:r>
      <w:r w:rsidR="00C475EE">
        <w:t>2.3</w:t>
      </w:r>
      <w:r w:rsidR="00C475EE">
        <w:rPr>
          <w:rFonts w:hint="eastAsia"/>
        </w:rPr>
        <w:t>小节对不均匀度进行迭代优化后，</w:t>
      </w:r>
      <w:r w:rsidR="00C40784">
        <w:rPr>
          <w:rFonts w:hint="eastAsia"/>
        </w:rPr>
        <w:t>分别采用sCMOS相机和原子光频移的</w:t>
      </w:r>
      <w:r w:rsidR="00B94C0B">
        <w:rPr>
          <w:rFonts w:hint="eastAsia"/>
        </w:rPr>
        <w:t>方式</w:t>
      </w:r>
      <w:r w:rsidR="008F5BF7">
        <w:rPr>
          <w:rFonts w:hint="eastAsia"/>
        </w:rPr>
        <w:t>对4</w:t>
      </w:r>
      <w:r w:rsidR="008F5BF7">
        <w:t>8</w:t>
      </w:r>
      <w:r w:rsidR="008F5BF7">
        <w:rPr>
          <w:rFonts w:hint="eastAsia"/>
        </w:rPr>
        <w:t>个原子组成的</w:t>
      </w:r>
      <w:r w:rsidR="00E574FD">
        <w:rPr>
          <w:rFonts w:hint="eastAsia"/>
        </w:rPr>
        <w:t>4</w:t>
      </w:r>
      <w:r w:rsidR="00E574FD">
        <w:t>*12</w:t>
      </w:r>
      <w:r w:rsidR="00E574FD">
        <w:rPr>
          <w:rFonts w:hint="eastAsia"/>
        </w:rPr>
        <w:t>的</w:t>
      </w:r>
      <w:r w:rsidR="008F5BF7">
        <w:rPr>
          <w:rFonts w:hint="eastAsia"/>
        </w:rPr>
        <w:t>原子阵列的不均匀性进行了标定。</w:t>
      </w:r>
      <w:r w:rsidR="00C40784">
        <w:rPr>
          <w:rFonts w:hint="eastAsia"/>
        </w:rPr>
        <w:t>sCMOS相机的标定方式是编写程序对sCMOS采集的数据进行处理，自动识别每个光阱的位置以及对应的</w:t>
      </w:r>
      <w:r w:rsidR="00EE6DBF">
        <w:rPr>
          <w:rFonts w:hint="eastAsia"/>
        </w:rPr>
        <w:t>光电子计数</w:t>
      </w:r>
      <w:r w:rsidR="00C40784">
        <w:rPr>
          <w:rFonts w:hint="eastAsia"/>
        </w:rPr>
        <w:t>，通过每个光阱的</w:t>
      </w:r>
      <w:r w:rsidR="00EE6DBF">
        <w:rPr>
          <w:rFonts w:hint="eastAsia"/>
        </w:rPr>
        <w:t>光电子计数</w:t>
      </w:r>
      <w:r w:rsidR="00C40784">
        <w:rPr>
          <w:rFonts w:hint="eastAsia"/>
        </w:rPr>
        <w:t>来计算不均匀度；原子光频移的</w:t>
      </w:r>
      <w:r w:rsidR="008F5BF7">
        <w:rPr>
          <w:rFonts w:hint="eastAsia"/>
        </w:rPr>
        <w:t>标定方式为分别测量</w:t>
      </w:r>
      <w:r w:rsidR="00F0783F">
        <w:rPr>
          <w:rFonts w:hint="eastAsia"/>
        </w:rPr>
        <w:t>阱深为</w:t>
      </w:r>
      <m:oMath>
        <m:r>
          <w:rPr>
            <w:rFonts w:ascii="Cambria Math" w:hAnsi="Cambria Math" w:hint="eastAsia"/>
          </w:rPr>
          <m:t>2</m:t>
        </m:r>
        <m:r>
          <w:rPr>
            <w:rFonts w:ascii="Cambria Math" w:hAnsi="Cambria Math"/>
          </w:rPr>
          <m:t xml:space="preserve"> </m:t>
        </m:r>
        <m:r>
          <w:rPr>
            <w:rFonts w:ascii="Cambria Math" w:hAnsi="Cambria Math" w:hint="eastAsia"/>
          </w:rPr>
          <m:t>mK</m:t>
        </m:r>
      </m:oMath>
      <w:r w:rsidR="00F0783F">
        <w:rPr>
          <w:rFonts w:hint="eastAsia"/>
        </w:rPr>
        <w:t>左右(根据光功率估算</w:t>
      </w:r>
      <w:r w:rsidR="00F0783F">
        <w:t>)</w:t>
      </w:r>
      <w:r w:rsidR="00F0783F">
        <w:rPr>
          <w:rFonts w:hint="eastAsia"/>
        </w:rPr>
        <w:t>的</w:t>
      </w:r>
      <w:r w:rsidR="008F5BF7">
        <w:rPr>
          <w:rFonts w:hint="eastAsia"/>
        </w:rPr>
        <w:t>阱内和自由空间内各个原子的D</w:t>
      </w:r>
      <w:r w:rsidR="008F5BF7">
        <w:t>1</w:t>
      </w:r>
      <w:r w:rsidR="008F5BF7">
        <w:rPr>
          <w:rFonts w:hint="eastAsia"/>
        </w:rPr>
        <w:t>线的</w:t>
      </w:r>
      <m:oMath>
        <m:r>
          <w:rPr>
            <w:rFonts w:ascii="Cambria Math" w:hAnsi="Cambria Math" w:hint="eastAsia"/>
          </w:rPr>
          <m:t>F</m:t>
        </m:r>
        <m:r>
          <w:rPr>
            <w:rFonts w:ascii="Cambria Math" w:hAnsi="Cambria Math"/>
          </w:rPr>
          <m:t>=2</m:t>
        </m:r>
        <m:r>
          <w:rPr>
            <w:rFonts w:ascii="Cambria Math" w:hAnsi="Cambria Math" w:hint="eastAsia"/>
          </w:rPr>
          <m:t>→</m:t>
        </m:r>
        <m:r>
          <w:rPr>
            <w:rFonts w:ascii="Cambria Math" w:hAnsi="Cambria Math" w:hint="eastAsia"/>
          </w:rPr>
          <m:t>F</m:t>
        </m:r>
        <m:r>
          <w:rPr>
            <w:rFonts w:ascii="Cambria Math" w:hAnsi="Cambria Math" w:hint="eastAsia"/>
          </w:rPr>
          <m:t>‘</m:t>
        </m:r>
        <m:r>
          <w:rPr>
            <w:rFonts w:ascii="Cambria Math" w:hAnsi="Cambria Math"/>
          </w:rPr>
          <m:t>=2</m:t>
        </m:r>
      </m:oMath>
      <w:r w:rsidR="008F5BF7">
        <w:rPr>
          <w:rFonts w:hint="eastAsia"/>
        </w:rPr>
        <w:t>超精细跃迁的共振频率，作差得到D</w:t>
      </w:r>
      <w:r w:rsidR="008F5BF7">
        <w:t>1</w:t>
      </w:r>
      <w:r w:rsidR="008F5BF7">
        <w:rPr>
          <w:rFonts w:hint="eastAsia"/>
        </w:rPr>
        <w:t>线的差分光位移，然后</w:t>
      </w:r>
      <w:r w:rsidR="00D51205">
        <w:rPr>
          <w:rFonts w:hint="eastAsia"/>
        </w:rPr>
        <w:t>根据</w:t>
      </w:r>
      <m:oMath>
        <m:r>
          <w:rPr>
            <w:rFonts w:ascii="Cambria Math" w:hAnsi="Cambria Math"/>
          </w:rPr>
          <m:t>5</m:t>
        </m:r>
        <m:sSub>
          <m:sSubPr>
            <m:ctrlPr>
              <w:rPr>
                <w:rFonts w:ascii="Cambria Math" w:hAnsi="Cambria Math"/>
                <w:i/>
              </w:rPr>
            </m:ctrlPr>
          </m:sSubPr>
          <m:e>
            <m:r>
              <w:rPr>
                <w:rFonts w:ascii="Cambria Math" w:hAnsi="Cambria Math"/>
              </w:rPr>
              <m:t>S</m:t>
            </m:r>
          </m:e>
          <m:sub>
            <m:r>
              <w:rPr>
                <w:rFonts w:ascii="Cambria Math" w:hAnsi="Cambria Math"/>
              </w:rPr>
              <m:t>1/2</m:t>
            </m:r>
          </m:sub>
        </m:sSub>
      </m:oMath>
      <w:r w:rsidR="008F5BF7">
        <w:rPr>
          <w:rFonts w:hint="eastAsia"/>
        </w:rPr>
        <w:t>和</w:t>
      </w:r>
      <m:oMath>
        <m:r>
          <w:rPr>
            <w:rFonts w:ascii="Cambria Math" w:hAnsi="Cambria Math"/>
          </w:rPr>
          <m:t>5</m:t>
        </m:r>
        <m:sSub>
          <m:sSubPr>
            <m:ctrlPr>
              <w:rPr>
                <w:rFonts w:ascii="Cambria Math" w:hAnsi="Cambria Math"/>
                <w:i/>
              </w:rPr>
            </m:ctrlPr>
          </m:sSubPr>
          <m:e>
            <m:r>
              <w:rPr>
                <w:rFonts w:ascii="Cambria Math" w:hAnsi="Cambria Math"/>
              </w:rPr>
              <m:t>P</m:t>
            </m:r>
          </m:e>
          <m:sub>
            <m:r>
              <w:rPr>
                <w:rFonts w:ascii="Cambria Math" w:hAnsi="Cambria Math"/>
              </w:rPr>
              <m:t>1/2</m:t>
            </m:r>
          </m:sub>
        </m:sSub>
      </m:oMath>
      <w:r w:rsidR="008F5BF7">
        <w:rPr>
          <w:rFonts w:hint="eastAsia"/>
        </w:rPr>
        <w:t>的</w:t>
      </w:r>
      <w:r w:rsidR="00D51205">
        <w:rPr>
          <w:rFonts w:hint="eastAsia"/>
        </w:rPr>
        <w:t>动态</w:t>
      </w:r>
      <w:r w:rsidR="008F5BF7">
        <w:rPr>
          <w:rFonts w:hint="eastAsia"/>
        </w:rPr>
        <w:t>极化</w:t>
      </w:r>
      <w:r w:rsidR="00D51205">
        <w:rPr>
          <w:rFonts w:hint="eastAsia"/>
        </w:rPr>
        <w:t>率</w:t>
      </w:r>
      <w:r w:rsidR="00F32166">
        <w:rPr>
          <w:rFonts w:hint="eastAsia"/>
        </w:rPr>
        <w:t>的比例关系</w:t>
      </w:r>
      <w:r w:rsidR="00C052D0">
        <w:rPr>
          <w:rFonts w:hint="eastAsia"/>
        </w:rPr>
        <w:t>计算出基态光位移，得到阱深的不均匀度。用sCMOS相机和原子光频移分别标定光阱阵列的阱深均匀性的结果如图</w:t>
      </w:r>
      <w:r w:rsidR="00C052D0">
        <w:t>6</w:t>
      </w:r>
      <w:r w:rsidR="00C052D0">
        <w:rPr>
          <w:rFonts w:hint="eastAsia"/>
        </w:rPr>
        <w:t>所示。根据结果计算出用sCMOS相机标定的不均匀度为</w:t>
      </w:r>
      <m:oMath>
        <m:r>
          <w:rPr>
            <w:rFonts w:ascii="Cambria Math" w:hAnsi="Cambria Math" w:hint="eastAsia"/>
          </w:rPr>
          <m:t>0</m:t>
        </m:r>
        <m:r>
          <w:rPr>
            <w:rFonts w:ascii="Cambria Math" w:hAnsi="Cambria Math"/>
          </w:rPr>
          <m:t>.5%</m:t>
        </m:r>
      </m:oMath>
      <w:r w:rsidR="00C052D0">
        <w:rPr>
          <w:rFonts w:hint="eastAsia"/>
        </w:rPr>
        <w:t>，用原子光频移标定的不均匀度为</w:t>
      </w:r>
      <m:oMath>
        <m:r>
          <w:rPr>
            <w:rFonts w:ascii="Cambria Math" w:hAnsi="Cambria Math" w:hint="eastAsia"/>
          </w:rPr>
          <m:t>4</m:t>
        </m:r>
        <m:r>
          <w:rPr>
            <w:rFonts w:ascii="Cambria Math" w:hAnsi="Cambria Math"/>
          </w:rPr>
          <m:t>.35%</m:t>
        </m:r>
      </m:oMath>
      <w:r w:rsidR="00C052D0">
        <w:rPr>
          <w:rFonts w:hint="eastAsia"/>
        </w:rPr>
        <w:t>。那么我们可以估算出由成像系统引入的不均</w:t>
      </w:r>
      <w:r w:rsidR="00C052D0">
        <w:rPr>
          <w:rFonts w:hint="eastAsia"/>
        </w:rPr>
        <w:lastRenderedPageBreak/>
        <w:t>匀度不超过</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0.0435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0.005</m:t>
                </m:r>
              </m:e>
              <m:sup>
                <m:r>
                  <w:rPr>
                    <w:rFonts w:ascii="Cambria Math" w:hAnsi="Cambria Math"/>
                  </w:rPr>
                  <m:t>2</m:t>
                </m:r>
              </m:sup>
            </m:sSup>
          </m:e>
        </m:rad>
        <m:r>
          <w:rPr>
            <w:rFonts w:ascii="Cambria Math" w:hAnsi="Cambria Math"/>
          </w:rPr>
          <m:t>=0.0438</m:t>
        </m:r>
      </m:oMath>
      <w:r w:rsidR="00C052D0">
        <w:rPr>
          <w:rFonts w:hint="eastAsia"/>
        </w:rPr>
        <w:t>。</w:t>
      </w:r>
    </w:p>
    <w:p w14:paraId="42E43A6F" w14:textId="1FFF8691" w:rsidR="00A76505" w:rsidRDefault="00C052D0" w:rsidP="00C052D0">
      <w:pPr>
        <w:spacing w:line="360" w:lineRule="auto"/>
        <w:jc w:val="left"/>
      </w:pPr>
      <w:r>
        <w:tab/>
      </w:r>
      <w:r w:rsidR="00E574FD">
        <w:rPr>
          <w:noProof/>
        </w:rPr>
        <w:drawing>
          <wp:inline distT="0" distB="0" distL="0" distR="0" wp14:anchorId="2EE9D78B" wp14:editId="556910AE">
            <wp:extent cx="5251860" cy="2178657"/>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14774" t="39847" r="30335" b="23676"/>
                    <a:stretch/>
                  </pic:blipFill>
                  <pic:spPr bwMode="auto">
                    <a:xfrm>
                      <a:off x="0" y="0"/>
                      <a:ext cx="5251860" cy="2178657"/>
                    </a:xfrm>
                    <a:prstGeom prst="rect">
                      <a:avLst/>
                    </a:prstGeom>
                    <a:noFill/>
                    <a:ln>
                      <a:noFill/>
                    </a:ln>
                    <a:extLst>
                      <a:ext uri="{53640926-AAD7-44D8-BBD7-CCE9431645EC}">
                        <a14:shadowObscured xmlns:a14="http://schemas.microsoft.com/office/drawing/2010/main"/>
                      </a:ext>
                    </a:extLst>
                  </pic:spPr>
                </pic:pic>
              </a:graphicData>
            </a:graphic>
          </wp:inline>
        </w:drawing>
      </w:r>
      <w:r w:rsidR="00421923">
        <w:rPr>
          <w:noProof/>
        </w:rPr>
        <mc:AlternateContent>
          <mc:Choice Requires="cx1">
            <w:drawing>
              <wp:inline distT="0" distB="0" distL="0" distR="0" wp14:anchorId="78DAA389" wp14:editId="0575478D">
                <wp:extent cx="5247861" cy="3077155"/>
                <wp:effectExtent l="0" t="0" r="10160" b="9525"/>
                <wp:docPr id="17" name="图表 17">
                  <a:extLst xmlns:a="http://schemas.openxmlformats.org/drawingml/2006/main">
                    <a:ext uri="{FF2B5EF4-FFF2-40B4-BE49-F238E27FC236}">
                      <a16:creationId xmlns:a16="http://schemas.microsoft.com/office/drawing/2014/main" id="{53727906-9C6E-4D75-B0F2-3AF906EEA7F8}"/>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5"/>
                  </a:graphicData>
                </a:graphic>
              </wp:inline>
            </w:drawing>
          </mc:Choice>
          <mc:Fallback>
            <w:drawing>
              <wp:inline distT="0" distB="0" distL="0" distR="0" wp14:anchorId="78DAA389" wp14:editId="0575478D">
                <wp:extent cx="5247861" cy="3077155"/>
                <wp:effectExtent l="0" t="0" r="10160" b="9525"/>
                <wp:docPr id="17" name="图表 17">
                  <a:extLst xmlns:a="http://schemas.openxmlformats.org/drawingml/2006/main">
                    <a:ext uri="{FF2B5EF4-FFF2-40B4-BE49-F238E27FC236}">
                      <a16:creationId xmlns:a16="http://schemas.microsoft.com/office/drawing/2014/main" id="{53727906-9C6E-4D75-B0F2-3AF906EEA7F8}"/>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7" name="图表 17">
                          <a:extLst>
                            <a:ext uri="{FF2B5EF4-FFF2-40B4-BE49-F238E27FC236}">
                              <a16:creationId xmlns:a16="http://schemas.microsoft.com/office/drawing/2014/main" id="{53727906-9C6E-4D75-B0F2-3AF906EEA7F8}"/>
                            </a:ext>
                          </a:extLst>
                        </pic:cNvPr>
                        <pic:cNvPicPr>
                          <a:picLocks noGrp="1" noRot="1" noChangeAspect="1" noMove="1" noResize="1" noEditPoints="1" noAdjustHandles="1" noChangeArrowheads="1" noChangeShapeType="1"/>
                        </pic:cNvPicPr>
                      </pic:nvPicPr>
                      <pic:blipFill>
                        <a:blip r:embed="rId16"/>
                        <a:stretch>
                          <a:fillRect/>
                        </a:stretch>
                      </pic:blipFill>
                      <pic:spPr>
                        <a:xfrm>
                          <a:off x="0" y="0"/>
                          <a:ext cx="5247640" cy="3076575"/>
                        </a:xfrm>
                        <a:prstGeom prst="rect">
                          <a:avLst/>
                        </a:prstGeom>
                      </pic:spPr>
                    </pic:pic>
                  </a:graphicData>
                </a:graphic>
              </wp:inline>
            </w:drawing>
          </mc:Fallback>
        </mc:AlternateContent>
      </w:r>
    </w:p>
    <w:p w14:paraId="4960A4D1" w14:textId="4F6A2114" w:rsidR="005C3F6B" w:rsidRPr="00744BE8" w:rsidRDefault="005A117B" w:rsidP="002818A1">
      <w:pPr>
        <w:spacing w:line="360" w:lineRule="auto"/>
        <w:jc w:val="center"/>
        <w:rPr>
          <w:sz w:val="18"/>
          <w:szCs w:val="18"/>
        </w:rPr>
      </w:pPr>
      <w:r w:rsidRPr="00744BE8">
        <w:rPr>
          <w:rFonts w:hint="eastAsia"/>
          <w:sz w:val="18"/>
          <w:szCs w:val="18"/>
        </w:rPr>
        <w:t>图</w:t>
      </w:r>
      <w:r w:rsidR="00C052D0" w:rsidRPr="00744BE8">
        <w:rPr>
          <w:sz w:val="18"/>
          <w:szCs w:val="18"/>
        </w:rPr>
        <w:t>6.</w:t>
      </w:r>
      <w:r w:rsidRPr="00744BE8">
        <w:rPr>
          <w:sz w:val="18"/>
          <w:szCs w:val="18"/>
        </w:rPr>
        <w:t xml:space="preserve"> </w:t>
      </w:r>
      <w:r w:rsidRPr="00744BE8">
        <w:rPr>
          <w:rFonts w:hint="eastAsia"/>
          <w:sz w:val="18"/>
          <w:szCs w:val="18"/>
        </w:rPr>
        <w:t>用</w:t>
      </w:r>
      <w:r w:rsidR="00E574FD" w:rsidRPr="00744BE8">
        <w:rPr>
          <w:rFonts w:hint="eastAsia"/>
          <w:sz w:val="18"/>
          <w:szCs w:val="18"/>
        </w:rPr>
        <w:t>sCMOS相机和原子</w:t>
      </w:r>
      <w:r w:rsidRPr="00744BE8">
        <w:rPr>
          <w:rFonts w:hint="eastAsia"/>
          <w:sz w:val="18"/>
          <w:szCs w:val="18"/>
        </w:rPr>
        <w:t>光频移</w:t>
      </w:r>
      <w:r w:rsidR="00E574FD" w:rsidRPr="00744BE8">
        <w:rPr>
          <w:rFonts w:hint="eastAsia"/>
          <w:sz w:val="18"/>
          <w:szCs w:val="18"/>
        </w:rPr>
        <w:t>分别</w:t>
      </w:r>
      <w:r w:rsidRPr="00744BE8">
        <w:rPr>
          <w:rFonts w:hint="eastAsia"/>
          <w:sz w:val="18"/>
          <w:szCs w:val="18"/>
        </w:rPr>
        <w:t>标定</w:t>
      </w:r>
      <w:r w:rsidR="00C0391D" w:rsidRPr="00744BE8">
        <w:rPr>
          <w:rFonts w:hint="eastAsia"/>
          <w:sz w:val="18"/>
          <w:szCs w:val="18"/>
        </w:rPr>
        <w:t>4</w:t>
      </w:r>
      <w:r w:rsidR="00C0391D" w:rsidRPr="00744BE8">
        <w:rPr>
          <w:sz w:val="18"/>
          <w:szCs w:val="18"/>
        </w:rPr>
        <w:t>*12</w:t>
      </w:r>
      <w:r w:rsidR="00C0391D" w:rsidRPr="00744BE8">
        <w:rPr>
          <w:rFonts w:hint="eastAsia"/>
          <w:sz w:val="18"/>
          <w:szCs w:val="18"/>
        </w:rPr>
        <w:t>的</w:t>
      </w:r>
      <w:r w:rsidR="00C475EE" w:rsidRPr="00744BE8">
        <w:rPr>
          <w:rFonts w:hint="eastAsia"/>
          <w:sz w:val="18"/>
          <w:szCs w:val="18"/>
        </w:rPr>
        <w:t>光阱</w:t>
      </w:r>
      <w:r w:rsidRPr="00744BE8">
        <w:rPr>
          <w:rFonts w:hint="eastAsia"/>
          <w:sz w:val="18"/>
          <w:szCs w:val="18"/>
        </w:rPr>
        <w:t>阵列的阱深均匀性</w:t>
      </w:r>
    </w:p>
    <w:p w14:paraId="295AC9F7" w14:textId="26F37485" w:rsidR="00C40784" w:rsidRDefault="00C052D0" w:rsidP="00C052D0">
      <w:pPr>
        <w:spacing w:line="360" w:lineRule="auto"/>
        <w:ind w:firstLineChars="200" w:firstLine="420"/>
      </w:pPr>
      <w:r>
        <w:rPr>
          <w:rFonts w:hint="eastAsia"/>
        </w:rPr>
        <w:t>由于</w:t>
      </w:r>
      <w:r>
        <w:t xml:space="preserve">808 </w:t>
      </w:r>
      <w:r>
        <w:rPr>
          <w:rFonts w:hint="eastAsia"/>
        </w:rPr>
        <w:t>nm激光器功率限制，我们暂时无法生成阱深足够用来装载原子的1</w:t>
      </w:r>
      <w:r>
        <w:t>5*15</w:t>
      </w:r>
      <w:r>
        <w:rPr>
          <w:rFonts w:hint="eastAsia"/>
        </w:rPr>
        <w:t>的光阱阵列，因此无法用原子光频移的方式来标定其不均匀度。我们这里采用了sCMOS相机来标定1</w:t>
      </w:r>
      <w:r>
        <w:t>5*15</w:t>
      </w:r>
      <w:r>
        <w:rPr>
          <w:rFonts w:hint="eastAsia"/>
        </w:rPr>
        <w:t>的光阱阵列的不均匀度，如图</w:t>
      </w:r>
      <w:r>
        <w:t>7</w:t>
      </w:r>
      <w:r>
        <w:rPr>
          <w:rFonts w:hint="eastAsia"/>
        </w:rPr>
        <w:t>所示。根据结果计算出sCMOS相机标定的不均匀度为</w:t>
      </w:r>
      <m:oMath>
        <m:r>
          <w:rPr>
            <w:rFonts w:ascii="Cambria Math" w:hAnsi="Cambria Math" w:hint="eastAsia"/>
          </w:rPr>
          <m:t>0</m:t>
        </m:r>
        <m:r>
          <w:rPr>
            <w:rFonts w:ascii="Cambria Math" w:hAnsi="Cambria Math"/>
          </w:rPr>
          <m:t>.9%</m:t>
        </m:r>
      </m:oMath>
      <w:r>
        <w:rPr>
          <w:rFonts w:hint="eastAsia"/>
        </w:rPr>
        <w:t>。根据误差传递公式，我们可以估算用原子光频移的方式标定出的光阱阵列的不均匀度不超过</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0.0438</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0.009</m:t>
                </m:r>
              </m:e>
              <m:sup>
                <m:r>
                  <w:rPr>
                    <w:rFonts w:ascii="Cambria Math" w:hAnsi="Cambria Math"/>
                  </w:rPr>
                  <m:t>2</m:t>
                </m:r>
              </m:sup>
            </m:sSup>
          </m:e>
        </m:rad>
        <m:r>
          <w:rPr>
            <w:rFonts w:ascii="Cambria Math" w:hAnsi="Cambria Math"/>
          </w:rPr>
          <m:t>=0.0447</m:t>
        </m:r>
      </m:oMath>
      <w:r>
        <w:rPr>
          <w:rFonts w:hint="eastAsia"/>
        </w:rPr>
        <w:t>。</w:t>
      </w:r>
    </w:p>
    <w:p w14:paraId="43D25BB5" w14:textId="7D175A8D" w:rsidR="005B7EC1" w:rsidRDefault="005B7EC1" w:rsidP="005B7EC1">
      <w:pPr>
        <w:spacing w:line="360" w:lineRule="auto"/>
        <w:jc w:val="center"/>
      </w:pPr>
      <w:r>
        <w:rPr>
          <w:noProof/>
        </w:rPr>
        <w:lastRenderedPageBreak/>
        <w:drawing>
          <wp:inline distT="0" distB="0" distL="0" distR="0" wp14:anchorId="443E2E1F" wp14:editId="7E59D4E8">
            <wp:extent cx="5247861" cy="4951992"/>
            <wp:effectExtent l="0" t="0" r="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l="36633" t="13041" r="12553" b="10148"/>
                    <a:stretch/>
                  </pic:blipFill>
                  <pic:spPr bwMode="auto">
                    <a:xfrm>
                      <a:off x="0" y="0"/>
                      <a:ext cx="5285980" cy="4987962"/>
                    </a:xfrm>
                    <a:prstGeom prst="rect">
                      <a:avLst/>
                    </a:prstGeom>
                    <a:noFill/>
                    <a:ln>
                      <a:noFill/>
                    </a:ln>
                    <a:extLst>
                      <a:ext uri="{53640926-AAD7-44D8-BBD7-CCE9431645EC}">
                        <a14:shadowObscured xmlns:a14="http://schemas.microsoft.com/office/drawing/2010/main"/>
                      </a:ext>
                    </a:extLst>
                  </pic:spPr>
                </pic:pic>
              </a:graphicData>
            </a:graphic>
          </wp:inline>
        </w:drawing>
      </w:r>
    </w:p>
    <w:p w14:paraId="03F9CF9C" w14:textId="5DA5E50A" w:rsidR="005B7EC1" w:rsidRPr="00744BE8" w:rsidRDefault="005B7EC1" w:rsidP="005B7EC1">
      <w:pPr>
        <w:spacing w:line="360" w:lineRule="auto"/>
        <w:jc w:val="center"/>
        <w:rPr>
          <w:sz w:val="18"/>
          <w:szCs w:val="18"/>
        </w:rPr>
      </w:pPr>
      <w:r w:rsidRPr="00744BE8">
        <w:rPr>
          <w:rFonts w:hint="eastAsia"/>
          <w:sz w:val="18"/>
          <w:szCs w:val="18"/>
        </w:rPr>
        <w:t>图</w:t>
      </w:r>
      <w:r w:rsidR="00C052D0" w:rsidRPr="00744BE8">
        <w:rPr>
          <w:sz w:val="18"/>
          <w:szCs w:val="18"/>
        </w:rPr>
        <w:t>7.</w:t>
      </w:r>
      <w:r w:rsidRPr="00744BE8">
        <w:rPr>
          <w:sz w:val="18"/>
          <w:szCs w:val="18"/>
        </w:rPr>
        <w:t xml:space="preserve"> </w:t>
      </w:r>
      <w:r w:rsidRPr="00744BE8">
        <w:rPr>
          <w:rFonts w:hint="eastAsia"/>
          <w:sz w:val="18"/>
          <w:szCs w:val="18"/>
        </w:rPr>
        <w:t>用sCMOS相机标定1</w:t>
      </w:r>
      <w:r w:rsidRPr="00744BE8">
        <w:rPr>
          <w:sz w:val="18"/>
          <w:szCs w:val="18"/>
        </w:rPr>
        <w:t>5*15</w:t>
      </w:r>
      <w:r w:rsidRPr="00744BE8">
        <w:rPr>
          <w:rFonts w:hint="eastAsia"/>
          <w:sz w:val="18"/>
          <w:szCs w:val="18"/>
        </w:rPr>
        <w:t>的光阱阵列的不均匀度</w:t>
      </w:r>
    </w:p>
    <w:sectPr w:rsidR="005B7EC1" w:rsidRPr="00744BE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CBDEFC" w14:textId="77777777" w:rsidR="007B3943" w:rsidRDefault="007B3943" w:rsidP="004F220F">
      <w:r>
        <w:separator/>
      </w:r>
    </w:p>
  </w:endnote>
  <w:endnote w:type="continuationSeparator" w:id="0">
    <w:p w14:paraId="739B3DEA" w14:textId="77777777" w:rsidR="007B3943" w:rsidRDefault="007B3943" w:rsidP="004F2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MR12">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428D6D" w14:textId="77777777" w:rsidR="007B3943" w:rsidRDefault="007B3943" w:rsidP="004F220F">
      <w:r>
        <w:separator/>
      </w:r>
    </w:p>
  </w:footnote>
  <w:footnote w:type="continuationSeparator" w:id="0">
    <w:p w14:paraId="341913AC" w14:textId="77777777" w:rsidR="007B3943" w:rsidRDefault="007B3943" w:rsidP="004F22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9D14DB"/>
    <w:multiLevelType w:val="hybridMultilevel"/>
    <w:tmpl w:val="8EF02B5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2B30A53"/>
    <w:multiLevelType w:val="hybridMultilevel"/>
    <w:tmpl w:val="6F5205C2"/>
    <w:lvl w:ilvl="0" w:tplc="4C96AD3E">
      <w:start w:val="1"/>
      <w:numFmt w:val="japaneseCounting"/>
      <w:pStyle w:val="2"/>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6B6035B"/>
    <w:multiLevelType w:val="hybridMultilevel"/>
    <w:tmpl w:val="AEEC490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99B"/>
    <w:rsid w:val="000013F4"/>
    <w:rsid w:val="00002D19"/>
    <w:rsid w:val="000044EB"/>
    <w:rsid w:val="00011761"/>
    <w:rsid w:val="00016122"/>
    <w:rsid w:val="00020CCB"/>
    <w:rsid w:val="00022601"/>
    <w:rsid w:val="0002538C"/>
    <w:rsid w:val="00050952"/>
    <w:rsid w:val="00060702"/>
    <w:rsid w:val="00060F6B"/>
    <w:rsid w:val="00062865"/>
    <w:rsid w:val="0006633D"/>
    <w:rsid w:val="00075DC6"/>
    <w:rsid w:val="00080448"/>
    <w:rsid w:val="00083904"/>
    <w:rsid w:val="00083E5B"/>
    <w:rsid w:val="0009033C"/>
    <w:rsid w:val="000A1483"/>
    <w:rsid w:val="000A6F26"/>
    <w:rsid w:val="000B2BFF"/>
    <w:rsid w:val="000B7A9A"/>
    <w:rsid w:val="000D520C"/>
    <w:rsid w:val="00112C98"/>
    <w:rsid w:val="001152F5"/>
    <w:rsid w:val="0011538C"/>
    <w:rsid w:val="00127D3C"/>
    <w:rsid w:val="00137041"/>
    <w:rsid w:val="00137203"/>
    <w:rsid w:val="0016186C"/>
    <w:rsid w:val="0016192F"/>
    <w:rsid w:val="00171A9F"/>
    <w:rsid w:val="001764B4"/>
    <w:rsid w:val="001770B2"/>
    <w:rsid w:val="00181184"/>
    <w:rsid w:val="0018479A"/>
    <w:rsid w:val="001919D4"/>
    <w:rsid w:val="001B0E8B"/>
    <w:rsid w:val="001B7E1B"/>
    <w:rsid w:val="001C05DE"/>
    <w:rsid w:val="001E02F7"/>
    <w:rsid w:val="001E09A6"/>
    <w:rsid w:val="001E1B41"/>
    <w:rsid w:val="001E388F"/>
    <w:rsid w:val="001E7729"/>
    <w:rsid w:val="001F156E"/>
    <w:rsid w:val="001F38B0"/>
    <w:rsid w:val="00206CCB"/>
    <w:rsid w:val="0021203B"/>
    <w:rsid w:val="002149F8"/>
    <w:rsid w:val="00215EC6"/>
    <w:rsid w:val="002267A6"/>
    <w:rsid w:val="00236093"/>
    <w:rsid w:val="002377B0"/>
    <w:rsid w:val="0024331D"/>
    <w:rsid w:val="00256775"/>
    <w:rsid w:val="0026746B"/>
    <w:rsid w:val="00271AE7"/>
    <w:rsid w:val="00273195"/>
    <w:rsid w:val="00273646"/>
    <w:rsid w:val="00273D52"/>
    <w:rsid w:val="002818A1"/>
    <w:rsid w:val="00286647"/>
    <w:rsid w:val="00294DAC"/>
    <w:rsid w:val="002A1A0B"/>
    <w:rsid w:val="002A4D24"/>
    <w:rsid w:val="002A5610"/>
    <w:rsid w:val="002B2567"/>
    <w:rsid w:val="002E06FE"/>
    <w:rsid w:val="002E1004"/>
    <w:rsid w:val="002F134D"/>
    <w:rsid w:val="00311742"/>
    <w:rsid w:val="00312970"/>
    <w:rsid w:val="003142A6"/>
    <w:rsid w:val="0031611E"/>
    <w:rsid w:val="00321A21"/>
    <w:rsid w:val="00323F2B"/>
    <w:rsid w:val="00332B40"/>
    <w:rsid w:val="00344AC2"/>
    <w:rsid w:val="00351CA2"/>
    <w:rsid w:val="0035703F"/>
    <w:rsid w:val="00373282"/>
    <w:rsid w:val="003741CE"/>
    <w:rsid w:val="00385B58"/>
    <w:rsid w:val="003A4DC9"/>
    <w:rsid w:val="003B1EA0"/>
    <w:rsid w:val="003B34A9"/>
    <w:rsid w:val="003C21EF"/>
    <w:rsid w:val="003D7A9D"/>
    <w:rsid w:val="003E438C"/>
    <w:rsid w:val="00421923"/>
    <w:rsid w:val="00432104"/>
    <w:rsid w:val="00451EEF"/>
    <w:rsid w:val="004650F1"/>
    <w:rsid w:val="00473378"/>
    <w:rsid w:val="00473DA7"/>
    <w:rsid w:val="00474944"/>
    <w:rsid w:val="004751E6"/>
    <w:rsid w:val="0048348A"/>
    <w:rsid w:val="004855BD"/>
    <w:rsid w:val="004859C9"/>
    <w:rsid w:val="00487FE4"/>
    <w:rsid w:val="00491A27"/>
    <w:rsid w:val="00494267"/>
    <w:rsid w:val="004C1420"/>
    <w:rsid w:val="004C277F"/>
    <w:rsid w:val="004D784F"/>
    <w:rsid w:val="004E3661"/>
    <w:rsid w:val="004F220F"/>
    <w:rsid w:val="004F63D6"/>
    <w:rsid w:val="00512E0F"/>
    <w:rsid w:val="00514E76"/>
    <w:rsid w:val="005274A9"/>
    <w:rsid w:val="0054523B"/>
    <w:rsid w:val="00545590"/>
    <w:rsid w:val="005767B3"/>
    <w:rsid w:val="00577E73"/>
    <w:rsid w:val="00582732"/>
    <w:rsid w:val="0058343E"/>
    <w:rsid w:val="00586A87"/>
    <w:rsid w:val="005935DF"/>
    <w:rsid w:val="005A117B"/>
    <w:rsid w:val="005A2B4F"/>
    <w:rsid w:val="005A3684"/>
    <w:rsid w:val="005A40B4"/>
    <w:rsid w:val="005A63F6"/>
    <w:rsid w:val="005B7EC1"/>
    <w:rsid w:val="005C3F6B"/>
    <w:rsid w:val="005C7D51"/>
    <w:rsid w:val="005D43C8"/>
    <w:rsid w:val="005E287E"/>
    <w:rsid w:val="005E28A2"/>
    <w:rsid w:val="005F7C60"/>
    <w:rsid w:val="0061622B"/>
    <w:rsid w:val="0061655B"/>
    <w:rsid w:val="006263FF"/>
    <w:rsid w:val="006321B1"/>
    <w:rsid w:val="00636447"/>
    <w:rsid w:val="006429F5"/>
    <w:rsid w:val="00651116"/>
    <w:rsid w:val="006543C7"/>
    <w:rsid w:val="0067079D"/>
    <w:rsid w:val="0067206E"/>
    <w:rsid w:val="006754BB"/>
    <w:rsid w:val="00694A9F"/>
    <w:rsid w:val="00697546"/>
    <w:rsid w:val="006A0B38"/>
    <w:rsid w:val="006A2B41"/>
    <w:rsid w:val="006A4575"/>
    <w:rsid w:val="006A4951"/>
    <w:rsid w:val="006B31CC"/>
    <w:rsid w:val="006B5EFD"/>
    <w:rsid w:val="006C1785"/>
    <w:rsid w:val="006C705A"/>
    <w:rsid w:val="006C790B"/>
    <w:rsid w:val="006F28DB"/>
    <w:rsid w:val="006F7709"/>
    <w:rsid w:val="00704BFC"/>
    <w:rsid w:val="00704E60"/>
    <w:rsid w:val="00716BFC"/>
    <w:rsid w:val="0072114D"/>
    <w:rsid w:val="0072786F"/>
    <w:rsid w:val="00730224"/>
    <w:rsid w:val="00744BE8"/>
    <w:rsid w:val="007455CE"/>
    <w:rsid w:val="00761321"/>
    <w:rsid w:val="00766564"/>
    <w:rsid w:val="00771ABC"/>
    <w:rsid w:val="007737A6"/>
    <w:rsid w:val="0078055F"/>
    <w:rsid w:val="007834EB"/>
    <w:rsid w:val="007865E4"/>
    <w:rsid w:val="007B3943"/>
    <w:rsid w:val="007B6C7E"/>
    <w:rsid w:val="007C377F"/>
    <w:rsid w:val="007C7E2E"/>
    <w:rsid w:val="007D5352"/>
    <w:rsid w:val="007D6038"/>
    <w:rsid w:val="007E5178"/>
    <w:rsid w:val="007F1F78"/>
    <w:rsid w:val="00800207"/>
    <w:rsid w:val="00801BE0"/>
    <w:rsid w:val="008046DC"/>
    <w:rsid w:val="008162F1"/>
    <w:rsid w:val="00822CA7"/>
    <w:rsid w:val="00834929"/>
    <w:rsid w:val="00847412"/>
    <w:rsid w:val="00855671"/>
    <w:rsid w:val="00857BC4"/>
    <w:rsid w:val="00874CA9"/>
    <w:rsid w:val="0089112A"/>
    <w:rsid w:val="008C150C"/>
    <w:rsid w:val="008C2F87"/>
    <w:rsid w:val="008C3033"/>
    <w:rsid w:val="008C7ACE"/>
    <w:rsid w:val="008D2B73"/>
    <w:rsid w:val="008E5626"/>
    <w:rsid w:val="008F357C"/>
    <w:rsid w:val="008F5BF7"/>
    <w:rsid w:val="00901B4F"/>
    <w:rsid w:val="00904B94"/>
    <w:rsid w:val="009251FE"/>
    <w:rsid w:val="00927556"/>
    <w:rsid w:val="00931966"/>
    <w:rsid w:val="00940E69"/>
    <w:rsid w:val="0095325C"/>
    <w:rsid w:val="00960A03"/>
    <w:rsid w:val="00966A5B"/>
    <w:rsid w:val="009B6289"/>
    <w:rsid w:val="009C6476"/>
    <w:rsid w:val="009D7055"/>
    <w:rsid w:val="009D7997"/>
    <w:rsid w:val="009F0AA1"/>
    <w:rsid w:val="009F4D95"/>
    <w:rsid w:val="00A02E3F"/>
    <w:rsid w:val="00A154CA"/>
    <w:rsid w:val="00A31519"/>
    <w:rsid w:val="00A54999"/>
    <w:rsid w:val="00A74251"/>
    <w:rsid w:val="00A76505"/>
    <w:rsid w:val="00A815E8"/>
    <w:rsid w:val="00A905E7"/>
    <w:rsid w:val="00A97E22"/>
    <w:rsid w:val="00AA2A50"/>
    <w:rsid w:val="00AB08D4"/>
    <w:rsid w:val="00AC157C"/>
    <w:rsid w:val="00AC6510"/>
    <w:rsid w:val="00AC6A02"/>
    <w:rsid w:val="00AD51D0"/>
    <w:rsid w:val="00AE3296"/>
    <w:rsid w:val="00AF260D"/>
    <w:rsid w:val="00AF30C1"/>
    <w:rsid w:val="00B07E2F"/>
    <w:rsid w:val="00B10922"/>
    <w:rsid w:val="00B14A16"/>
    <w:rsid w:val="00B409CF"/>
    <w:rsid w:val="00B41752"/>
    <w:rsid w:val="00B45EF9"/>
    <w:rsid w:val="00B506D6"/>
    <w:rsid w:val="00B55CD3"/>
    <w:rsid w:val="00B7340A"/>
    <w:rsid w:val="00B7522B"/>
    <w:rsid w:val="00B8388C"/>
    <w:rsid w:val="00B94C0B"/>
    <w:rsid w:val="00BA312A"/>
    <w:rsid w:val="00BB16EF"/>
    <w:rsid w:val="00BB5E5B"/>
    <w:rsid w:val="00BB7C30"/>
    <w:rsid w:val="00BC2369"/>
    <w:rsid w:val="00BC39BC"/>
    <w:rsid w:val="00BC599B"/>
    <w:rsid w:val="00C00B2A"/>
    <w:rsid w:val="00C00EC3"/>
    <w:rsid w:val="00C0391D"/>
    <w:rsid w:val="00C052D0"/>
    <w:rsid w:val="00C05989"/>
    <w:rsid w:val="00C14A7C"/>
    <w:rsid w:val="00C22686"/>
    <w:rsid w:val="00C22D09"/>
    <w:rsid w:val="00C3192A"/>
    <w:rsid w:val="00C368AF"/>
    <w:rsid w:val="00C40784"/>
    <w:rsid w:val="00C413A4"/>
    <w:rsid w:val="00C43642"/>
    <w:rsid w:val="00C475EE"/>
    <w:rsid w:val="00C51010"/>
    <w:rsid w:val="00C526BB"/>
    <w:rsid w:val="00C5473D"/>
    <w:rsid w:val="00C55BAB"/>
    <w:rsid w:val="00C60962"/>
    <w:rsid w:val="00C67AFD"/>
    <w:rsid w:val="00C75666"/>
    <w:rsid w:val="00C7718F"/>
    <w:rsid w:val="00C8355C"/>
    <w:rsid w:val="00C84327"/>
    <w:rsid w:val="00CA18D1"/>
    <w:rsid w:val="00CA49D8"/>
    <w:rsid w:val="00CA5F15"/>
    <w:rsid w:val="00CA700E"/>
    <w:rsid w:val="00CC6537"/>
    <w:rsid w:val="00CD2F70"/>
    <w:rsid w:val="00CD33DC"/>
    <w:rsid w:val="00CE6961"/>
    <w:rsid w:val="00CF52E7"/>
    <w:rsid w:val="00CF53E3"/>
    <w:rsid w:val="00D1759D"/>
    <w:rsid w:val="00D17892"/>
    <w:rsid w:val="00D21D08"/>
    <w:rsid w:val="00D4439F"/>
    <w:rsid w:val="00D4465A"/>
    <w:rsid w:val="00D51205"/>
    <w:rsid w:val="00D8540B"/>
    <w:rsid w:val="00D90878"/>
    <w:rsid w:val="00D9775B"/>
    <w:rsid w:val="00DA32E0"/>
    <w:rsid w:val="00DC1949"/>
    <w:rsid w:val="00DC700D"/>
    <w:rsid w:val="00DD37DE"/>
    <w:rsid w:val="00DD55FA"/>
    <w:rsid w:val="00DE4605"/>
    <w:rsid w:val="00DF1288"/>
    <w:rsid w:val="00DF1F68"/>
    <w:rsid w:val="00E054F5"/>
    <w:rsid w:val="00E23347"/>
    <w:rsid w:val="00E270C6"/>
    <w:rsid w:val="00E35C45"/>
    <w:rsid w:val="00E37C75"/>
    <w:rsid w:val="00E448A2"/>
    <w:rsid w:val="00E45667"/>
    <w:rsid w:val="00E56877"/>
    <w:rsid w:val="00E574FD"/>
    <w:rsid w:val="00E659B7"/>
    <w:rsid w:val="00E75EA4"/>
    <w:rsid w:val="00E77B4E"/>
    <w:rsid w:val="00E80C39"/>
    <w:rsid w:val="00E80C87"/>
    <w:rsid w:val="00E90FD8"/>
    <w:rsid w:val="00E92706"/>
    <w:rsid w:val="00E9565F"/>
    <w:rsid w:val="00EC229D"/>
    <w:rsid w:val="00EC46F2"/>
    <w:rsid w:val="00EC6A37"/>
    <w:rsid w:val="00ED5D92"/>
    <w:rsid w:val="00EE6DBF"/>
    <w:rsid w:val="00EF0E29"/>
    <w:rsid w:val="00F05013"/>
    <w:rsid w:val="00F0783F"/>
    <w:rsid w:val="00F32166"/>
    <w:rsid w:val="00F3363E"/>
    <w:rsid w:val="00F3549E"/>
    <w:rsid w:val="00F4195A"/>
    <w:rsid w:val="00F41B90"/>
    <w:rsid w:val="00F41E62"/>
    <w:rsid w:val="00F44954"/>
    <w:rsid w:val="00F67512"/>
    <w:rsid w:val="00F72B02"/>
    <w:rsid w:val="00F7406C"/>
    <w:rsid w:val="00F83777"/>
    <w:rsid w:val="00F927EE"/>
    <w:rsid w:val="00F93EF9"/>
    <w:rsid w:val="00F970D5"/>
    <w:rsid w:val="00FB6BCE"/>
    <w:rsid w:val="00FD4E0F"/>
    <w:rsid w:val="00FD7704"/>
    <w:rsid w:val="00FF5D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C96FAB3"/>
  <w14:defaultImageDpi w14:val="32767"/>
  <w15:chartTrackingRefBased/>
  <w15:docId w15:val="{D553A65E-D71B-4C52-920E-8490BE207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40784"/>
    <w:pPr>
      <w:widowControl w:val="0"/>
      <w:jc w:val="both"/>
    </w:pPr>
  </w:style>
  <w:style w:type="paragraph" w:styleId="1">
    <w:name w:val="heading 1"/>
    <w:basedOn w:val="a0"/>
    <w:next w:val="a"/>
    <w:link w:val="10"/>
    <w:uiPriority w:val="9"/>
    <w:qFormat/>
    <w:rsid w:val="00904B94"/>
    <w:rPr>
      <w:rFonts w:ascii="宋体" w:eastAsia="宋体" w:hAnsi="宋体"/>
      <w:sz w:val="36"/>
    </w:rPr>
  </w:style>
  <w:style w:type="paragraph" w:styleId="2">
    <w:name w:val="heading 2"/>
    <w:basedOn w:val="1"/>
    <w:next w:val="a"/>
    <w:link w:val="20"/>
    <w:uiPriority w:val="9"/>
    <w:unhideWhenUsed/>
    <w:qFormat/>
    <w:rsid w:val="00904B94"/>
    <w:pPr>
      <w:numPr>
        <w:numId w:val="1"/>
      </w:numPr>
      <w:tabs>
        <w:tab w:val="num" w:pos="360"/>
      </w:tabs>
      <w:ind w:left="0" w:firstLine="0"/>
      <w:jc w:val="both"/>
      <w:outlineLvl w:val="1"/>
    </w:pPr>
    <w:rPr>
      <w:rFonts w:ascii="黑体" w:eastAsia="黑体" w:hAnsi="黑体"/>
      <w:sz w:val="32"/>
    </w:rPr>
  </w:style>
  <w:style w:type="paragraph" w:styleId="3">
    <w:name w:val="heading 3"/>
    <w:basedOn w:val="2"/>
    <w:next w:val="a"/>
    <w:link w:val="30"/>
    <w:autoRedefine/>
    <w:uiPriority w:val="9"/>
    <w:unhideWhenUsed/>
    <w:qFormat/>
    <w:rsid w:val="002A5610"/>
    <w:pPr>
      <w:numPr>
        <w:numId w:val="0"/>
      </w:numPr>
      <w:outlineLvl w:val="2"/>
    </w:pPr>
    <w:rPr>
      <w:rFonts w:ascii="Times New Roman" w:eastAsia="宋体" w:hAnsi="Times New Roman"/>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4F220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4F220F"/>
    <w:rPr>
      <w:sz w:val="18"/>
      <w:szCs w:val="18"/>
    </w:rPr>
  </w:style>
  <w:style w:type="paragraph" w:styleId="a6">
    <w:name w:val="footer"/>
    <w:basedOn w:val="a"/>
    <w:link w:val="a7"/>
    <w:uiPriority w:val="99"/>
    <w:unhideWhenUsed/>
    <w:rsid w:val="004F220F"/>
    <w:pPr>
      <w:tabs>
        <w:tab w:val="center" w:pos="4153"/>
        <w:tab w:val="right" w:pos="8306"/>
      </w:tabs>
      <w:snapToGrid w:val="0"/>
      <w:jc w:val="left"/>
    </w:pPr>
    <w:rPr>
      <w:sz w:val="18"/>
      <w:szCs w:val="18"/>
    </w:rPr>
  </w:style>
  <w:style w:type="character" w:customStyle="1" w:styleId="a7">
    <w:name w:val="页脚 字符"/>
    <w:basedOn w:val="a1"/>
    <w:link w:val="a6"/>
    <w:uiPriority w:val="99"/>
    <w:rsid w:val="004F220F"/>
    <w:rPr>
      <w:sz w:val="18"/>
      <w:szCs w:val="18"/>
    </w:rPr>
  </w:style>
  <w:style w:type="paragraph" w:styleId="a0">
    <w:name w:val="Title"/>
    <w:basedOn w:val="a"/>
    <w:next w:val="a"/>
    <w:link w:val="a8"/>
    <w:uiPriority w:val="10"/>
    <w:qFormat/>
    <w:rsid w:val="00904B94"/>
    <w:pPr>
      <w:spacing w:before="240" w:after="60" w:line="360" w:lineRule="auto"/>
      <w:jc w:val="center"/>
      <w:outlineLvl w:val="0"/>
    </w:pPr>
    <w:rPr>
      <w:rFonts w:asciiTheme="majorHAnsi" w:eastAsiaTheme="majorEastAsia" w:hAnsiTheme="majorHAnsi" w:cstheme="majorBidi"/>
      <w:b/>
      <w:bCs/>
      <w:sz w:val="32"/>
      <w:szCs w:val="32"/>
    </w:rPr>
  </w:style>
  <w:style w:type="character" w:customStyle="1" w:styleId="a8">
    <w:name w:val="标题 字符"/>
    <w:basedOn w:val="a1"/>
    <w:link w:val="a0"/>
    <w:uiPriority w:val="10"/>
    <w:rsid w:val="00904B94"/>
    <w:rPr>
      <w:rFonts w:asciiTheme="majorHAnsi" w:eastAsiaTheme="majorEastAsia" w:hAnsiTheme="majorHAnsi" w:cstheme="majorBidi"/>
      <w:b/>
      <w:bCs/>
      <w:sz w:val="32"/>
      <w:szCs w:val="32"/>
    </w:rPr>
  </w:style>
  <w:style w:type="character" w:customStyle="1" w:styleId="10">
    <w:name w:val="标题 1 字符"/>
    <w:basedOn w:val="a1"/>
    <w:link w:val="1"/>
    <w:uiPriority w:val="9"/>
    <w:rsid w:val="00904B94"/>
    <w:rPr>
      <w:rFonts w:ascii="宋体" w:eastAsia="宋体" w:hAnsi="宋体" w:cstheme="majorBidi"/>
      <w:b/>
      <w:bCs/>
      <w:sz w:val="36"/>
      <w:szCs w:val="32"/>
    </w:rPr>
  </w:style>
  <w:style w:type="character" w:customStyle="1" w:styleId="20">
    <w:name w:val="标题 2 字符"/>
    <w:basedOn w:val="a1"/>
    <w:link w:val="2"/>
    <w:uiPriority w:val="9"/>
    <w:rsid w:val="00904B94"/>
    <w:rPr>
      <w:rFonts w:ascii="黑体" w:eastAsia="黑体" w:hAnsi="黑体" w:cstheme="majorBidi"/>
      <w:b/>
      <w:bCs/>
      <w:sz w:val="32"/>
      <w:szCs w:val="32"/>
    </w:rPr>
  </w:style>
  <w:style w:type="character" w:customStyle="1" w:styleId="30">
    <w:name w:val="标题 3 字符"/>
    <w:basedOn w:val="a1"/>
    <w:link w:val="3"/>
    <w:uiPriority w:val="9"/>
    <w:rsid w:val="002A5610"/>
    <w:rPr>
      <w:rFonts w:ascii="Times New Roman" w:eastAsia="宋体" w:hAnsi="Times New Roman" w:cstheme="majorBidi"/>
      <w:b/>
      <w:bCs/>
      <w:sz w:val="24"/>
      <w:szCs w:val="24"/>
    </w:rPr>
  </w:style>
  <w:style w:type="character" w:customStyle="1" w:styleId="fontstyle01">
    <w:name w:val="fontstyle01"/>
    <w:basedOn w:val="a1"/>
    <w:rsid w:val="0011538C"/>
    <w:rPr>
      <w:rFonts w:ascii="CMR12" w:hAnsi="CMR12" w:hint="default"/>
      <w:b w:val="0"/>
      <w:bCs w:val="0"/>
      <w:i w:val="0"/>
      <w:iCs w:val="0"/>
      <w:color w:val="000000"/>
      <w:sz w:val="24"/>
      <w:szCs w:val="24"/>
    </w:rPr>
  </w:style>
  <w:style w:type="paragraph" w:styleId="a9">
    <w:name w:val="List Paragraph"/>
    <w:basedOn w:val="a"/>
    <w:uiPriority w:val="34"/>
    <w:qFormat/>
    <w:rsid w:val="002A5610"/>
    <w:pPr>
      <w:ind w:firstLineChars="200" w:firstLine="420"/>
    </w:pPr>
  </w:style>
  <w:style w:type="character" w:styleId="aa">
    <w:name w:val="Placeholder Text"/>
    <w:basedOn w:val="a1"/>
    <w:uiPriority w:val="99"/>
    <w:semiHidden/>
    <w:rsid w:val="002A5610"/>
    <w:rPr>
      <w:color w:val="808080"/>
    </w:rPr>
  </w:style>
  <w:style w:type="table" w:styleId="ab">
    <w:name w:val="Table Grid"/>
    <w:basedOn w:val="a2"/>
    <w:uiPriority w:val="39"/>
    <w:rsid w:val="008349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1"/>
    <w:uiPriority w:val="99"/>
    <w:semiHidden/>
    <w:unhideWhenUsed/>
    <w:rsid w:val="007F1F78"/>
    <w:rPr>
      <w:sz w:val="21"/>
      <w:szCs w:val="21"/>
    </w:rPr>
  </w:style>
  <w:style w:type="paragraph" w:styleId="ad">
    <w:name w:val="annotation text"/>
    <w:basedOn w:val="a"/>
    <w:link w:val="ae"/>
    <w:uiPriority w:val="99"/>
    <w:semiHidden/>
    <w:unhideWhenUsed/>
    <w:rsid w:val="007F1F78"/>
    <w:pPr>
      <w:jc w:val="left"/>
    </w:pPr>
  </w:style>
  <w:style w:type="character" w:customStyle="1" w:styleId="ae">
    <w:name w:val="批注文字 字符"/>
    <w:basedOn w:val="a1"/>
    <w:link w:val="ad"/>
    <w:uiPriority w:val="99"/>
    <w:semiHidden/>
    <w:rsid w:val="007F1F78"/>
  </w:style>
  <w:style w:type="paragraph" w:styleId="af">
    <w:name w:val="annotation subject"/>
    <w:basedOn w:val="ad"/>
    <w:next w:val="ad"/>
    <w:link w:val="af0"/>
    <w:uiPriority w:val="99"/>
    <w:semiHidden/>
    <w:unhideWhenUsed/>
    <w:rsid w:val="007F1F78"/>
    <w:rPr>
      <w:b/>
      <w:bCs/>
    </w:rPr>
  </w:style>
  <w:style w:type="character" w:customStyle="1" w:styleId="af0">
    <w:name w:val="批注主题 字符"/>
    <w:basedOn w:val="ae"/>
    <w:link w:val="af"/>
    <w:uiPriority w:val="99"/>
    <w:semiHidden/>
    <w:rsid w:val="007F1F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985093">
      <w:bodyDiv w:val="1"/>
      <w:marLeft w:val="0"/>
      <w:marRight w:val="0"/>
      <w:marTop w:val="0"/>
      <w:marBottom w:val="0"/>
      <w:divBdr>
        <w:top w:val="none" w:sz="0" w:space="0" w:color="auto"/>
        <w:left w:val="none" w:sz="0" w:space="0" w:color="auto"/>
        <w:bottom w:val="none" w:sz="0" w:space="0" w:color="auto"/>
        <w:right w:val="none" w:sz="0" w:space="0" w:color="auto"/>
      </w:divBdr>
    </w:div>
    <w:div w:id="1723094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14/relationships/chartEx" Target="charts/chartEx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RbArray-Monitor\E\2%20Softwares\Data\2022\2022-11\2022-11-27\EMCCD\2)depump%20spectrum\2022-11-27-174624_EMCCD$ROI_2mK_freq=220-230MHz_without_Y_Mag_result\freq_array.csv"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freq_array!$B$10:$B$57</cx:f>
        <cx:lvl ptCount="48" formatCode="G/通用格式">
          <cx:pt idx="0">2.258499999999998</cx:pt>
          <cx:pt idx="1">2.5078000000000005</cx:pt>
          <cx:pt idx="2">2.4540999999999995</cx:pt>
          <cx:pt idx="3">2.3186999999999984</cx:pt>
          <cx:pt idx="4">2.3877999999999986</cx:pt>
          <cx:pt idx="5">2.2075999999999993</cx:pt>
          <cx:pt idx="6">2.4455999999999989</cx:pt>
          <cx:pt idx="7">2.3014999999999985</cx:pt>
          <cx:pt idx="8">2.3486999999999996</cx:pt>
          <cx:pt idx="9">2.4233000000000002</cx:pt>
          <cx:pt idx="10">2.4239999999999982</cx:pt>
          <cx:pt idx="11">2.4262000000000001</cx:pt>
          <cx:pt idx="12">2.256899999999999</cx:pt>
          <cx:pt idx="13">2.2236999999999996</cx:pt>
          <cx:pt idx="14">2.3332999999999999</cx:pt>
          <cx:pt idx="15">2.140699999999998</cx:pt>
          <cx:pt idx="16">2.4574999999999987</cx:pt>
          <cx:pt idx="17">2.121799999999999</cx:pt>
          <cx:pt idx="18">2.2557999999999994</cx:pt>
          <cx:pt idx="19">2.1637</cx:pt>
          <cx:pt idx="20">2.1991999999999989</cx:pt>
          <cx:pt idx="21">2.2849999999999993</cx:pt>
          <cx:pt idx="22">2.2373999999999996</cx:pt>
          <cx:pt idx="23">2.3969999999999998</cx:pt>
          <cx:pt idx="24">2.3314999999999997</cx:pt>
          <cx:pt idx="25">2.2301999999999991</cx:pt>
          <cx:pt idx="26">2.4167000000000001</cx:pt>
          <cx:pt idx="27">2.2640999999999991</cx:pt>
          <cx:pt idx="28">2.181</cx:pt>
          <cx:pt idx="29">2.216499999999999</cx:pt>
          <cx:pt idx="30">2.2391999999999994</cx:pt>
          <cx:pt idx="31">2.1533999999999991</cx:pt>
          <cx:pt idx="32">2.184899999999999</cx:pt>
          <cx:pt idx="33">2.2294999999999989</cx:pt>
          <cx:pt idx="34">2.3168000000000006</cx:pt>
          <cx:pt idx="35">2.3991999999999991</cx:pt>
          <cx:pt idx="36">2.3293000000000008</cx:pt>
          <cx:pt idx="37">2.2811000000000008</cx:pt>
          <cx:pt idx="38">2.3295999999999992</cx:pt>
          <cx:pt idx="39">2.1573999999999982</cx:pt>
          <cx:pt idx="40">2.4038999999999988</cx:pt>
          <cx:pt idx="41">2.3334000000000001</cx:pt>
          <cx:pt idx="42">2.3692999999999982</cx:pt>
          <cx:pt idx="43">2.2450999999999994</cx:pt>
          <cx:pt idx="44">2.1811999999999983</cx:pt>
          <cx:pt idx="45">2.1528999999999998</cx:pt>
          <cx:pt idx="46">2.2260999999999997</cx:pt>
          <cx:pt idx="47">2.3281000000000005</cx:pt>
        </cx:lvl>
      </cx:numDim>
    </cx:data>
  </cx:chartData>
  <cx:chart>
    <cx:title pos="t" align="ctr" overlay="0">
      <cx:tx>
        <cx:rich>
          <a:bodyPr spcFirstLastPara="1" vertOverflow="ellipsis" horzOverflow="overflow" wrap="square" lIns="0" tIns="0" rIns="0" bIns="0" anchor="ctr" anchorCtr="1"/>
          <a:lstStyle/>
          <a:p>
            <a:pPr algn="ctr" rtl="0">
              <a:defRPr sz="1400">
                <a:latin typeface="+mn-lt"/>
              </a:defRPr>
            </a:pPr>
            <a:r>
              <a:rPr lang="en-US" altLang="zh-CN" sz="1400" b="0" i="0" u="none" strike="noStrike" baseline="0">
                <a:solidFill>
                  <a:sysClr val="windowText" lastClr="000000">
                    <a:lumMod val="65000"/>
                    <a:lumOff val="35000"/>
                  </a:sysClr>
                </a:solidFill>
                <a:latin typeface="+mn-lt"/>
                <a:ea typeface="等线" panose="02010600030101010101" pitchFamily="2" charset="-122"/>
              </a:rPr>
              <a:t>Histogram</a:t>
            </a:r>
            <a:endParaRPr lang="zh-CN" altLang="en-US" sz="1400" b="0" i="0" u="none" strike="noStrike" baseline="0">
              <a:solidFill>
                <a:sysClr val="windowText" lastClr="000000">
                  <a:lumMod val="65000"/>
                  <a:lumOff val="35000"/>
                </a:sysClr>
              </a:solidFill>
              <a:latin typeface="+mn-lt"/>
              <a:ea typeface="等线" panose="02010600030101010101" pitchFamily="2" charset="-122"/>
            </a:endParaRPr>
          </a:p>
        </cx:rich>
      </cx:tx>
    </cx:title>
    <cx:plotArea>
      <cx:plotAreaRegion>
        <cx:series layoutId="clusteredColumn" uniqueId="{984D12B1-01BF-415C-9BC8-88D21C308971}">
          <cx:dataId val="0"/>
          <cx:layoutPr>
            <cx:binning intervalClosed="r">
              <cx:binCount val="5"/>
            </cx:binning>
          </cx:layoutPr>
        </cx:series>
      </cx:plotAreaRegion>
      <cx:axis id="0">
        <cx:catScaling gapWidth="0"/>
        <cx:title>
          <cx:tx>
            <cx:rich>
              <a:bodyPr spcFirstLastPara="1" vertOverflow="ellipsis" horzOverflow="overflow" wrap="square" lIns="0" tIns="0" rIns="0" bIns="0" anchor="ctr" anchorCtr="1"/>
              <a:lstStyle/>
              <a:p>
                <a:pPr algn="ctr" rtl="0">
                  <a:defRPr sz="1100">
                    <a:latin typeface="微软雅黑" panose="020B0503020204020204" pitchFamily="34" charset="-122"/>
                    <a:ea typeface="微软雅黑" panose="020B0503020204020204" pitchFamily="34" charset="-122"/>
                    <a:cs typeface="微软雅黑" panose="020B0503020204020204" pitchFamily="34" charset="-122"/>
                  </a:defRPr>
                </a:pPr>
                <a:r>
                  <a:rPr lang="zh-CN" altLang="en-US" sz="1100" b="0" i="0" u="none" strike="noStrike" baseline="0">
                    <a:solidFill>
                      <a:sysClr val="windowText" lastClr="000000">
                        <a:lumMod val="65000"/>
                        <a:lumOff val="35000"/>
                      </a:sysClr>
                    </a:solidFill>
                    <a:latin typeface="微软雅黑" panose="020B0503020204020204" pitchFamily="34" charset="-122"/>
                    <a:ea typeface="微软雅黑" panose="020B0503020204020204" pitchFamily="34" charset="-122"/>
                  </a:rPr>
                  <a:t>基态阱深</a:t>
                </a:r>
                <a:r>
                  <a:rPr lang="en-US" altLang="zh-CN" sz="1100" b="0" i="0" u="none" strike="noStrike" baseline="0">
                    <a:solidFill>
                      <a:sysClr val="windowText" lastClr="000000">
                        <a:lumMod val="65000"/>
                        <a:lumOff val="35000"/>
                      </a:sysClr>
                    </a:solidFill>
                    <a:latin typeface="微软雅黑" panose="020B0503020204020204" pitchFamily="34" charset="-122"/>
                    <a:ea typeface="微软雅黑" panose="020B0503020204020204" pitchFamily="34" charset="-122"/>
                  </a:rPr>
                  <a:t>(mK)</a:t>
                </a:r>
                <a:endParaRPr lang="zh-CN" altLang="en-US" sz="1100" b="0" i="0" u="none" strike="noStrike" baseline="0">
                  <a:solidFill>
                    <a:sysClr val="windowText" lastClr="000000">
                      <a:lumMod val="65000"/>
                      <a:lumOff val="35000"/>
                    </a:sysClr>
                  </a:solidFill>
                  <a:latin typeface="微软雅黑" panose="020B0503020204020204" pitchFamily="34" charset="-122"/>
                  <a:ea typeface="微软雅黑" panose="020B0503020204020204" pitchFamily="34" charset="-122"/>
                </a:endParaRPr>
              </a:p>
            </cx:rich>
          </cx:tx>
        </cx:title>
        <cx:tickLabels/>
        <cx:txPr>
          <a:bodyPr spcFirstLastPara="1" vertOverflow="ellipsis" horzOverflow="overflow" wrap="square" lIns="0" tIns="0" rIns="0" bIns="0" anchor="ctr" anchorCtr="1"/>
          <a:lstStyle/>
          <a:p>
            <a:pPr algn="ctr" rtl="0">
              <a:defRPr sz="800"/>
            </a:pPr>
            <a:endParaRPr lang="zh-CN" altLang="en-US" sz="800" b="0" i="0" u="none" strike="noStrike" baseline="0">
              <a:solidFill>
                <a:sysClr val="windowText" lastClr="000000">
                  <a:lumMod val="65000"/>
                  <a:lumOff val="35000"/>
                </a:sysClr>
              </a:solidFill>
              <a:latin typeface="等线" panose="020F0502020204030204"/>
              <a:ea typeface="等线" panose="02010600030101010101" pitchFamily="2" charset="-122"/>
            </a:endParaRPr>
          </a:p>
        </cx:txPr>
      </cx:axis>
      <cx:axis id="1">
        <cx:valScaling/>
        <cx:title>
          <cx:tx>
            <cx:rich>
              <a:bodyPr spcFirstLastPara="1" vertOverflow="ellipsis" horzOverflow="overflow" wrap="square" lIns="0" tIns="0" rIns="0" bIns="0" anchor="ctr" anchorCtr="1"/>
              <a:lstStyle/>
              <a:p>
                <a:pPr algn="ctr" rtl="0">
                  <a:defRPr sz="1100"/>
                </a:pPr>
                <a:r>
                  <a:rPr lang="en-US" altLang="zh-CN" sz="1100" b="0" i="0" u="none" strike="noStrike" baseline="0">
                    <a:solidFill>
                      <a:sysClr val="windowText" lastClr="000000">
                        <a:lumMod val="65000"/>
                        <a:lumOff val="35000"/>
                      </a:sysClr>
                    </a:solidFill>
                    <a:latin typeface="Calibri" panose="020F0502020204030204"/>
                    <a:ea typeface="等线" panose="02010600030101010101" pitchFamily="2" charset="-122"/>
                  </a:rPr>
                  <a:t>Occurrence</a:t>
                </a:r>
                <a:endParaRPr lang="zh-CN" altLang="en-US" sz="1100" b="0" i="0" u="none" strike="noStrike" baseline="0">
                  <a:solidFill>
                    <a:sysClr val="windowText" lastClr="000000">
                      <a:lumMod val="65000"/>
                      <a:lumOff val="35000"/>
                    </a:sysClr>
                  </a:solidFill>
                  <a:latin typeface="Calibri" panose="020F0502020204030204"/>
                  <a:ea typeface="等线" panose="02010600030101010101" pitchFamily="2" charset="-122"/>
                </a:endParaRPr>
              </a:p>
            </cx:rich>
          </cx:tx>
        </cx:title>
        <cx:majorGridlines/>
        <cx:tickLabels/>
      </cx:axis>
    </cx:plotArea>
  </cx:chart>
  <cx:clrMapOvr bg1="lt1" tx1="dk1" bg2="lt2" tx2="dk2" accent1="accent1" accent2="accent2" accent3="accent3" accent4="accent4" accent5="accent5" accent6="accent6" hlink="hlink" folHlink="folHlink"/>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82FFC-7364-41C4-A330-A918E9AB7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9646</TotalTime>
  <Pages>8</Pages>
  <Words>678</Words>
  <Characters>3869</Characters>
  <Application>Microsoft Office Word</Application>
  <DocSecurity>0</DocSecurity>
  <Lines>32</Lines>
  <Paragraphs>9</Paragraphs>
  <ScaleCrop>false</ScaleCrop>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昊翔</dc:creator>
  <cp:keywords/>
  <dc:description/>
  <cp:lastModifiedBy>张宽</cp:lastModifiedBy>
  <cp:revision>323</cp:revision>
  <dcterms:created xsi:type="dcterms:W3CDTF">2023-05-03T06:59:00Z</dcterms:created>
  <dcterms:modified xsi:type="dcterms:W3CDTF">2023-06-03T14:23:00Z</dcterms:modified>
</cp:coreProperties>
</file>