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9D4AC">
      <w:pPr>
        <w:pStyle w:val="7"/>
        <w:ind w:firstLine="0"/>
        <w:jc w:val="center"/>
        <w:rPr>
          <w:kern w:val="0"/>
          <w:sz w:val="72"/>
        </w:rPr>
      </w:pPr>
      <w:r>
        <w:rPr>
          <w:rFonts w:hint="eastAsia"/>
          <w:kern w:val="0"/>
          <w:sz w:val="72"/>
        </w:rPr>
        <w:t>湖北第二师范学院</w:t>
      </w:r>
    </w:p>
    <w:p w14:paraId="1F7087EE">
      <w:pPr>
        <w:pStyle w:val="7"/>
        <w:ind w:firstLine="0"/>
        <w:jc w:val="center"/>
        <w:rPr>
          <w:kern w:val="0"/>
          <w:sz w:val="72"/>
        </w:rPr>
      </w:pPr>
      <w:r>
        <w:rPr>
          <w:rFonts w:hint="eastAsia"/>
          <w:kern w:val="0"/>
          <w:sz w:val="72"/>
        </w:rPr>
        <w:t>本科毕业论文（设计）</w:t>
      </w:r>
    </w:p>
    <w:p w14:paraId="3B1B66D7">
      <w:pPr>
        <w:pStyle w:val="7"/>
        <w:ind w:firstLine="0"/>
        <w:jc w:val="center"/>
        <w:rPr>
          <w:kern w:val="0"/>
          <w:sz w:val="72"/>
        </w:rPr>
      </w:pPr>
      <w:r>
        <w:rPr>
          <w:rFonts w:hint="eastAsia"/>
          <w:kern w:val="0"/>
          <w:sz w:val="72"/>
        </w:rPr>
        <w:t>文献综述</w:t>
      </w:r>
    </w:p>
    <w:p w14:paraId="2545147B">
      <w:pPr>
        <w:rPr>
          <w:kern w:val="0"/>
        </w:rPr>
      </w:pPr>
      <w:r>
        <w:rPr>
          <w:rFonts w:hint="eastAsia"/>
          <w:kern w:val="0"/>
        </w:rPr>
        <w:t>　　　　　</w:t>
      </w:r>
    </w:p>
    <w:tbl>
      <w:tblPr>
        <w:tblStyle w:val="13"/>
        <w:tblW w:w="0" w:type="auto"/>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78"/>
        <w:gridCol w:w="6657"/>
      </w:tblGrid>
      <w:tr w14:paraId="5ADAE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10" w:hRule="exact"/>
        </w:trPr>
        <w:tc>
          <w:tcPr>
            <w:tcW w:w="2978" w:type="dxa"/>
          </w:tcPr>
          <w:p w14:paraId="662F8C5F">
            <w:pPr>
              <w:jc w:val="center"/>
              <w:rPr>
                <w:kern w:val="0"/>
                <w:szCs w:val="21"/>
              </w:rPr>
            </w:pPr>
            <w:r>
              <w:rPr>
                <w:rFonts w:hint="eastAsia" w:ascii="宋体" w:hAnsi="宋体"/>
                <w:b/>
                <w:kern w:val="0"/>
                <w:sz w:val="36"/>
                <w:szCs w:val="36"/>
              </w:rPr>
              <w:t>论文(设计)题目</w:t>
            </w:r>
            <w:r>
              <w:rPr>
                <w:rFonts w:hint="eastAsia" w:ascii="宋体" w:hAnsi="宋体"/>
                <w:bCs/>
                <w:kern w:val="0"/>
                <w:sz w:val="36"/>
                <w:szCs w:val="36"/>
              </w:rPr>
              <w:t>:</w:t>
            </w:r>
          </w:p>
        </w:tc>
        <w:tc>
          <w:tcPr>
            <w:tcW w:w="6657" w:type="dxa"/>
            <w:vAlign w:val="center"/>
          </w:tcPr>
          <w:p w14:paraId="4929029C">
            <w:pPr>
              <w:rPr>
                <w:rFonts w:hint="eastAsia" w:ascii="宋体" w:hAnsi="宋体"/>
                <w:kern w:val="0"/>
                <w:sz w:val="36"/>
                <w:szCs w:val="36"/>
                <w:u w:val="single"/>
              </w:rPr>
            </w:pPr>
            <w:r>
              <w:rPr>
                <w:rFonts w:hint="eastAsia" w:ascii="宋体" w:hAnsi="宋体"/>
                <w:kern w:val="0"/>
                <w:sz w:val="36"/>
                <w:szCs w:val="36"/>
                <w:u w:val="single"/>
              </w:rPr>
              <w:t>孤立森林在医疗数据清洗中的离群值检测应用</w:t>
            </w:r>
            <w:r>
              <w:rPr>
                <w:rFonts w:ascii="宋体" w:hAnsi="宋体"/>
                <w:kern w:val="0"/>
                <w:sz w:val="36"/>
                <w:szCs w:val="36"/>
                <w:u w:val="single"/>
              </w:rPr>
              <w:t xml:space="preserve">                                                                          </w:t>
            </w:r>
          </w:p>
          <w:p w14:paraId="4555FC4E">
            <w:pPr>
              <w:rPr>
                <w:rFonts w:hint="eastAsia" w:ascii="宋体" w:hAnsi="宋体"/>
                <w:kern w:val="0"/>
                <w:sz w:val="36"/>
                <w:szCs w:val="36"/>
                <w:u w:val="single"/>
              </w:rPr>
            </w:pPr>
            <w:r>
              <w:rPr>
                <w:rFonts w:ascii="宋体" w:hAnsi="宋体"/>
                <w:kern w:val="0"/>
                <w:sz w:val="36"/>
                <w:szCs w:val="36"/>
                <w:u w:val="single"/>
              </w:rPr>
              <w:t xml:space="preserve">                                                                                                         </w:t>
            </w:r>
          </w:p>
          <w:p w14:paraId="0EBD09D1">
            <w:pPr>
              <w:jc w:val="left"/>
              <w:rPr>
                <w:rFonts w:hint="eastAsia" w:ascii="宋体" w:hAnsi="宋体"/>
                <w:kern w:val="0"/>
                <w:sz w:val="36"/>
                <w:szCs w:val="36"/>
                <w:u w:val="single"/>
              </w:rPr>
            </w:pPr>
            <w:r>
              <w:rPr>
                <w:rFonts w:hint="eastAsia" w:ascii="宋体" w:hAnsi="宋体"/>
                <w:kern w:val="0"/>
                <w:sz w:val="36"/>
                <w:szCs w:val="36"/>
                <w:u w:val="single"/>
              </w:rPr>
              <w:t>峰粉</w:t>
            </w:r>
            <w:r>
              <w:rPr>
                <w:rFonts w:ascii="宋体" w:hAnsi="宋体"/>
                <w:kern w:val="0"/>
                <w:sz w:val="36"/>
                <w:szCs w:val="36"/>
                <w:u w:val="single"/>
              </w:rPr>
              <w:t xml:space="preserve">                                                                                                 </w:t>
            </w:r>
          </w:p>
          <w:p w14:paraId="052E435D">
            <w:pPr>
              <w:jc w:val="left"/>
              <w:rPr>
                <w:rFonts w:hint="eastAsia" w:ascii="宋体" w:hAnsi="宋体"/>
                <w:kern w:val="0"/>
                <w:sz w:val="36"/>
                <w:szCs w:val="36"/>
                <w:u w:val="single"/>
              </w:rPr>
            </w:pPr>
            <w:r>
              <w:rPr>
                <w:rFonts w:ascii="宋体" w:hAnsi="宋体"/>
                <w:kern w:val="0"/>
                <w:sz w:val="36"/>
                <w:szCs w:val="36"/>
                <w:u w:val="single"/>
              </w:rPr>
              <w:t xml:space="preserve">                                                                                                                                                                                   </w:t>
            </w:r>
          </w:p>
        </w:tc>
      </w:tr>
    </w:tbl>
    <w:p w14:paraId="1C192106">
      <w:pPr>
        <w:rPr>
          <w:kern w:val="0"/>
        </w:rPr>
      </w:pPr>
      <w:r>
        <w:rPr>
          <w:rFonts w:hint="eastAsia"/>
          <w:kern w:val="0"/>
        </w:rPr>
        <w:t>　　　　　</w:t>
      </w:r>
    </w:p>
    <w:p w14:paraId="0B14B48E">
      <w:pPr>
        <w:jc w:val="center"/>
        <w:rPr>
          <w:kern w:val="0"/>
          <w:szCs w:val="21"/>
        </w:rPr>
      </w:pPr>
      <w:r>
        <w:rPr>
          <w:kern w:val="0"/>
          <w:szCs w:val="21"/>
        </w:rPr>
        <w:t xml:space="preserve"> </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0"/>
        <w:gridCol w:w="5529"/>
      </w:tblGrid>
      <w:tr w14:paraId="53B06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2410" w:type="dxa"/>
          </w:tcPr>
          <w:p w14:paraId="345F691A">
            <w:pPr>
              <w:spacing w:line="900" w:lineRule="exact"/>
              <w:rPr>
                <w:b/>
                <w:bCs/>
                <w:kern w:val="0"/>
                <w:sz w:val="28"/>
              </w:rPr>
            </w:pPr>
            <w:r>
              <w:rPr>
                <w:rFonts w:hint="eastAsia"/>
                <w:b/>
                <w:bCs/>
                <w:kern w:val="0"/>
                <w:sz w:val="28"/>
              </w:rPr>
              <w:t>姓          名:</w:t>
            </w:r>
          </w:p>
        </w:tc>
        <w:tc>
          <w:tcPr>
            <w:tcW w:w="5529" w:type="dxa"/>
            <w:tcBorders>
              <w:bottom w:val="single" w:color="auto" w:sz="12" w:space="0"/>
            </w:tcBorders>
          </w:tcPr>
          <w:p w14:paraId="4B4FE928">
            <w:pPr>
              <w:spacing w:line="900" w:lineRule="exact"/>
              <w:jc w:val="center"/>
              <w:rPr>
                <w:kern w:val="0"/>
                <w:sz w:val="28"/>
              </w:rPr>
            </w:pPr>
            <w:r>
              <w:rPr>
                <w:rFonts w:hint="eastAsia"/>
                <w:kern w:val="0"/>
                <w:sz w:val="28"/>
              </w:rPr>
              <w:t>范文兵</w:t>
            </w:r>
          </w:p>
        </w:tc>
      </w:tr>
      <w:tr w14:paraId="75DD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2410" w:type="dxa"/>
          </w:tcPr>
          <w:p w14:paraId="32709216">
            <w:pPr>
              <w:spacing w:line="900" w:lineRule="exact"/>
              <w:rPr>
                <w:b/>
                <w:bCs/>
                <w:kern w:val="0"/>
                <w:sz w:val="28"/>
              </w:rPr>
            </w:pPr>
            <w:r>
              <w:rPr>
                <w:rFonts w:hint="eastAsia"/>
                <w:b/>
                <w:bCs/>
                <w:kern w:val="0"/>
                <w:sz w:val="28"/>
              </w:rPr>
              <w:t>学          号:</w:t>
            </w:r>
          </w:p>
        </w:tc>
        <w:tc>
          <w:tcPr>
            <w:tcW w:w="5529" w:type="dxa"/>
            <w:tcBorders>
              <w:top w:val="single" w:color="auto" w:sz="12" w:space="0"/>
              <w:bottom w:val="single" w:color="auto" w:sz="12" w:space="0"/>
            </w:tcBorders>
          </w:tcPr>
          <w:p w14:paraId="23A11635">
            <w:pPr>
              <w:spacing w:line="900" w:lineRule="exact"/>
              <w:jc w:val="center"/>
              <w:rPr>
                <w:bCs/>
                <w:kern w:val="0"/>
                <w:sz w:val="28"/>
              </w:rPr>
            </w:pPr>
            <w:r>
              <w:rPr>
                <w:rFonts w:hint="eastAsia"/>
                <w:kern w:val="0"/>
                <w:sz w:val="28"/>
              </w:rPr>
              <w:t>2250300284</w:t>
            </w:r>
          </w:p>
        </w:tc>
      </w:tr>
      <w:tr w14:paraId="136E3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2410" w:type="dxa"/>
          </w:tcPr>
          <w:p w14:paraId="568CE581">
            <w:pPr>
              <w:spacing w:line="900" w:lineRule="exact"/>
              <w:rPr>
                <w:b/>
                <w:bCs/>
                <w:kern w:val="0"/>
                <w:sz w:val="28"/>
              </w:rPr>
            </w:pPr>
            <w:r>
              <w:rPr>
                <w:rFonts w:hint="eastAsia"/>
                <w:b/>
                <w:bCs/>
                <w:kern w:val="0"/>
                <w:sz w:val="28"/>
              </w:rPr>
              <w:t>年          级:</w:t>
            </w:r>
          </w:p>
        </w:tc>
        <w:tc>
          <w:tcPr>
            <w:tcW w:w="5529" w:type="dxa"/>
            <w:tcBorders>
              <w:top w:val="single" w:color="auto" w:sz="12" w:space="0"/>
              <w:bottom w:val="single" w:color="auto" w:sz="12" w:space="0"/>
            </w:tcBorders>
          </w:tcPr>
          <w:p w14:paraId="764D6D7C">
            <w:pPr>
              <w:spacing w:line="900" w:lineRule="exact"/>
              <w:jc w:val="center"/>
              <w:rPr>
                <w:bCs/>
                <w:kern w:val="0"/>
                <w:sz w:val="28"/>
              </w:rPr>
            </w:pPr>
            <w:r>
              <w:rPr>
                <w:rFonts w:hint="eastAsia"/>
                <w:bCs/>
                <w:kern w:val="0"/>
                <w:sz w:val="28"/>
              </w:rPr>
              <w:t>2022级</w:t>
            </w:r>
          </w:p>
        </w:tc>
      </w:tr>
      <w:tr w14:paraId="27A87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2410" w:type="dxa"/>
          </w:tcPr>
          <w:p w14:paraId="0624B13D">
            <w:pPr>
              <w:spacing w:line="900" w:lineRule="exact"/>
              <w:rPr>
                <w:b/>
                <w:bCs/>
                <w:kern w:val="0"/>
                <w:sz w:val="28"/>
              </w:rPr>
            </w:pPr>
            <w:r>
              <w:rPr>
                <w:rFonts w:hint="eastAsia"/>
                <w:b/>
                <w:bCs/>
                <w:kern w:val="0"/>
                <w:sz w:val="28"/>
              </w:rPr>
              <w:t xml:space="preserve">学       </w:t>
            </w:r>
            <w:r>
              <w:rPr>
                <w:b/>
                <w:bCs/>
                <w:kern w:val="0"/>
                <w:sz w:val="28"/>
              </w:rPr>
              <w:t xml:space="preserve">   </w:t>
            </w:r>
            <w:r>
              <w:rPr>
                <w:rFonts w:hint="eastAsia"/>
                <w:b/>
                <w:bCs/>
                <w:kern w:val="0"/>
                <w:sz w:val="28"/>
              </w:rPr>
              <w:t>院:</w:t>
            </w:r>
          </w:p>
        </w:tc>
        <w:tc>
          <w:tcPr>
            <w:tcW w:w="5529" w:type="dxa"/>
            <w:tcBorders>
              <w:top w:val="single" w:color="auto" w:sz="12" w:space="0"/>
              <w:bottom w:val="single" w:color="auto" w:sz="12" w:space="0"/>
            </w:tcBorders>
          </w:tcPr>
          <w:p w14:paraId="48B01F2A">
            <w:pPr>
              <w:spacing w:line="900" w:lineRule="exact"/>
              <w:jc w:val="center"/>
              <w:rPr>
                <w:bCs/>
                <w:kern w:val="0"/>
                <w:sz w:val="28"/>
              </w:rPr>
            </w:pPr>
            <w:r>
              <w:rPr>
                <w:rFonts w:hint="eastAsia"/>
                <w:bCs/>
                <w:kern w:val="0"/>
                <w:sz w:val="28"/>
              </w:rPr>
              <w:t>计算机学院</w:t>
            </w:r>
          </w:p>
        </w:tc>
      </w:tr>
      <w:tr w14:paraId="20E26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2410" w:type="dxa"/>
          </w:tcPr>
          <w:p w14:paraId="05B675D7">
            <w:pPr>
              <w:spacing w:line="900" w:lineRule="exact"/>
              <w:rPr>
                <w:b/>
                <w:bCs/>
                <w:kern w:val="0"/>
                <w:sz w:val="28"/>
              </w:rPr>
            </w:pPr>
            <w:r>
              <w:rPr>
                <w:rFonts w:hint="eastAsia"/>
                <w:b/>
                <w:bCs/>
                <w:kern w:val="0"/>
                <w:sz w:val="28"/>
              </w:rPr>
              <w:t>专  业  名  称:</w:t>
            </w:r>
          </w:p>
        </w:tc>
        <w:tc>
          <w:tcPr>
            <w:tcW w:w="5529" w:type="dxa"/>
            <w:tcBorders>
              <w:top w:val="single" w:color="auto" w:sz="12" w:space="0"/>
              <w:bottom w:val="single" w:color="auto" w:sz="12" w:space="0"/>
            </w:tcBorders>
          </w:tcPr>
          <w:p w14:paraId="43D36BFB">
            <w:pPr>
              <w:spacing w:line="900" w:lineRule="exact"/>
              <w:jc w:val="center"/>
              <w:rPr>
                <w:kern w:val="0"/>
                <w:sz w:val="28"/>
              </w:rPr>
            </w:pPr>
            <w:r>
              <w:rPr>
                <w:rFonts w:hint="eastAsia"/>
                <w:kern w:val="0"/>
                <w:sz w:val="28"/>
              </w:rPr>
              <w:t>软件工程</w:t>
            </w:r>
          </w:p>
        </w:tc>
      </w:tr>
      <w:tr w14:paraId="30B92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2410" w:type="dxa"/>
          </w:tcPr>
          <w:p w14:paraId="27F67FBD">
            <w:pPr>
              <w:spacing w:line="900" w:lineRule="exact"/>
              <w:rPr>
                <w:b/>
                <w:bCs/>
                <w:sz w:val="28"/>
              </w:rPr>
            </w:pPr>
            <w:r>
              <w:rPr>
                <w:rFonts w:hint="eastAsia"/>
                <w:b/>
                <w:bCs/>
                <w:spacing w:val="24"/>
                <w:sz w:val="28"/>
              </w:rPr>
              <w:t>指导教师姓名</w:t>
            </w:r>
            <w:r>
              <w:rPr>
                <w:rFonts w:hint="eastAsia"/>
                <w:spacing w:val="24"/>
                <w:sz w:val="28"/>
              </w:rPr>
              <w:t>:</w:t>
            </w:r>
          </w:p>
        </w:tc>
        <w:tc>
          <w:tcPr>
            <w:tcW w:w="5529" w:type="dxa"/>
            <w:tcBorders>
              <w:top w:val="single" w:color="auto" w:sz="12" w:space="0"/>
              <w:bottom w:val="single" w:color="auto" w:sz="12" w:space="0"/>
            </w:tcBorders>
          </w:tcPr>
          <w:p w14:paraId="368F40E4">
            <w:pPr>
              <w:spacing w:line="900" w:lineRule="exact"/>
              <w:jc w:val="center"/>
              <w:rPr>
                <w:bCs/>
                <w:kern w:val="0"/>
                <w:sz w:val="28"/>
              </w:rPr>
            </w:pPr>
            <w:r>
              <w:rPr>
                <w:rFonts w:hint="eastAsia"/>
                <w:bCs/>
                <w:kern w:val="0"/>
                <w:sz w:val="28"/>
              </w:rPr>
              <w:t>汪寻循</w:t>
            </w:r>
          </w:p>
        </w:tc>
      </w:tr>
      <w:tr w14:paraId="77CCA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2410" w:type="dxa"/>
          </w:tcPr>
          <w:p w14:paraId="4AE8CFB2">
            <w:pPr>
              <w:spacing w:line="900" w:lineRule="exact"/>
              <w:rPr>
                <w:b/>
                <w:bCs/>
                <w:sz w:val="28"/>
              </w:rPr>
            </w:pPr>
            <w:r>
              <w:rPr>
                <w:rFonts w:hint="eastAsia"/>
                <w:b/>
                <w:bCs/>
                <w:spacing w:val="24"/>
                <w:sz w:val="28"/>
              </w:rPr>
              <w:t>指导教师职称</w:t>
            </w:r>
            <w:r>
              <w:rPr>
                <w:rFonts w:hint="eastAsia"/>
                <w:spacing w:val="24"/>
                <w:sz w:val="28"/>
              </w:rPr>
              <w:t>:</w:t>
            </w:r>
          </w:p>
        </w:tc>
        <w:tc>
          <w:tcPr>
            <w:tcW w:w="5529" w:type="dxa"/>
            <w:tcBorders>
              <w:top w:val="single" w:color="auto" w:sz="12" w:space="0"/>
              <w:bottom w:val="single" w:color="auto" w:sz="12" w:space="0"/>
            </w:tcBorders>
          </w:tcPr>
          <w:p w14:paraId="6074B18F">
            <w:pPr>
              <w:spacing w:line="900" w:lineRule="exact"/>
              <w:jc w:val="center"/>
              <w:rPr>
                <w:bCs/>
                <w:kern w:val="0"/>
                <w:sz w:val="28"/>
              </w:rPr>
            </w:pPr>
          </w:p>
        </w:tc>
      </w:tr>
    </w:tbl>
    <w:p w14:paraId="018597C1">
      <w:pPr>
        <w:rPr>
          <w:kern w:val="0"/>
        </w:rPr>
      </w:pPr>
    </w:p>
    <w:p w14:paraId="7D1B6DB3">
      <w:pPr>
        <w:rPr>
          <w:rFonts w:hint="eastAsia" w:ascii="宋体" w:hAnsi="宋体"/>
          <w:kern w:val="0"/>
          <w:sz w:val="28"/>
          <w:szCs w:val="28"/>
        </w:rPr>
      </w:pPr>
    </w:p>
    <w:p w14:paraId="204C5AC6">
      <w:pPr>
        <w:jc w:val="center"/>
        <w:rPr>
          <w:kern w:val="0"/>
        </w:rPr>
      </w:pPr>
      <w:r>
        <w:rPr>
          <w:rFonts w:hint="eastAsia" w:ascii="宋体" w:hAnsi="宋体"/>
          <w:kern w:val="0"/>
          <w:sz w:val="28"/>
          <w:szCs w:val="28"/>
        </w:rPr>
        <w:t xml:space="preserve">填表时间：  </w:t>
      </w:r>
      <w:r>
        <w:rPr>
          <w:rFonts w:ascii="宋体" w:hAnsi="宋体"/>
          <w:kern w:val="0"/>
          <w:sz w:val="28"/>
          <w:szCs w:val="28"/>
        </w:rPr>
        <w:t xml:space="preserve"> </w:t>
      </w:r>
      <w:r>
        <w:rPr>
          <w:rFonts w:hint="eastAsia" w:ascii="宋体" w:hAnsi="宋体"/>
          <w:kern w:val="0"/>
          <w:sz w:val="28"/>
          <w:szCs w:val="28"/>
        </w:rPr>
        <w:t xml:space="preserve">年 </w:t>
      </w:r>
      <w:r>
        <w:rPr>
          <w:rFonts w:ascii="宋体" w:hAnsi="宋体"/>
          <w:kern w:val="0"/>
          <w:sz w:val="28"/>
          <w:szCs w:val="28"/>
        </w:rPr>
        <w:t xml:space="preserve">  </w:t>
      </w:r>
      <w:r>
        <w:rPr>
          <w:rFonts w:hint="eastAsia" w:ascii="宋体" w:hAnsi="宋体"/>
          <w:kern w:val="0"/>
          <w:sz w:val="28"/>
          <w:szCs w:val="28"/>
        </w:rPr>
        <w:t xml:space="preserve">月 </w:t>
      </w:r>
      <w:r>
        <w:rPr>
          <w:rFonts w:ascii="宋体" w:hAnsi="宋体"/>
          <w:kern w:val="0"/>
          <w:sz w:val="28"/>
          <w:szCs w:val="28"/>
        </w:rPr>
        <w:t xml:space="preserve">  </w:t>
      </w:r>
      <w:r>
        <w:rPr>
          <w:rFonts w:hint="eastAsia" w:ascii="宋体" w:hAnsi="宋体"/>
          <w:kern w:val="0"/>
          <w:sz w:val="28"/>
          <w:szCs w:val="28"/>
        </w:rPr>
        <w:t>日</w:t>
      </w:r>
    </w:p>
    <w:p w14:paraId="2C432EC7">
      <w:pPr>
        <w:rPr>
          <w:kern w:val="0"/>
        </w:rPr>
      </w:pPr>
    </w:p>
    <w:p w14:paraId="286661C2">
      <w:pPr>
        <w:jc w:val="center"/>
        <w:rPr>
          <w:rFonts w:hint="eastAsia" w:ascii="华文新魏" w:hAnsi="宋体" w:eastAsia="华文新魏"/>
          <w:b/>
          <w:sz w:val="30"/>
          <w:szCs w:val="28"/>
        </w:rPr>
      </w:pPr>
    </w:p>
    <w:p w14:paraId="32AF0A22">
      <w:pPr>
        <w:rPr>
          <w:shd w:val="clear" w:color="auto" w:fill="FFFFFF"/>
        </w:rPr>
      </w:pPr>
    </w:p>
    <w:p w14:paraId="36CE0D48">
      <w:pPr>
        <w:pStyle w:val="22"/>
        <w:numPr>
          <w:ilvl w:val="0"/>
          <w:numId w:val="2"/>
        </w:numPr>
        <w:ind w:firstLineChars="0"/>
        <w:rPr>
          <w:b/>
          <w:bCs/>
          <w:sz w:val="30"/>
          <w:szCs w:val="30"/>
          <w:shd w:val="clear" w:color="auto" w:fill="FFFFFF"/>
        </w:rPr>
      </w:pPr>
      <w:r>
        <w:rPr>
          <w:b/>
          <w:bCs/>
          <w:sz w:val="30"/>
          <w:szCs w:val="30"/>
          <w:shd w:val="clear" w:color="auto" w:fill="FFFFFF"/>
        </w:rPr>
        <w:t>概述</w:t>
      </w:r>
    </w:p>
    <w:p w14:paraId="00099245">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shd w:val="clear" w:color="auto" w:fill="FFFFFF"/>
        </w:rPr>
      </w:pPr>
      <w:r>
        <w:rPr>
          <w:rFonts w:ascii="仿宋" w:hAnsi="仿宋" w:eastAsia="仿宋"/>
          <w:color w:val="000000"/>
          <w:sz w:val="24"/>
          <w:shd w:val="clear" w:color="auto" w:fill="FFFFFF"/>
        </w:rPr>
        <w:t>医疗数据作为临床诊断、疾病预测与公共卫生管理的核心基础，其质量直接决定了诊疗方案的有效性、医学研究的可靠性及医疗资</w:t>
      </w:r>
      <w:bookmarkStart w:id="17" w:name="_GoBack"/>
      <w:bookmarkEnd w:id="17"/>
      <w:r>
        <w:rPr>
          <w:rFonts w:ascii="仿宋" w:hAnsi="仿宋" w:eastAsia="仿宋"/>
          <w:color w:val="000000"/>
          <w:sz w:val="24"/>
          <w:shd w:val="clear" w:color="auto" w:fill="FFFFFF"/>
        </w:rPr>
        <w:t xml:space="preserve">源的优化配置 </w:t>
      </w:r>
      <w:r>
        <w:rPr>
          <w:rFonts w:hint="eastAsia" w:ascii="仿宋" w:hAnsi="仿宋" w:eastAsia="仿宋"/>
          <w:color w:val="000000"/>
          <w:sz w:val="24"/>
          <w:shd w:val="clear" w:color="auto" w:fill="FFFFFF"/>
          <w:vertAlign w:val="superscript"/>
        </w:rPr>
        <w:fldChar w:fldCharType="begin"/>
      </w:r>
      <w:r>
        <w:rPr>
          <w:rFonts w:hint="eastAsia" w:ascii="仿宋" w:hAnsi="仿宋" w:eastAsia="仿宋"/>
          <w:color w:val="000000"/>
          <w:sz w:val="24"/>
          <w:shd w:val="clear" w:color="auto" w:fill="FFFFFF"/>
          <w:vertAlign w:val="superscript"/>
        </w:rPr>
        <w:instrText xml:space="preserve"> </w:instrText>
      </w:r>
      <w:r>
        <w:rPr>
          <w:rFonts w:ascii="仿宋" w:hAnsi="仿宋" w:eastAsia="仿宋"/>
          <w:color w:val="000000"/>
          <w:sz w:val="24"/>
          <w:shd w:val="clear" w:color="auto" w:fill="FFFFFF"/>
          <w:vertAlign w:val="superscript"/>
        </w:rPr>
        <w:instrText xml:space="preserve">REF _Ref218631176 \r \h</w:instrText>
      </w:r>
      <w:r>
        <w:rPr>
          <w:rFonts w:hint="eastAsia" w:ascii="仿宋" w:hAnsi="仿宋" w:eastAsia="仿宋"/>
          <w:color w:val="000000"/>
          <w:sz w:val="24"/>
          <w:shd w:val="clear" w:color="auto" w:fill="FFFFFF"/>
          <w:vertAlign w:val="superscript"/>
        </w:rPr>
        <w:instrText xml:space="preserve">  \* MERGEFORMAT </w:instrText>
      </w:r>
      <w:r>
        <w:rPr>
          <w:rFonts w:hint="eastAsia" w:ascii="仿宋" w:hAnsi="仿宋" w:eastAsia="仿宋"/>
          <w:color w:val="000000"/>
          <w:sz w:val="24"/>
          <w:shd w:val="clear" w:color="auto" w:fill="FFFFFF"/>
          <w:vertAlign w:val="superscript"/>
        </w:rPr>
        <w:fldChar w:fldCharType="separate"/>
      </w:r>
      <w:r>
        <w:rPr>
          <w:rFonts w:hint="eastAsia" w:ascii="仿宋" w:hAnsi="仿宋" w:eastAsia="仿宋"/>
          <w:color w:val="000000"/>
          <w:sz w:val="24"/>
          <w:shd w:val="clear" w:color="auto" w:fill="FFFFFF"/>
          <w:vertAlign w:val="superscript"/>
        </w:rPr>
        <w:t>[1]</w:t>
      </w:r>
      <w:r>
        <w:rPr>
          <w:rFonts w:hint="eastAsia" w:ascii="仿宋" w:hAnsi="仿宋" w:eastAsia="仿宋"/>
          <w:color w:val="000000"/>
          <w:sz w:val="24"/>
          <w:shd w:val="clear" w:color="auto" w:fill="FFFFFF"/>
          <w:vertAlign w:val="superscript"/>
        </w:rPr>
        <w:fldChar w:fldCharType="end"/>
      </w:r>
      <w:r>
        <w:rPr>
          <w:rFonts w:ascii="仿宋" w:hAnsi="仿宋" w:eastAsia="仿宋"/>
          <w:color w:val="000000"/>
          <w:sz w:val="24"/>
          <w:shd w:val="clear" w:color="auto" w:fill="FFFFFF"/>
        </w:rPr>
        <w:t>。随着医疗信息化的深度发展，电子病历、生理监测数据、医学影像等多源异构数据持续积累，但在数据采集（设备精度差异）、录入（人为操作失误）、传输与存储过程中，易产生离群值（Outliers）等质量问题。这类偏离数据整体分布的异常数据点，既可能是反映患者真实病理状态的关键信号，也可能是无意义的误差数据，若未有效处理，会掩盖真实医学规律，导致机器学习模型训练偏差，严重制约精准医疗的发展</w:t>
      </w:r>
      <w:r>
        <w:rPr>
          <w:rFonts w:hint="eastAsia" w:ascii="仿宋" w:hAnsi="仿宋" w:eastAsia="仿宋"/>
          <w:color w:val="000000"/>
          <w:sz w:val="24"/>
          <w:shd w:val="clear" w:color="auto" w:fill="FFFFFF"/>
          <w:vertAlign w:val="superscript"/>
        </w:rPr>
        <w:fldChar w:fldCharType="begin"/>
      </w:r>
      <w:r>
        <w:rPr>
          <w:rFonts w:hint="eastAsia" w:ascii="仿宋" w:hAnsi="仿宋" w:eastAsia="仿宋"/>
          <w:color w:val="000000"/>
          <w:sz w:val="24"/>
          <w:shd w:val="clear" w:color="auto" w:fill="FFFFFF"/>
          <w:vertAlign w:val="superscript"/>
        </w:rPr>
        <w:instrText xml:space="preserve"> </w:instrText>
      </w:r>
      <w:r>
        <w:rPr>
          <w:rFonts w:ascii="仿宋" w:hAnsi="仿宋" w:eastAsia="仿宋"/>
          <w:color w:val="000000"/>
          <w:sz w:val="24"/>
          <w:shd w:val="clear" w:color="auto" w:fill="FFFFFF"/>
          <w:vertAlign w:val="superscript"/>
        </w:rPr>
        <w:instrText xml:space="preserve">REF _Ref218631181 \r \h</w:instrText>
      </w:r>
      <w:r>
        <w:rPr>
          <w:rFonts w:hint="eastAsia" w:ascii="仿宋" w:hAnsi="仿宋" w:eastAsia="仿宋"/>
          <w:color w:val="000000"/>
          <w:sz w:val="24"/>
          <w:shd w:val="clear" w:color="auto" w:fill="FFFFFF"/>
          <w:vertAlign w:val="superscript"/>
        </w:rPr>
        <w:instrText xml:space="preserve">  \* MERGEFORMAT </w:instrText>
      </w:r>
      <w:r>
        <w:rPr>
          <w:rFonts w:hint="eastAsia" w:ascii="仿宋" w:hAnsi="仿宋" w:eastAsia="仿宋"/>
          <w:color w:val="000000"/>
          <w:sz w:val="24"/>
          <w:shd w:val="clear" w:color="auto" w:fill="FFFFFF"/>
          <w:vertAlign w:val="superscript"/>
        </w:rPr>
        <w:fldChar w:fldCharType="separate"/>
      </w:r>
      <w:r>
        <w:rPr>
          <w:rFonts w:hint="eastAsia" w:ascii="仿宋" w:hAnsi="仿宋" w:eastAsia="仿宋"/>
          <w:color w:val="000000"/>
          <w:sz w:val="24"/>
          <w:shd w:val="clear" w:color="auto" w:fill="FFFFFF"/>
          <w:vertAlign w:val="superscript"/>
        </w:rPr>
        <w:t>[2]</w:t>
      </w:r>
      <w:r>
        <w:rPr>
          <w:rFonts w:hint="eastAsia" w:ascii="仿宋" w:hAnsi="仿宋" w:eastAsia="仿宋"/>
          <w:color w:val="000000"/>
          <w:sz w:val="24"/>
          <w:shd w:val="clear" w:color="auto" w:fill="FFFFFF"/>
          <w:vertAlign w:val="superscript"/>
        </w:rPr>
        <w:fldChar w:fldCharType="end"/>
      </w:r>
      <w:r>
        <w:rPr>
          <w:rFonts w:ascii="仿宋" w:hAnsi="仿宋" w:eastAsia="仿宋"/>
          <w:color w:val="000000"/>
          <w:sz w:val="24"/>
          <w:shd w:val="clear" w:color="auto" w:fill="FFFFFF"/>
        </w:rPr>
        <w:t>。</w:t>
      </w:r>
    </w:p>
    <w:p w14:paraId="5F554B8E">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shd w:val="clear" w:color="auto" w:fill="FFFFFF"/>
        </w:rPr>
      </w:pPr>
      <w:r>
        <w:rPr>
          <w:rFonts w:ascii="仿宋" w:hAnsi="仿宋" w:eastAsia="仿宋"/>
          <w:color w:val="000000"/>
          <w:sz w:val="24"/>
          <w:shd w:val="clear" w:color="auto" w:fill="FFFFFF"/>
        </w:rPr>
        <w:t>传统离群值检测方法主要分为两类：一类是基于统计假设的方法（如 Z-score 法、四分位距法），这类方法依赖数据服从正态分布的前提假设，而医疗数据往往呈现复杂的非线性分布特征，导致检测适用性受限；另一类是基于距离或密度的方法（如 K 近邻法、DBSCAN 算法），在处理高维医疗数据时易受 “维度灾难” 影响，存在计算效率低、对参数敏感等问题。孤立森林（Isolation Forest）作为一种基于随机分割策略的无监督异常检测算法，具有无需预设数据分布、计算复杂度低、对高维数据适应性强等独特优势</w:t>
      </w:r>
      <w:r>
        <w:rPr>
          <w:rFonts w:hint="eastAsia" w:ascii="仿宋" w:hAnsi="仿宋" w:eastAsia="仿宋"/>
          <w:color w:val="000000"/>
          <w:sz w:val="24"/>
          <w:shd w:val="clear" w:color="auto" w:fill="FFFFFF"/>
          <w:vertAlign w:val="superscript"/>
        </w:rPr>
        <w:fldChar w:fldCharType="begin"/>
      </w:r>
      <w:r>
        <w:rPr>
          <w:rFonts w:hint="eastAsia" w:ascii="仿宋" w:hAnsi="仿宋" w:eastAsia="仿宋"/>
          <w:color w:val="000000"/>
          <w:sz w:val="24"/>
          <w:shd w:val="clear" w:color="auto" w:fill="FFFFFF"/>
          <w:vertAlign w:val="superscript"/>
        </w:rPr>
        <w:instrText xml:space="preserve"> </w:instrText>
      </w:r>
      <w:r>
        <w:rPr>
          <w:rFonts w:ascii="仿宋" w:hAnsi="仿宋" w:eastAsia="仿宋"/>
          <w:color w:val="000000"/>
          <w:sz w:val="24"/>
          <w:shd w:val="clear" w:color="auto" w:fill="FFFFFF"/>
          <w:vertAlign w:val="superscript"/>
        </w:rPr>
        <w:instrText xml:space="preserve">REF _Ref218631185 \r \h</w:instrText>
      </w:r>
      <w:r>
        <w:rPr>
          <w:rFonts w:hint="eastAsia" w:ascii="仿宋" w:hAnsi="仿宋" w:eastAsia="仿宋"/>
          <w:color w:val="000000"/>
          <w:sz w:val="24"/>
          <w:shd w:val="clear" w:color="auto" w:fill="FFFFFF"/>
          <w:vertAlign w:val="superscript"/>
        </w:rPr>
        <w:instrText xml:space="preserve">  \* MERGEFORMAT </w:instrText>
      </w:r>
      <w:r>
        <w:rPr>
          <w:rFonts w:hint="eastAsia" w:ascii="仿宋" w:hAnsi="仿宋" w:eastAsia="仿宋"/>
          <w:color w:val="000000"/>
          <w:sz w:val="24"/>
          <w:shd w:val="clear" w:color="auto" w:fill="FFFFFF"/>
          <w:vertAlign w:val="superscript"/>
        </w:rPr>
        <w:fldChar w:fldCharType="separate"/>
      </w:r>
      <w:r>
        <w:rPr>
          <w:rFonts w:hint="eastAsia" w:ascii="仿宋" w:hAnsi="仿宋" w:eastAsia="仿宋"/>
          <w:color w:val="000000"/>
          <w:sz w:val="24"/>
          <w:shd w:val="clear" w:color="auto" w:fill="FFFFFF"/>
          <w:vertAlign w:val="superscript"/>
        </w:rPr>
        <w:t>[3]</w:t>
      </w:r>
      <w:r>
        <w:rPr>
          <w:rFonts w:hint="eastAsia" w:ascii="仿宋" w:hAnsi="仿宋" w:eastAsia="仿宋"/>
          <w:color w:val="000000"/>
          <w:sz w:val="24"/>
          <w:shd w:val="clear" w:color="auto" w:fill="FFFFFF"/>
          <w:vertAlign w:val="superscript"/>
        </w:rPr>
        <w:fldChar w:fldCharType="end"/>
      </w:r>
      <w:r>
        <w:rPr>
          <w:rFonts w:hint="eastAsia" w:ascii="仿宋" w:hAnsi="仿宋" w:eastAsia="仿宋"/>
          <w:color w:val="000000"/>
          <w:sz w:val="24"/>
          <w:shd w:val="clear" w:color="auto" w:fill="FFFFFF"/>
        </w:rPr>
        <w:t>。</w:t>
      </w:r>
    </w:p>
    <w:p w14:paraId="5B5F81A5">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shd w:val="clear" w:color="auto" w:fill="FFFFFF"/>
        </w:rPr>
      </w:pPr>
      <w:r>
        <w:rPr>
          <w:rFonts w:ascii="仿宋" w:hAnsi="仿宋" w:eastAsia="仿宋"/>
          <w:color w:val="000000"/>
          <w:sz w:val="24"/>
          <w:shd w:val="clear" w:color="auto" w:fill="FFFFFF"/>
        </w:rPr>
        <w:t>本文在系统梳理国内外相关文献的基础上，对孤立森林及相关离群值检测方法在医疗数据清洗中的应用现状、技术演进及主要成果进行综述。从国内外两个研究维度出发，重点探讨孤立森林在算法优化、多源特征融合、临床场景适配及实际应用等方面的研究进展，总结其技术优势与现存不足，并展望未来可能的研究方向，以期为该领域的后续研究提供理论参考与方法借鉴。</w:t>
      </w:r>
    </w:p>
    <w:p w14:paraId="54559742">
      <w:pPr>
        <w:spacing w:line="480" w:lineRule="exact"/>
        <w:jc w:val="both"/>
        <w:rPr>
          <w:rFonts w:ascii="宋体" w:hAnsi="宋体"/>
          <w:b/>
          <w:bCs/>
          <w:color w:val="000000"/>
          <w:sz w:val="30"/>
          <w:szCs w:val="30"/>
          <w:shd w:val="clear" w:color="auto" w:fill="FFFFFF"/>
        </w:rPr>
      </w:pPr>
      <w:r>
        <w:rPr>
          <w:rFonts w:hint="eastAsia" w:ascii="宋体" w:hAnsi="宋体"/>
          <w:b/>
          <w:bCs/>
          <w:color w:val="000000"/>
          <w:sz w:val="30"/>
          <w:szCs w:val="30"/>
          <w:shd w:val="clear" w:color="auto" w:fill="FFFFFF"/>
        </w:rPr>
        <w:t>2.</w:t>
      </w:r>
      <w:r>
        <w:rPr>
          <w:rFonts w:ascii="宋体" w:hAnsi="宋体"/>
          <w:b/>
          <w:bCs/>
          <w:color w:val="000000"/>
          <w:sz w:val="30"/>
          <w:szCs w:val="30"/>
          <w:shd w:val="clear" w:color="auto" w:fill="FFFFFF"/>
        </w:rPr>
        <w:t xml:space="preserve"> </w:t>
      </w:r>
      <w:r>
        <w:rPr>
          <w:rFonts w:hint="eastAsia" w:ascii="宋体" w:hAnsi="宋体"/>
          <w:b/>
          <w:bCs/>
          <w:color w:val="000000"/>
          <w:sz w:val="30"/>
          <w:szCs w:val="30"/>
          <w:shd w:val="clear" w:color="auto" w:fill="FFFFFF"/>
        </w:rPr>
        <w:t>主题</w:t>
      </w:r>
    </w:p>
    <w:p w14:paraId="61B498AD">
      <w:pPr>
        <w:spacing w:line="480" w:lineRule="exact"/>
        <w:jc w:val="both"/>
        <w:rPr>
          <w:rFonts w:ascii="仿宋" w:hAnsi="仿宋" w:eastAsia="仿宋"/>
          <w:sz w:val="24"/>
        </w:rPr>
      </w:pPr>
      <w:r>
        <w:rPr>
          <w:rFonts w:hint="eastAsia" w:ascii="仿宋" w:hAnsi="仿宋" w:eastAsia="仿宋"/>
          <w:sz w:val="24"/>
        </w:rPr>
        <w:t>（一）国外研究综述</w:t>
      </w:r>
    </w:p>
    <w:p w14:paraId="64B37468">
      <w:pPr>
        <w:spacing w:line="480" w:lineRule="exact"/>
        <w:ind w:firstLine="480" w:firstLineChars="200"/>
        <w:jc w:val="both"/>
        <w:rPr>
          <w:rFonts w:ascii="仿宋" w:hAnsi="仿宋" w:eastAsia="仿宋"/>
          <w:sz w:val="24"/>
        </w:rPr>
      </w:pPr>
      <w:r>
        <w:rPr>
          <w:rFonts w:hint="eastAsia" w:ascii="仿宋" w:hAnsi="仿宋" w:eastAsia="仿宋"/>
          <w:sz w:val="24"/>
        </w:rPr>
        <w:t>国外在医疗数据离群值检测领域起步较早，已形成 “算法多元创新、质量体系完善、多源数据融合” 的成熟研究格局，在孤立森林算法优化、临床适配性验证及隐私保护等方面积累了丰富成果，为全球该领域研究提供了重要参考。</w:t>
      </w:r>
    </w:p>
    <w:p w14:paraId="4F5C7F87">
      <w:pPr>
        <w:spacing w:line="480" w:lineRule="exact"/>
        <w:ind w:firstLine="480" w:firstLineChars="200"/>
        <w:jc w:val="both"/>
        <w:rPr>
          <w:rFonts w:ascii="仿宋" w:hAnsi="仿宋" w:eastAsia="仿宋"/>
          <w:sz w:val="24"/>
        </w:rPr>
      </w:pPr>
      <w:r>
        <w:rPr>
          <w:rFonts w:ascii="仿宋" w:hAnsi="仿宋" w:eastAsia="仿宋"/>
          <w:sz w:val="24"/>
        </w:rPr>
        <w:t>Muntaha Tabassum</w:t>
      </w:r>
      <w:r>
        <w:rPr>
          <w:rFonts w:hint="eastAsia" w:ascii="仿宋" w:hAnsi="仿宋" w:eastAsia="仿宋"/>
          <w:sz w:val="24"/>
        </w:rPr>
        <w:t xml:space="preserve"> 等人基于改进的孤立森林对 ICU 患者多生理参数进行实时监测，通过优化子采样策略与树结构设计，提升了异常生命体征的识别效率 </w:t>
      </w:r>
      <w:r>
        <w:rPr>
          <w:rFonts w:hint="eastAsia" w:ascii="仿宋" w:hAnsi="仿宋" w:eastAsia="仿宋"/>
          <w:sz w:val="24"/>
          <w:vertAlign w:val="superscript"/>
        </w:rPr>
        <w:fldChar w:fldCharType="begin"/>
      </w:r>
      <w:r>
        <w:rPr>
          <w:rFonts w:hint="eastAsia" w:ascii="仿宋" w:hAnsi="仿宋" w:eastAsia="仿宋"/>
          <w:sz w:val="24"/>
          <w:vertAlign w:val="superscript"/>
        </w:rPr>
        <w:instrText xml:space="preserve"> REF _Ref218631197 \r \h  \* MERGEFORMAT </w:instrText>
      </w:r>
      <w:r>
        <w:rPr>
          <w:rFonts w:hint="eastAsia" w:ascii="仿宋" w:hAnsi="仿宋" w:eastAsia="仿宋"/>
          <w:sz w:val="24"/>
          <w:vertAlign w:val="superscript"/>
        </w:rPr>
        <w:fldChar w:fldCharType="separate"/>
      </w:r>
      <w:r>
        <w:rPr>
          <w:rFonts w:hint="eastAsia" w:ascii="仿宋" w:hAnsi="仿宋" w:eastAsia="仿宋"/>
          <w:sz w:val="24"/>
          <w:vertAlign w:val="superscript"/>
        </w:rPr>
        <w:t>[4]</w:t>
      </w:r>
      <w:r>
        <w:rPr>
          <w:rFonts w:hint="eastAsia" w:ascii="仿宋" w:hAnsi="仿宋" w:eastAsia="仿宋"/>
          <w:sz w:val="24"/>
          <w:vertAlign w:val="superscript"/>
        </w:rPr>
        <w:fldChar w:fldCharType="end"/>
      </w:r>
      <w:r>
        <w:rPr>
          <w:rFonts w:hint="eastAsia" w:ascii="仿宋" w:hAnsi="仿宋" w:eastAsia="仿宋"/>
          <w:sz w:val="24"/>
        </w:rPr>
        <w:t>。实验对比表明，处理单一维度生理指标时，传统 Z-score 方法稳定性较好；但整合多源临床数据（病史、用药记录、实验室检查结果）后，孤立森林在检测精度和计算效率上展现出显著优势，为多源医疗数据异常检测提供了实践依据。</w:t>
      </w:r>
    </w:p>
    <w:p w14:paraId="00D01511">
      <w:pPr>
        <w:spacing w:line="480" w:lineRule="exact"/>
        <w:ind w:firstLine="480" w:firstLineChars="200"/>
        <w:jc w:val="both"/>
        <w:rPr>
          <w:rFonts w:ascii="仿宋" w:hAnsi="仿宋" w:eastAsia="仿宋"/>
          <w:sz w:val="24"/>
        </w:rPr>
      </w:pPr>
      <w:r>
        <w:rPr>
          <w:rFonts w:ascii="仿宋" w:hAnsi="仿宋" w:eastAsia="仿宋"/>
          <w:sz w:val="24"/>
        </w:rPr>
        <w:t>Farbod Khanizadeh</w:t>
      </w:r>
      <w:r>
        <w:rPr>
          <w:rFonts w:hint="eastAsia" w:ascii="仿宋" w:hAnsi="仿宋" w:eastAsia="仿宋"/>
          <w:sz w:val="24"/>
        </w:rPr>
        <w:t>等人针对 ICU 患者多生理参数异常检测的复杂性，提出融合小波变换、孤立森林和注意力机制的组合模型</w:t>
      </w:r>
      <w:r>
        <w:rPr>
          <w:rFonts w:hint="eastAsia" w:ascii="仿宋" w:hAnsi="仿宋" w:eastAsia="仿宋"/>
          <w:sz w:val="24"/>
          <w:vertAlign w:val="superscript"/>
        </w:rPr>
        <w:t xml:space="preserve"> </w:t>
      </w:r>
      <w:r>
        <w:rPr>
          <w:rFonts w:hint="eastAsia" w:ascii="仿宋" w:hAnsi="仿宋" w:eastAsia="仿宋"/>
          <w:sz w:val="24"/>
          <w:vertAlign w:val="superscript"/>
        </w:rPr>
        <w:fldChar w:fldCharType="begin"/>
      </w:r>
      <w:r>
        <w:rPr>
          <w:rFonts w:hint="eastAsia" w:ascii="仿宋" w:hAnsi="仿宋" w:eastAsia="仿宋"/>
          <w:sz w:val="24"/>
          <w:vertAlign w:val="superscript"/>
        </w:rPr>
        <w:instrText xml:space="preserve"> REF _Ref218631202 \r \h  \* MERGEFORMAT </w:instrText>
      </w:r>
      <w:r>
        <w:rPr>
          <w:rFonts w:hint="eastAsia" w:ascii="仿宋" w:hAnsi="仿宋" w:eastAsia="仿宋"/>
          <w:sz w:val="24"/>
          <w:vertAlign w:val="superscript"/>
        </w:rPr>
        <w:fldChar w:fldCharType="separate"/>
      </w:r>
      <w:r>
        <w:rPr>
          <w:rFonts w:hint="eastAsia" w:ascii="仿宋" w:hAnsi="仿宋" w:eastAsia="仿宋"/>
          <w:sz w:val="24"/>
          <w:vertAlign w:val="superscript"/>
        </w:rPr>
        <w:t>[5]</w:t>
      </w:r>
      <w:r>
        <w:rPr>
          <w:rFonts w:hint="eastAsia" w:ascii="仿宋" w:hAnsi="仿宋" w:eastAsia="仿宋"/>
          <w:sz w:val="24"/>
          <w:vertAlign w:val="superscript"/>
        </w:rPr>
        <w:fldChar w:fldCharType="end"/>
      </w:r>
      <w:r>
        <w:rPr>
          <w:rFonts w:hint="eastAsia" w:ascii="仿宋" w:hAnsi="仿宋" w:eastAsia="仿宋"/>
          <w:sz w:val="24"/>
        </w:rPr>
        <w:t>。通过小波变换对生理信号进行多尺度分解，利用孤立森林对各子带信号进行初步异常检测，再通过注意力机制对不同参数的异常程度加权融合，最后采用遗传算法优化模型参数。实验结果显示，该模型在敏感度和特异性指标上显著优于传统孤立森林及其他对比算法，验证了多技术融合对提升复杂场景检测性能的有效性。</w:t>
      </w:r>
    </w:p>
    <w:p w14:paraId="2FACB178">
      <w:pPr>
        <w:spacing w:line="480" w:lineRule="exact"/>
        <w:ind w:firstLine="480" w:firstLineChars="200"/>
        <w:rPr>
          <w:rFonts w:ascii="仿宋" w:hAnsi="仿宋" w:eastAsia="仿宋"/>
          <w:sz w:val="24"/>
        </w:rPr>
      </w:pPr>
      <w:r>
        <w:rPr>
          <w:rFonts w:hint="eastAsia" w:ascii="仿宋" w:hAnsi="仿宋" w:eastAsia="仿宋"/>
          <w:sz w:val="24"/>
        </w:rPr>
        <w:t>Goldstein 与 Uchida 对多元数据无监督异常检测算法进行了系统对比，重点验证了孤立森林在高维多元数据场景下的性能优势</w:t>
      </w:r>
      <w:r>
        <w:rPr>
          <w:rFonts w:hint="eastAsia" w:ascii="仿宋" w:hAnsi="仿宋" w:eastAsia="仿宋"/>
          <w:sz w:val="24"/>
          <w:vertAlign w:val="superscript"/>
        </w:rPr>
        <w:fldChar w:fldCharType="begin"/>
      </w:r>
      <w:r>
        <w:rPr>
          <w:rFonts w:hint="eastAsia" w:ascii="仿宋" w:hAnsi="仿宋" w:eastAsia="仿宋"/>
          <w:sz w:val="24"/>
          <w:vertAlign w:val="superscript"/>
        </w:rPr>
        <w:instrText xml:space="preserve"> REF _Ref218631207 \r \h  \* MERGEFORMAT </w:instrText>
      </w:r>
      <w:r>
        <w:rPr>
          <w:rFonts w:hint="eastAsia" w:ascii="仿宋" w:hAnsi="仿宋" w:eastAsia="仿宋"/>
          <w:sz w:val="24"/>
          <w:vertAlign w:val="superscript"/>
        </w:rPr>
        <w:fldChar w:fldCharType="separate"/>
      </w:r>
      <w:r>
        <w:rPr>
          <w:rFonts w:hint="eastAsia" w:ascii="仿宋" w:hAnsi="仿宋" w:eastAsia="仿宋"/>
          <w:sz w:val="24"/>
          <w:vertAlign w:val="superscript"/>
        </w:rPr>
        <w:t>[6]</w:t>
      </w:r>
      <w:r>
        <w:rPr>
          <w:rFonts w:hint="eastAsia" w:ascii="仿宋" w:hAnsi="仿宋" w:eastAsia="仿宋"/>
          <w:sz w:val="24"/>
          <w:vertAlign w:val="superscript"/>
        </w:rPr>
        <w:fldChar w:fldCharType="end"/>
      </w:r>
      <w:r>
        <w:rPr>
          <w:rFonts w:hint="eastAsia" w:ascii="仿宋" w:hAnsi="仿宋" w:eastAsia="仿宋"/>
          <w:sz w:val="24"/>
        </w:rPr>
        <w:t>。研究采用标准化数据集进行跨算法验证，结果表明孤立森林在处理医疗多生理指标数据时，不仅检测精度高于传统统计方法和基于距离的方法，且计算效率提升 30% 以上，为孤立森林在医疗数据清洗中的应用提供了重要理论支撑。</w:t>
      </w:r>
    </w:p>
    <w:p w14:paraId="036CEA52">
      <w:pPr>
        <w:spacing w:line="480" w:lineRule="exact"/>
        <w:ind w:firstLine="480" w:firstLineChars="200"/>
        <w:rPr>
          <w:rFonts w:ascii="仿宋" w:hAnsi="仿宋" w:eastAsia="仿宋"/>
          <w:sz w:val="24"/>
        </w:rPr>
      </w:pPr>
      <w:r>
        <w:rPr>
          <w:rFonts w:ascii="仿宋" w:hAnsi="仿宋" w:eastAsia="仿宋"/>
          <w:sz w:val="24"/>
        </w:rPr>
        <w:t>Narasimhan, G. 等人针对心血管疾病预测中数据噪声影响模型稳健性的问题，提出了一种集成扩展孤立森林的预处理框架。</w:t>
      </w:r>
      <w:r>
        <w:rPr>
          <w:rFonts w:hint="eastAsia" w:ascii="仿宋" w:hAnsi="仿宋" w:eastAsia="仿宋"/>
          <w:sz w:val="24"/>
          <w:vertAlign w:val="superscript"/>
        </w:rPr>
        <w:fldChar w:fldCharType="begin"/>
      </w:r>
      <w:r>
        <w:rPr>
          <w:rFonts w:hint="eastAsia" w:ascii="仿宋" w:hAnsi="仿宋" w:eastAsia="仿宋"/>
          <w:sz w:val="24"/>
          <w:vertAlign w:val="superscript"/>
        </w:rPr>
        <w:instrText xml:space="preserve"> </w:instrText>
      </w:r>
      <w:r>
        <w:rPr>
          <w:rFonts w:ascii="仿宋" w:hAnsi="仿宋" w:eastAsia="仿宋"/>
          <w:sz w:val="24"/>
          <w:vertAlign w:val="superscript"/>
        </w:rPr>
        <w:instrText xml:space="preserve">REF _Ref218631211 \r \h</w:instrText>
      </w:r>
      <w:r>
        <w:rPr>
          <w:rFonts w:hint="eastAsia" w:ascii="仿宋" w:hAnsi="仿宋" w:eastAsia="仿宋"/>
          <w:sz w:val="24"/>
          <w:vertAlign w:val="superscript"/>
        </w:rPr>
        <w:instrText xml:space="preserve">  \* MERGEFORMAT </w:instrText>
      </w:r>
      <w:r>
        <w:rPr>
          <w:rFonts w:hint="eastAsia" w:ascii="仿宋" w:hAnsi="仿宋" w:eastAsia="仿宋"/>
          <w:sz w:val="24"/>
          <w:vertAlign w:val="superscript"/>
        </w:rPr>
        <w:fldChar w:fldCharType="separate"/>
      </w:r>
      <w:r>
        <w:rPr>
          <w:rFonts w:hint="eastAsia" w:ascii="仿宋" w:hAnsi="仿宋" w:eastAsia="仿宋"/>
          <w:sz w:val="24"/>
          <w:vertAlign w:val="superscript"/>
        </w:rPr>
        <w:t>[7]</w:t>
      </w:r>
      <w:r>
        <w:rPr>
          <w:rFonts w:hint="eastAsia" w:ascii="仿宋" w:hAnsi="仿宋" w:eastAsia="仿宋"/>
          <w:sz w:val="24"/>
          <w:vertAlign w:val="superscript"/>
        </w:rPr>
        <w:fldChar w:fldCharType="end"/>
      </w:r>
      <w:r>
        <w:rPr>
          <w:rFonts w:ascii="仿宋" w:hAnsi="仿宋" w:eastAsia="仿宋"/>
          <w:sz w:val="24"/>
        </w:rPr>
        <w:t>该研究首先采用扩展孤立森林算法对包含患者临床指标、生命体征及诊疗记录的多维数据集进行离群值检测与清洗，有效剔除了因设备误差或记录错误产生的噪声数据。清洗后的数据被输入至梯度提升决策树等预测模型进行训练。实验结果表明，经过该框架处理的数据，在多个预测模型上均取得了更高的ROC-AUC值与F1分数，显著提升了心脏病风险的识别精度与模型泛化能力。该工作不仅验证了孤立森林在复杂医疗数据清洗中的有效性，更重要的是，它将异常检测从孤立的技术环节，转变为提升下游预测任务性能的关键预处理模块，为构建端到端的、稳健的医疗人工智能分析流程提供了实证参考</w:t>
      </w:r>
      <w:r>
        <w:rPr>
          <w:rFonts w:hint="eastAsia" w:ascii="仿宋" w:hAnsi="仿宋" w:eastAsia="仿宋"/>
          <w:sz w:val="24"/>
        </w:rPr>
        <w:t>。</w:t>
      </w:r>
    </w:p>
    <w:p w14:paraId="57DEC2EE">
      <w:pPr>
        <w:spacing w:line="480" w:lineRule="exact"/>
        <w:rPr>
          <w:rFonts w:ascii="仿宋" w:hAnsi="仿宋" w:eastAsia="仿宋"/>
          <w:sz w:val="24"/>
        </w:rPr>
      </w:pPr>
      <w:r>
        <w:rPr>
          <w:rFonts w:hint="eastAsia" w:ascii="仿宋" w:hAnsi="仿宋" w:eastAsia="仿宋"/>
          <w:sz w:val="24"/>
        </w:rPr>
        <w:t>（二）国内研究综述</w:t>
      </w:r>
    </w:p>
    <w:p w14:paraId="65B6BEDD">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 w:hAnsi="仿宋" w:eastAsia="仿宋"/>
          <w:sz w:val="24"/>
        </w:rPr>
      </w:pPr>
      <w:r>
        <w:rPr>
          <w:rFonts w:hint="eastAsia" w:ascii="仿宋" w:hAnsi="仿宋" w:eastAsia="仿宋"/>
          <w:sz w:val="24"/>
        </w:rPr>
        <w:t>我国医疗数据离群值检测研究已完成从传统统计方法向智能化算法的技术转型，形成 “算法迭代优化、多源特征融合、实用系统开发” 的核心格局，孤立森林及其改进模型成为研究热点，相关成果紧密结合我国医疗数据特性，具有鲜明的本土化特色。</w:t>
      </w:r>
    </w:p>
    <w:p w14:paraId="241EFF9D">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 w:hAnsi="仿宋" w:eastAsia="仿宋"/>
          <w:sz w:val="24"/>
        </w:rPr>
      </w:pPr>
      <w:r>
        <w:rPr>
          <w:rFonts w:hint="eastAsia" w:ascii="仿宋" w:hAnsi="仿宋" w:eastAsia="仿宋"/>
          <w:sz w:val="24"/>
        </w:rPr>
        <w:t xml:space="preserve">早期研究多聚焦传统方法的改进与适配，刘丹在血压数据处理中采用改进 Z-score 法，通过动态调整阈值适配不同年龄段患者的生理差异，提升了高血压患者血压数据的离群值检测精度 </w:t>
      </w:r>
      <w:r>
        <w:rPr>
          <w:rFonts w:hint="eastAsia" w:ascii="仿宋" w:hAnsi="仿宋" w:eastAsia="仿宋"/>
          <w:sz w:val="24"/>
          <w:vertAlign w:val="superscript"/>
        </w:rPr>
        <w:fldChar w:fldCharType="begin"/>
      </w:r>
      <w:r>
        <w:rPr>
          <w:rFonts w:hint="eastAsia" w:ascii="仿宋" w:hAnsi="仿宋" w:eastAsia="仿宋"/>
          <w:sz w:val="24"/>
          <w:vertAlign w:val="superscript"/>
        </w:rPr>
        <w:instrText xml:space="preserve"> REF _Ref218631217 \r \h  \* MERGEFORMAT </w:instrText>
      </w:r>
      <w:r>
        <w:rPr>
          <w:rFonts w:hint="eastAsia" w:ascii="仿宋" w:hAnsi="仿宋" w:eastAsia="仿宋"/>
          <w:sz w:val="24"/>
          <w:vertAlign w:val="superscript"/>
        </w:rPr>
        <w:fldChar w:fldCharType="separate"/>
      </w:r>
      <w:r>
        <w:rPr>
          <w:rFonts w:hint="eastAsia" w:ascii="仿宋" w:hAnsi="仿宋" w:eastAsia="仿宋"/>
          <w:sz w:val="24"/>
          <w:vertAlign w:val="superscript"/>
        </w:rPr>
        <w:t>[8]</w:t>
      </w:r>
      <w:r>
        <w:rPr>
          <w:rFonts w:hint="eastAsia" w:ascii="仿宋" w:hAnsi="仿宋" w:eastAsia="仿宋"/>
          <w:sz w:val="24"/>
          <w:vertAlign w:val="superscript"/>
        </w:rPr>
        <w:fldChar w:fldCharType="end"/>
      </w:r>
      <w:r>
        <w:rPr>
          <w:rFonts w:hint="eastAsia" w:ascii="仿宋" w:hAnsi="仿宋" w:eastAsia="仿宋"/>
          <w:sz w:val="24"/>
        </w:rPr>
        <w:t xml:space="preserve">；吴金娥等人提出结合反向 K 近邻算法与统计方法的异常检测方案，用于电子健康记录数据清洗，一定程度上缓解了单一方法的局限性 </w:t>
      </w:r>
      <w:r>
        <w:rPr>
          <w:rFonts w:hint="eastAsia" w:ascii="仿宋" w:hAnsi="仿宋" w:eastAsia="仿宋"/>
          <w:sz w:val="24"/>
          <w:vertAlign w:val="superscript"/>
        </w:rPr>
        <w:fldChar w:fldCharType="begin"/>
      </w:r>
      <w:r>
        <w:rPr>
          <w:rFonts w:hint="eastAsia" w:ascii="仿宋" w:hAnsi="仿宋" w:eastAsia="仿宋"/>
          <w:sz w:val="24"/>
          <w:vertAlign w:val="superscript"/>
        </w:rPr>
        <w:instrText xml:space="preserve"> REF _Ref218631220 \r \h  \* MERGEFORMAT </w:instrText>
      </w:r>
      <w:r>
        <w:rPr>
          <w:rFonts w:hint="eastAsia" w:ascii="仿宋" w:hAnsi="仿宋" w:eastAsia="仿宋"/>
          <w:sz w:val="24"/>
          <w:vertAlign w:val="superscript"/>
        </w:rPr>
        <w:fldChar w:fldCharType="separate"/>
      </w:r>
      <w:r>
        <w:rPr>
          <w:rFonts w:hint="eastAsia" w:ascii="仿宋" w:hAnsi="仿宋" w:eastAsia="仿宋"/>
          <w:sz w:val="24"/>
          <w:vertAlign w:val="superscript"/>
        </w:rPr>
        <w:t>[9]</w:t>
      </w:r>
      <w:r>
        <w:rPr>
          <w:rFonts w:hint="eastAsia" w:ascii="仿宋" w:hAnsi="仿宋" w:eastAsia="仿宋"/>
          <w:sz w:val="24"/>
          <w:vertAlign w:val="superscript"/>
        </w:rPr>
        <w:fldChar w:fldCharType="end"/>
      </w:r>
      <w:r>
        <w:rPr>
          <w:rFonts w:hint="eastAsia" w:ascii="仿宋" w:hAnsi="仿宋" w:eastAsia="仿宋"/>
          <w:sz w:val="24"/>
        </w:rPr>
        <w:t>，但这类方法仍受限于数据分布假设，难以适配高维、非线性医疗数据。</w:t>
      </w:r>
    </w:p>
    <w:p w14:paraId="0C0D8CBF">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 w:hAnsi="仿宋" w:eastAsia="仿宋"/>
          <w:sz w:val="24"/>
        </w:rPr>
      </w:pPr>
      <w:r>
        <w:rPr>
          <w:rFonts w:hint="eastAsia" w:ascii="仿宋" w:hAnsi="仿宋" w:eastAsia="仿宋"/>
          <w:sz w:val="24"/>
        </w:rPr>
        <w:t>随着机器学习技术的普及，孤立森林的优化与应用成为研究重点。广东工业大学提出的医学影像异常检测系统，基于改进孤立森林优化采样策略与树结构设计，有效提升了医学影像数据中异常区域的检测效率与特异度</w:t>
      </w:r>
      <w:r>
        <w:rPr>
          <w:rFonts w:hint="eastAsia" w:ascii="仿宋" w:hAnsi="仿宋" w:eastAsia="仿宋"/>
          <w:sz w:val="24"/>
          <w:vertAlign w:val="superscript"/>
        </w:rPr>
        <w:t xml:space="preserve"> </w:t>
      </w:r>
      <w:r>
        <w:rPr>
          <w:rFonts w:hint="eastAsia" w:ascii="仿宋" w:hAnsi="仿宋" w:eastAsia="仿宋"/>
          <w:sz w:val="24"/>
          <w:vertAlign w:val="superscript"/>
        </w:rPr>
        <w:fldChar w:fldCharType="begin"/>
      </w:r>
      <w:r>
        <w:rPr>
          <w:rFonts w:hint="eastAsia" w:ascii="仿宋" w:hAnsi="仿宋" w:eastAsia="仿宋"/>
          <w:sz w:val="24"/>
          <w:vertAlign w:val="superscript"/>
        </w:rPr>
        <w:instrText xml:space="preserve"> REF _Ref218631224 \r \h  \* MERGEFORMAT </w:instrText>
      </w:r>
      <w:r>
        <w:rPr>
          <w:rFonts w:hint="eastAsia" w:ascii="仿宋" w:hAnsi="仿宋" w:eastAsia="仿宋"/>
          <w:sz w:val="24"/>
          <w:vertAlign w:val="superscript"/>
        </w:rPr>
        <w:fldChar w:fldCharType="separate"/>
      </w:r>
      <w:r>
        <w:rPr>
          <w:rFonts w:hint="eastAsia" w:ascii="仿宋" w:hAnsi="仿宋" w:eastAsia="仿宋"/>
          <w:sz w:val="24"/>
          <w:vertAlign w:val="superscript"/>
        </w:rPr>
        <w:t>[10]</w:t>
      </w:r>
      <w:r>
        <w:rPr>
          <w:rFonts w:hint="eastAsia" w:ascii="仿宋" w:hAnsi="仿宋" w:eastAsia="仿宋"/>
          <w:sz w:val="24"/>
          <w:vertAlign w:val="superscript"/>
        </w:rPr>
        <w:fldChar w:fldCharType="end"/>
      </w:r>
      <w:r>
        <w:rPr>
          <w:rFonts w:hint="eastAsia" w:ascii="仿宋" w:hAnsi="仿宋" w:eastAsia="仿宋"/>
          <w:sz w:val="24"/>
        </w:rPr>
        <w:t xml:space="preserve">；何泊在糖尿病病情预测研究中，将临床知识图谱与孤立森林结合，先通过知识图谱筛选具有临床意义的特征，再输入模型进行血糖数据异常检测，最终将误报率控制在 5% 以下 </w:t>
      </w:r>
      <w:r>
        <w:rPr>
          <w:rFonts w:hint="eastAsia" w:ascii="仿宋" w:hAnsi="仿宋" w:eastAsia="仿宋"/>
          <w:sz w:val="24"/>
          <w:vertAlign w:val="superscript"/>
        </w:rPr>
        <w:fldChar w:fldCharType="begin"/>
      </w:r>
      <w:r>
        <w:rPr>
          <w:rFonts w:hint="eastAsia" w:ascii="仿宋" w:hAnsi="仿宋" w:eastAsia="仿宋"/>
          <w:sz w:val="24"/>
          <w:vertAlign w:val="superscript"/>
        </w:rPr>
        <w:instrText xml:space="preserve"> REF _Ref218631228 \r \h  \* MERGEFORMAT </w:instrText>
      </w:r>
      <w:r>
        <w:rPr>
          <w:rFonts w:hint="eastAsia" w:ascii="仿宋" w:hAnsi="仿宋" w:eastAsia="仿宋"/>
          <w:sz w:val="24"/>
          <w:vertAlign w:val="superscript"/>
        </w:rPr>
        <w:fldChar w:fldCharType="separate"/>
      </w:r>
      <w:r>
        <w:rPr>
          <w:rFonts w:hint="eastAsia" w:ascii="仿宋" w:hAnsi="仿宋" w:eastAsia="仿宋"/>
          <w:sz w:val="24"/>
          <w:vertAlign w:val="superscript"/>
        </w:rPr>
        <w:t>[11]</w:t>
      </w:r>
      <w:r>
        <w:rPr>
          <w:rFonts w:hint="eastAsia" w:ascii="仿宋" w:hAnsi="仿宋" w:eastAsia="仿宋"/>
          <w:sz w:val="24"/>
          <w:vertAlign w:val="superscript"/>
        </w:rPr>
        <w:fldChar w:fldCharType="end"/>
      </w:r>
      <w:r>
        <w:rPr>
          <w:rFonts w:hint="eastAsia" w:ascii="仿宋" w:hAnsi="仿宋" w:eastAsia="仿宋"/>
          <w:sz w:val="24"/>
        </w:rPr>
        <w:t>，为孤立森林在特定病种数据清洗中的应用提供了有益参考。</w:t>
      </w:r>
    </w:p>
    <w:p w14:paraId="181F384F">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 w:hAnsi="仿宋" w:eastAsia="仿宋"/>
          <w:sz w:val="24"/>
        </w:rPr>
      </w:pPr>
      <w:r>
        <w:rPr>
          <w:rFonts w:hint="eastAsia" w:ascii="仿宋" w:hAnsi="仿宋" w:eastAsia="仿宋"/>
          <w:sz w:val="24"/>
        </w:rPr>
        <w:t xml:space="preserve">多源数据融合成为提升检测性能的重要方向，姚畅等人构建融合电子病历文本特征与生理指标数据的多源异常检测模型，利用医学大模型的特征提取能力挖掘文本中的隐藏信息，显著提升了复杂病例的异常识别精度 </w:t>
      </w:r>
      <w:r>
        <w:rPr>
          <w:rFonts w:hint="eastAsia" w:ascii="仿宋" w:hAnsi="仿宋" w:eastAsia="仿宋"/>
          <w:sz w:val="24"/>
          <w:vertAlign w:val="superscript"/>
        </w:rPr>
        <w:fldChar w:fldCharType="begin"/>
      </w:r>
      <w:r>
        <w:rPr>
          <w:rFonts w:hint="eastAsia" w:ascii="仿宋" w:hAnsi="仿宋" w:eastAsia="仿宋"/>
          <w:sz w:val="24"/>
          <w:vertAlign w:val="superscript"/>
        </w:rPr>
        <w:instrText xml:space="preserve"> REF _Ref218631232 \r \h  \* MERGEFORMAT </w:instrText>
      </w:r>
      <w:r>
        <w:rPr>
          <w:rFonts w:hint="eastAsia" w:ascii="仿宋" w:hAnsi="仿宋" w:eastAsia="仿宋"/>
          <w:sz w:val="24"/>
          <w:vertAlign w:val="superscript"/>
        </w:rPr>
        <w:fldChar w:fldCharType="separate"/>
      </w:r>
      <w:r>
        <w:rPr>
          <w:rFonts w:hint="eastAsia" w:ascii="仿宋" w:hAnsi="仿宋" w:eastAsia="仿宋"/>
          <w:sz w:val="24"/>
          <w:vertAlign w:val="superscript"/>
        </w:rPr>
        <w:t>[12]</w:t>
      </w:r>
      <w:r>
        <w:rPr>
          <w:rFonts w:hint="eastAsia" w:ascii="仿宋" w:hAnsi="仿宋" w:eastAsia="仿宋"/>
          <w:sz w:val="24"/>
          <w:vertAlign w:val="superscript"/>
        </w:rPr>
        <w:fldChar w:fldCharType="end"/>
      </w:r>
      <w:r>
        <w:rPr>
          <w:rFonts w:hint="eastAsia" w:ascii="仿宋" w:hAnsi="仿宋" w:eastAsia="仿宋"/>
          <w:sz w:val="24"/>
        </w:rPr>
        <w:t>，印证了多维度数据融合在医疗数据清洗中的有效性。</w:t>
      </w:r>
      <w:r>
        <w:rPr>
          <w:rFonts w:ascii="仿宋" w:hAnsi="仿宋" w:eastAsia="仿宋"/>
          <w:sz w:val="24"/>
        </w:rPr>
        <w:t>汤伟</w:t>
      </w:r>
      <w:r>
        <w:rPr>
          <w:rFonts w:ascii="Calibri" w:hAnsi="Calibri" w:eastAsia="仿宋" w:cs="Calibri"/>
          <w:sz w:val="24"/>
          <w:vertAlign w:val="superscript"/>
        </w:rPr>
        <w:t> </w:t>
      </w:r>
      <w:r>
        <w:rPr>
          <w:rFonts w:hint="eastAsia" w:ascii="仿宋" w:hAnsi="仿宋" w:eastAsia="仿宋"/>
          <w:sz w:val="24"/>
        </w:rPr>
        <w:t>在多源数据异常检测研究中，系统探索了不同算法在医疗数据场景下的适配性，为孤立森林与多源特征的融合提供了理论依据</w:t>
      </w:r>
      <w:r>
        <w:rPr>
          <w:rFonts w:hint="eastAsia" w:ascii="仿宋" w:hAnsi="仿宋" w:eastAsia="仿宋"/>
          <w:sz w:val="24"/>
          <w:vertAlign w:val="superscript"/>
        </w:rPr>
        <w:fldChar w:fldCharType="begin"/>
      </w:r>
      <w:r>
        <w:rPr>
          <w:rFonts w:hint="eastAsia" w:ascii="仿宋" w:hAnsi="仿宋" w:eastAsia="仿宋"/>
          <w:sz w:val="24"/>
          <w:vertAlign w:val="superscript"/>
        </w:rPr>
        <w:instrText xml:space="preserve"> REF _Ref218631236 \r \h  \* MERGEFORMAT </w:instrText>
      </w:r>
      <w:r>
        <w:rPr>
          <w:rFonts w:hint="eastAsia" w:ascii="仿宋" w:hAnsi="仿宋" w:eastAsia="仿宋"/>
          <w:sz w:val="24"/>
          <w:vertAlign w:val="superscript"/>
        </w:rPr>
        <w:fldChar w:fldCharType="separate"/>
      </w:r>
      <w:r>
        <w:rPr>
          <w:rFonts w:hint="eastAsia" w:ascii="仿宋" w:hAnsi="仿宋" w:eastAsia="仿宋"/>
          <w:sz w:val="24"/>
          <w:vertAlign w:val="superscript"/>
        </w:rPr>
        <w:t>[13]</w:t>
      </w:r>
      <w:r>
        <w:rPr>
          <w:rFonts w:hint="eastAsia" w:ascii="仿宋" w:hAnsi="仿宋" w:eastAsia="仿宋"/>
          <w:sz w:val="24"/>
          <w:vertAlign w:val="superscript"/>
        </w:rPr>
        <w:fldChar w:fldCharType="end"/>
      </w:r>
      <w:r>
        <w:rPr>
          <w:rFonts w:hint="eastAsia" w:ascii="仿宋" w:hAnsi="仿宋" w:eastAsia="仿宋"/>
          <w:sz w:val="24"/>
        </w:rPr>
        <w:t>。</w:t>
      </w:r>
    </w:p>
    <w:p w14:paraId="614AC5A3">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 w:hAnsi="仿宋" w:eastAsia="仿宋"/>
          <w:sz w:val="24"/>
        </w:rPr>
      </w:pPr>
      <w:r>
        <w:rPr>
          <w:rFonts w:ascii="仿宋" w:hAnsi="仿宋" w:eastAsia="仿宋"/>
          <w:sz w:val="24"/>
        </w:rPr>
        <w:t xml:space="preserve">在工程化应用方面，刘巍团队聚焦医疗数据清洗的效率痛点，依托孤立森林算法的高维适配性与低计算复杂度，搭建了面向医疗机构的电子健康记录自动化清洗平台。该平台将孤立森林的离群值检测流程与电子病历系统（EMR）深度对接，可自动拉取患者的病史、检验指标、用药记录等多源数据，通过可视化交互界面分类呈现 “设备误差型”“录入错误型”“疑似病理型” 等不同类别的异常检测结果，同时支持医护人员对存疑数据进行一键复核与标注。实际应用数据显示，该平台将单份电子健康记录的人工核查时长从平均 15 分钟压缩至 2 分钟内，人力成本削减超 80%，目前已在国内 30 余家二级及以上医院的病案管理部门投入使用 </w:t>
      </w:r>
      <w:r>
        <w:rPr>
          <w:rFonts w:hint="eastAsia" w:ascii="仿宋" w:hAnsi="仿宋" w:eastAsia="仿宋"/>
          <w:sz w:val="24"/>
          <w:vertAlign w:val="superscript"/>
        </w:rPr>
        <w:fldChar w:fldCharType="begin"/>
      </w:r>
      <w:r>
        <w:rPr>
          <w:rFonts w:hint="eastAsia" w:ascii="仿宋" w:hAnsi="仿宋" w:eastAsia="仿宋"/>
          <w:sz w:val="24"/>
          <w:vertAlign w:val="superscript"/>
        </w:rPr>
        <w:instrText xml:space="preserve"> </w:instrText>
      </w:r>
      <w:r>
        <w:rPr>
          <w:rFonts w:ascii="仿宋" w:hAnsi="仿宋" w:eastAsia="仿宋"/>
          <w:sz w:val="24"/>
          <w:vertAlign w:val="superscript"/>
        </w:rPr>
        <w:instrText xml:space="preserve">REF _Ref218631242 \r \h</w:instrText>
      </w:r>
      <w:r>
        <w:rPr>
          <w:rFonts w:hint="eastAsia" w:ascii="仿宋" w:hAnsi="仿宋" w:eastAsia="仿宋"/>
          <w:sz w:val="24"/>
          <w:vertAlign w:val="superscript"/>
        </w:rPr>
        <w:instrText xml:space="preserve">  \* MERGEFORMAT </w:instrText>
      </w:r>
      <w:r>
        <w:rPr>
          <w:rFonts w:hint="eastAsia" w:ascii="仿宋" w:hAnsi="仿宋" w:eastAsia="仿宋"/>
          <w:sz w:val="24"/>
          <w:vertAlign w:val="superscript"/>
        </w:rPr>
        <w:fldChar w:fldCharType="separate"/>
      </w:r>
      <w:r>
        <w:rPr>
          <w:rFonts w:hint="eastAsia" w:ascii="仿宋" w:hAnsi="仿宋" w:eastAsia="仿宋"/>
          <w:sz w:val="24"/>
          <w:vertAlign w:val="superscript"/>
        </w:rPr>
        <w:t>[14]</w:t>
      </w:r>
      <w:r>
        <w:rPr>
          <w:rFonts w:hint="eastAsia" w:ascii="仿宋" w:hAnsi="仿宋" w:eastAsia="仿宋"/>
          <w:sz w:val="24"/>
          <w:vertAlign w:val="superscript"/>
        </w:rPr>
        <w:fldChar w:fldCharType="end"/>
      </w:r>
      <w:r>
        <w:rPr>
          <w:rFonts w:ascii="仿宋" w:hAnsi="仿宋" w:eastAsia="仿宋"/>
          <w:sz w:val="24"/>
        </w:rPr>
        <w:t>。</w:t>
      </w:r>
    </w:p>
    <w:p w14:paraId="1A5A34B2">
      <w:pPr>
        <w:spacing w:line="480" w:lineRule="exact"/>
        <w:rPr>
          <w:rFonts w:ascii="宋体" w:hAnsi="宋体"/>
          <w:sz w:val="24"/>
        </w:rPr>
      </w:pPr>
      <w:r>
        <w:rPr>
          <w:rFonts w:ascii="宋体" w:hAnsi="宋体"/>
          <w:b/>
          <w:bCs/>
          <w:color w:val="000000"/>
          <w:sz w:val="30"/>
          <w:szCs w:val="30"/>
          <w:shd w:val="clear" w:color="auto" w:fill="FFFFFF"/>
        </w:rPr>
        <w:t>3.</w:t>
      </w:r>
      <w:r>
        <w:rPr>
          <w:rFonts w:hint="eastAsia" w:ascii="宋体" w:hAnsi="宋体"/>
          <w:b/>
          <w:bCs/>
          <w:color w:val="000000"/>
          <w:sz w:val="30"/>
          <w:szCs w:val="30"/>
          <w:shd w:val="clear" w:color="auto" w:fill="FFFFFF"/>
        </w:rPr>
        <w:t>总结</w:t>
      </w:r>
    </w:p>
    <w:p w14:paraId="180A19F9">
      <w:pPr>
        <w:keepNext w:val="0"/>
        <w:keepLines w:val="0"/>
        <w:pageBreakBefore w:val="0"/>
        <w:kinsoku/>
        <w:wordWrap/>
        <w:overflowPunct/>
        <w:topLinePunct w:val="0"/>
        <w:autoSpaceDE/>
        <w:autoSpaceDN/>
        <w:bidi w:val="0"/>
        <w:adjustRightInd/>
        <w:snapToGrid/>
        <w:spacing w:line="480" w:lineRule="atLeast"/>
        <w:ind w:firstLine="480" w:firstLineChars="200"/>
        <w:textAlignment w:val="auto"/>
        <w:rPr>
          <w:rFonts w:ascii="仿宋" w:hAnsi="仿宋" w:eastAsia="仿宋"/>
          <w:b/>
          <w:bCs/>
          <w:color w:val="000000"/>
          <w:sz w:val="30"/>
          <w:szCs w:val="30"/>
          <w:shd w:val="clear" w:color="auto" w:fill="FFFFFF"/>
        </w:rPr>
      </w:pPr>
      <w:r>
        <w:rPr>
          <w:rFonts w:ascii="仿宋" w:hAnsi="仿宋" w:eastAsia="仿宋" w:cs="Arial"/>
          <w:color w:val="1F2329"/>
          <w:kern w:val="0"/>
          <w:sz w:val="24"/>
        </w:rPr>
        <w:t>总体来看，医疗数据清洗中的离群值检测研究已在国内外形成较为丰富的技术积累与方法体系，呈现出从传统统计方法向智能算法主导、从单一数据处理向多源融合、从统计评估向临床验证延伸的发展趋势。孤立森林凭借无需分布假设、计算高效、适配高维数据等优势，成为医疗数据离群值检测的优选算法之一，在医学影像异常检测、糖尿病血糖数据清洗、ICU 生理参数监测等场景中已取得初步应用成果。</w:t>
      </w:r>
    </w:p>
    <w:p w14:paraId="56932E5C">
      <w:pPr>
        <w:keepNext w:val="0"/>
        <w:keepLines w:val="0"/>
        <w:pageBreakBefore w:val="0"/>
        <w:widowControl/>
        <w:kinsoku/>
        <w:wordWrap/>
        <w:overflowPunct/>
        <w:topLinePunct w:val="0"/>
        <w:autoSpaceDE/>
        <w:autoSpaceDN/>
        <w:bidi w:val="0"/>
        <w:adjustRightInd/>
        <w:snapToGrid/>
        <w:spacing w:line="480" w:lineRule="atLeast"/>
        <w:ind w:firstLine="480" w:firstLineChars="200"/>
        <w:textAlignment w:val="auto"/>
        <w:rPr>
          <w:rFonts w:ascii="仿宋" w:hAnsi="仿宋" w:eastAsia="仿宋" w:cs="Arial"/>
          <w:color w:val="1F2329"/>
          <w:kern w:val="0"/>
          <w:sz w:val="24"/>
        </w:rPr>
      </w:pPr>
      <w:r>
        <w:rPr>
          <w:rFonts w:ascii="仿宋" w:hAnsi="仿宋" w:eastAsia="仿宋" w:cs="Arial"/>
          <w:color w:val="1F2329"/>
          <w:kern w:val="0"/>
          <w:sz w:val="24"/>
        </w:rPr>
        <w:t>国外研究较早构建了完整的技术体系，在算法创新、多源数据融合及隐私保护方面具有显著优势，其临床符合性验证框架与标准化评估体系为国内研究提供了重要参考；国内研究则紧密结合我国医疗数据特性，在算法本土化优化、工程化落地及特定病种适配方面进展突出，形成了具有本土特色的技术路径。</w:t>
      </w:r>
    </w:p>
    <w:p w14:paraId="67667582">
      <w:pPr>
        <w:keepNext w:val="0"/>
        <w:keepLines w:val="0"/>
        <w:pageBreakBefore w:val="0"/>
        <w:widowControl/>
        <w:kinsoku/>
        <w:wordWrap/>
        <w:overflowPunct/>
        <w:topLinePunct w:val="0"/>
        <w:autoSpaceDE/>
        <w:autoSpaceDN/>
        <w:bidi w:val="0"/>
        <w:adjustRightInd/>
        <w:snapToGrid/>
        <w:spacing w:line="480" w:lineRule="atLeast"/>
        <w:ind w:firstLine="480" w:firstLineChars="200"/>
        <w:textAlignment w:val="auto"/>
        <w:rPr>
          <w:rFonts w:ascii="仿宋" w:hAnsi="仿宋" w:eastAsia="仿宋" w:cs="Arial"/>
          <w:color w:val="1F2329"/>
          <w:kern w:val="0"/>
          <w:sz w:val="24"/>
        </w:rPr>
      </w:pPr>
      <w:r>
        <w:rPr>
          <w:rFonts w:ascii="仿宋" w:hAnsi="仿宋" w:eastAsia="仿宋" w:cs="Arial"/>
          <w:color w:val="1F2329"/>
          <w:kern w:val="0"/>
          <w:sz w:val="24"/>
        </w:rPr>
        <w:t>然而，现有研究仍存在若干局限性：其一，算法可解释性不足，孤立森林的随机分割机制导致检测结果缺乏明确的医学逻辑支撑，难以满足临床场景对过程可追溯、结果可解释的需求</w:t>
      </w:r>
      <w:r>
        <w:rPr>
          <w:rFonts w:ascii="仿宋" w:hAnsi="仿宋" w:eastAsia="仿宋" w:cs="Arial"/>
          <w:color w:val="1F2329"/>
          <w:kern w:val="0"/>
          <w:sz w:val="24"/>
          <w:vertAlign w:val="superscript"/>
        </w:rPr>
        <w:t xml:space="preserve"> </w:t>
      </w:r>
      <w:r>
        <w:rPr>
          <w:rFonts w:hint="eastAsia" w:ascii="仿宋" w:hAnsi="仿宋" w:eastAsia="仿宋" w:cs="Arial"/>
          <w:color w:val="1F2329"/>
          <w:kern w:val="0"/>
          <w:sz w:val="24"/>
          <w:vertAlign w:val="superscript"/>
        </w:rPr>
        <w:fldChar w:fldCharType="begin"/>
      </w:r>
      <w:r>
        <w:rPr>
          <w:rFonts w:hint="eastAsia" w:ascii="仿宋" w:hAnsi="仿宋" w:eastAsia="仿宋" w:cs="Arial"/>
          <w:color w:val="1F2329"/>
          <w:kern w:val="0"/>
          <w:sz w:val="24"/>
          <w:vertAlign w:val="superscript"/>
        </w:rPr>
        <w:instrText xml:space="preserve"> </w:instrText>
      </w:r>
      <w:r>
        <w:rPr>
          <w:rFonts w:ascii="仿宋" w:hAnsi="仿宋" w:eastAsia="仿宋" w:cs="Arial"/>
          <w:color w:val="1F2329"/>
          <w:kern w:val="0"/>
          <w:sz w:val="24"/>
          <w:vertAlign w:val="superscript"/>
        </w:rPr>
        <w:instrText xml:space="preserve">REF _Ref218631248 \r \h</w:instrText>
      </w:r>
      <w:r>
        <w:rPr>
          <w:rFonts w:hint="eastAsia" w:ascii="仿宋" w:hAnsi="仿宋" w:eastAsia="仿宋" w:cs="Arial"/>
          <w:color w:val="1F2329"/>
          <w:kern w:val="0"/>
          <w:sz w:val="24"/>
          <w:vertAlign w:val="superscript"/>
        </w:rPr>
        <w:instrText xml:space="preserve">  \* MERGEFORMAT </w:instrText>
      </w:r>
      <w:r>
        <w:rPr>
          <w:rFonts w:hint="eastAsia" w:ascii="仿宋" w:hAnsi="仿宋" w:eastAsia="仿宋" w:cs="Arial"/>
          <w:color w:val="1F2329"/>
          <w:kern w:val="0"/>
          <w:sz w:val="24"/>
          <w:vertAlign w:val="superscript"/>
        </w:rPr>
        <w:fldChar w:fldCharType="separate"/>
      </w:r>
      <w:r>
        <w:rPr>
          <w:rFonts w:hint="eastAsia" w:ascii="仿宋" w:hAnsi="仿宋" w:eastAsia="仿宋" w:cs="Arial"/>
          <w:color w:val="1F2329"/>
          <w:kern w:val="0"/>
          <w:sz w:val="24"/>
          <w:vertAlign w:val="superscript"/>
        </w:rPr>
        <w:t>[15]</w:t>
      </w:r>
      <w:r>
        <w:rPr>
          <w:rFonts w:hint="eastAsia" w:ascii="仿宋" w:hAnsi="仿宋" w:eastAsia="仿宋" w:cs="Arial"/>
          <w:color w:val="1F2329"/>
          <w:kern w:val="0"/>
          <w:sz w:val="24"/>
          <w:vertAlign w:val="superscript"/>
        </w:rPr>
        <w:fldChar w:fldCharType="end"/>
      </w:r>
      <w:r>
        <w:rPr>
          <w:rFonts w:ascii="仿宋" w:hAnsi="仿宋" w:eastAsia="仿宋" w:cs="Arial"/>
          <w:color w:val="1F2329"/>
          <w:kern w:val="0"/>
          <w:sz w:val="24"/>
        </w:rPr>
        <w:t xml:space="preserve">；其二，医学符合性验证机制不完善，多数研究采用准确率、召回率等通用统计指标，忽视了医疗数据的临床特性，检测结果与诊疗指南的一致性有待提升 </w:t>
      </w:r>
      <w:r>
        <w:rPr>
          <w:rFonts w:hint="eastAsia" w:ascii="仿宋" w:hAnsi="仿宋" w:eastAsia="仿宋" w:cs="Arial"/>
          <w:color w:val="1F2329"/>
          <w:kern w:val="0"/>
          <w:sz w:val="24"/>
          <w:vertAlign w:val="superscript"/>
        </w:rPr>
        <w:fldChar w:fldCharType="begin"/>
      </w:r>
      <w:r>
        <w:rPr>
          <w:rFonts w:hint="eastAsia" w:ascii="仿宋" w:hAnsi="仿宋" w:eastAsia="仿宋" w:cs="Arial"/>
          <w:color w:val="1F2329"/>
          <w:kern w:val="0"/>
          <w:sz w:val="24"/>
          <w:vertAlign w:val="superscript"/>
        </w:rPr>
        <w:instrText xml:space="preserve"> </w:instrText>
      </w:r>
      <w:r>
        <w:rPr>
          <w:rFonts w:ascii="仿宋" w:hAnsi="仿宋" w:eastAsia="仿宋" w:cs="Arial"/>
          <w:color w:val="1F2329"/>
          <w:kern w:val="0"/>
          <w:sz w:val="24"/>
          <w:vertAlign w:val="superscript"/>
        </w:rPr>
        <w:instrText xml:space="preserve">REF _Ref218631251 \r \h</w:instrText>
      </w:r>
      <w:r>
        <w:rPr>
          <w:rFonts w:hint="eastAsia" w:ascii="仿宋" w:hAnsi="仿宋" w:eastAsia="仿宋" w:cs="Arial"/>
          <w:color w:val="1F2329"/>
          <w:kern w:val="0"/>
          <w:sz w:val="24"/>
          <w:vertAlign w:val="superscript"/>
        </w:rPr>
        <w:instrText xml:space="preserve">  \* MERGEFORMAT </w:instrText>
      </w:r>
      <w:r>
        <w:rPr>
          <w:rFonts w:hint="eastAsia" w:ascii="仿宋" w:hAnsi="仿宋" w:eastAsia="仿宋" w:cs="Arial"/>
          <w:color w:val="1F2329"/>
          <w:kern w:val="0"/>
          <w:sz w:val="24"/>
          <w:vertAlign w:val="superscript"/>
        </w:rPr>
        <w:fldChar w:fldCharType="separate"/>
      </w:r>
      <w:r>
        <w:rPr>
          <w:rFonts w:hint="eastAsia" w:ascii="仿宋" w:hAnsi="仿宋" w:eastAsia="仿宋" w:cs="Arial"/>
          <w:color w:val="1F2329"/>
          <w:kern w:val="0"/>
          <w:sz w:val="24"/>
          <w:vertAlign w:val="superscript"/>
        </w:rPr>
        <w:t>[16]</w:t>
      </w:r>
      <w:r>
        <w:rPr>
          <w:rFonts w:hint="eastAsia" w:ascii="仿宋" w:hAnsi="仿宋" w:eastAsia="仿宋" w:cs="Arial"/>
          <w:color w:val="1F2329"/>
          <w:kern w:val="0"/>
          <w:sz w:val="24"/>
          <w:vertAlign w:val="superscript"/>
        </w:rPr>
        <w:fldChar w:fldCharType="end"/>
      </w:r>
      <w:r>
        <w:rPr>
          <w:rFonts w:ascii="仿宋" w:hAnsi="仿宋" w:eastAsia="仿宋" w:cs="Arial"/>
          <w:color w:val="1F2329"/>
          <w:kern w:val="0"/>
          <w:sz w:val="24"/>
        </w:rPr>
        <w:t>；其三，多源数据融合适配性有限，现有模型对多模态数据的融合处理能力不足，难以充分利用文本、影像等非结构化数据提升检测精度</w:t>
      </w:r>
      <w:r>
        <w:rPr>
          <w:rFonts w:hint="eastAsia" w:ascii="仿宋" w:hAnsi="仿宋" w:eastAsia="仿宋" w:cs="Arial"/>
          <w:color w:val="1F2329"/>
          <w:kern w:val="0"/>
          <w:sz w:val="24"/>
          <w:vertAlign w:val="superscript"/>
        </w:rPr>
        <w:fldChar w:fldCharType="begin"/>
      </w:r>
      <w:r>
        <w:rPr>
          <w:rFonts w:hint="eastAsia" w:ascii="仿宋" w:hAnsi="仿宋" w:eastAsia="仿宋" w:cs="Arial"/>
          <w:color w:val="1F2329"/>
          <w:kern w:val="0"/>
          <w:sz w:val="24"/>
          <w:vertAlign w:val="superscript"/>
        </w:rPr>
        <w:instrText xml:space="preserve"> </w:instrText>
      </w:r>
      <w:r>
        <w:rPr>
          <w:rFonts w:ascii="仿宋" w:hAnsi="仿宋" w:eastAsia="仿宋" w:cs="Arial"/>
          <w:color w:val="1F2329"/>
          <w:kern w:val="0"/>
          <w:sz w:val="24"/>
          <w:vertAlign w:val="superscript"/>
        </w:rPr>
        <w:instrText xml:space="preserve">REF _Ref218631255 \r \h</w:instrText>
      </w:r>
      <w:r>
        <w:rPr>
          <w:rFonts w:hint="eastAsia" w:ascii="仿宋" w:hAnsi="仿宋" w:eastAsia="仿宋" w:cs="Arial"/>
          <w:color w:val="1F2329"/>
          <w:kern w:val="0"/>
          <w:sz w:val="24"/>
          <w:vertAlign w:val="superscript"/>
        </w:rPr>
        <w:instrText xml:space="preserve">  \* MERGEFORMAT </w:instrText>
      </w:r>
      <w:r>
        <w:rPr>
          <w:rFonts w:hint="eastAsia" w:ascii="仿宋" w:hAnsi="仿宋" w:eastAsia="仿宋" w:cs="Arial"/>
          <w:color w:val="1F2329"/>
          <w:kern w:val="0"/>
          <w:sz w:val="24"/>
          <w:vertAlign w:val="superscript"/>
        </w:rPr>
        <w:fldChar w:fldCharType="separate"/>
      </w:r>
      <w:r>
        <w:rPr>
          <w:rFonts w:hint="eastAsia" w:ascii="仿宋" w:hAnsi="仿宋" w:eastAsia="仿宋" w:cs="Arial"/>
          <w:color w:val="1F2329"/>
          <w:kern w:val="0"/>
          <w:sz w:val="24"/>
          <w:vertAlign w:val="superscript"/>
        </w:rPr>
        <w:t>[17]</w:t>
      </w:r>
      <w:r>
        <w:rPr>
          <w:rFonts w:hint="eastAsia" w:ascii="仿宋" w:hAnsi="仿宋" w:eastAsia="仿宋" w:cs="Arial"/>
          <w:color w:val="1F2329"/>
          <w:kern w:val="0"/>
          <w:sz w:val="24"/>
          <w:vertAlign w:val="superscript"/>
        </w:rPr>
        <w:fldChar w:fldCharType="end"/>
      </w:r>
      <w:r>
        <w:rPr>
          <w:rFonts w:ascii="仿宋" w:hAnsi="仿宋" w:eastAsia="仿宋" w:cs="Arial"/>
          <w:color w:val="1F2329"/>
          <w:kern w:val="0"/>
          <w:sz w:val="24"/>
        </w:rPr>
        <w:t>；其四，工程化适配性有待加强，部分模型复杂度较高，难以在基层医疗机构的有限算力环境中推广应用。</w:t>
      </w:r>
    </w:p>
    <w:p w14:paraId="76F75996">
      <w:pPr>
        <w:keepNext w:val="0"/>
        <w:keepLines w:val="0"/>
        <w:pageBreakBefore w:val="0"/>
        <w:widowControl/>
        <w:kinsoku/>
        <w:wordWrap/>
        <w:overflowPunct/>
        <w:topLinePunct w:val="0"/>
        <w:autoSpaceDE/>
        <w:autoSpaceDN/>
        <w:bidi w:val="0"/>
        <w:adjustRightInd/>
        <w:snapToGrid/>
        <w:spacing w:line="480" w:lineRule="atLeast"/>
        <w:ind w:firstLine="480" w:firstLineChars="200"/>
        <w:textAlignment w:val="auto"/>
        <w:rPr>
          <w:rFonts w:ascii="仿宋" w:hAnsi="仿宋" w:eastAsia="仿宋" w:cs="Arial"/>
          <w:color w:val="1F2329"/>
          <w:kern w:val="0"/>
          <w:sz w:val="24"/>
        </w:rPr>
      </w:pPr>
      <w:r>
        <w:rPr>
          <w:rFonts w:ascii="仿宋" w:hAnsi="仿宋" w:eastAsia="仿宋" w:cs="Arial"/>
          <w:color w:val="1F2329"/>
          <w:kern w:val="0"/>
          <w:sz w:val="24"/>
        </w:rPr>
        <w:t>基于此，未来研究可重点在以下方向展开探索：开发融入临床先验知识的可解释孤立森林模型，提升检测结果的医学逻辑性；建立 “统计性能 + 临床符合性” 双重评估体系，结合诊疗指南与专家经验完善验证机制；加强多模态数据融合技术研究，优化非结构化数据的量化与特征提取方法；设计轻量化算法架构，提升模型在基层医疗机构的实用性与可扩展性。这些方向亦为本研究在构建适配医疗场景的孤立森林模型、优化多源特征融合机制、完善临床验证流程等方面提供了明确的借鉴与改进空间。</w:t>
      </w:r>
    </w:p>
    <w:p w14:paraId="432D9AB2">
      <w:pPr>
        <w:spacing w:line="480" w:lineRule="exact"/>
        <w:rPr>
          <w:rFonts w:ascii="Calibri" w:hAnsi="Calibri"/>
          <w:b/>
          <w:bCs/>
          <w:color w:val="000000"/>
          <w:sz w:val="30"/>
          <w:szCs w:val="30"/>
          <w:shd w:val="clear" w:color="auto" w:fill="FFFFFF"/>
        </w:rPr>
      </w:pPr>
      <w:r>
        <w:rPr>
          <w:rFonts w:hint="eastAsia"/>
          <w:b/>
          <w:bCs/>
          <w:color w:val="000000"/>
          <w:sz w:val="30"/>
          <w:szCs w:val="30"/>
          <w:shd w:val="clear" w:color="auto" w:fill="FFFFFF"/>
        </w:rPr>
        <w:t>4.</w:t>
      </w:r>
      <w:r>
        <w:rPr>
          <w:b/>
          <w:bCs/>
          <w:color w:val="000000"/>
          <w:sz w:val="30"/>
          <w:szCs w:val="30"/>
          <w:shd w:val="clear" w:color="auto" w:fill="FFFFFF"/>
        </w:rPr>
        <w:t xml:space="preserve"> </w:t>
      </w:r>
      <w:r>
        <w:rPr>
          <w:rFonts w:hint="eastAsia" w:ascii="Calibri" w:hAnsi="Calibri"/>
          <w:b/>
          <w:bCs/>
          <w:color w:val="000000"/>
          <w:sz w:val="30"/>
          <w:szCs w:val="30"/>
          <w:shd w:val="clear" w:color="auto" w:fill="FFFFFF"/>
        </w:rPr>
        <w:t>参考文献</w:t>
      </w:r>
    </w:p>
    <w:p w14:paraId="18E54296">
      <w:pPr>
        <w:pStyle w:val="22"/>
        <w:keepNext w:val="0"/>
        <w:keepLines w:val="0"/>
        <w:pageBreakBefore w:val="0"/>
        <w:widowControl w:val="0"/>
        <w:kinsoku/>
        <w:wordWrap w:val="0"/>
        <w:overflowPunct/>
        <w:topLinePunct w:val="0"/>
        <w:autoSpaceDE/>
        <w:autoSpaceDN/>
        <w:bidi w:val="0"/>
        <w:adjustRightInd/>
        <w:snapToGrid/>
        <w:ind w:left="0"/>
        <w:textAlignment w:val="auto"/>
        <w:rPr>
          <w:rFonts w:ascii="仿宋" w:hAnsi="仿宋" w:eastAsia="仿宋"/>
        </w:rPr>
      </w:pPr>
      <w:bookmarkStart w:id="0" w:name="_Ref218631176"/>
      <w:r>
        <w:rPr>
          <w:rFonts w:hint="eastAsia" w:ascii="仿宋" w:hAnsi="仿宋" w:eastAsia="仿宋"/>
        </w:rPr>
        <w:t>张叶. 健康医疗大数据背景下重庆市医疗卫生资源配置研究[D]. 重庆:重庆大学,2023.</w:t>
      </w:r>
      <w:bookmarkEnd w:id="0"/>
    </w:p>
    <w:p w14:paraId="2D614F12">
      <w:pPr>
        <w:pStyle w:val="22"/>
        <w:keepNext w:val="0"/>
        <w:keepLines w:val="0"/>
        <w:pageBreakBefore w:val="0"/>
        <w:widowControl w:val="0"/>
        <w:kinsoku/>
        <w:wordWrap w:val="0"/>
        <w:overflowPunct/>
        <w:topLinePunct w:val="0"/>
        <w:autoSpaceDE/>
        <w:autoSpaceDN/>
        <w:bidi w:val="0"/>
        <w:adjustRightInd/>
        <w:snapToGrid/>
        <w:ind w:left="0"/>
        <w:textAlignment w:val="auto"/>
        <w:rPr>
          <w:rFonts w:ascii="仿宋" w:hAnsi="仿宋" w:eastAsia="仿宋"/>
        </w:rPr>
      </w:pPr>
      <w:bookmarkStart w:id="1" w:name="_Ref218631181"/>
      <w:r>
        <w:rPr>
          <w:rFonts w:hint="eastAsia" w:ascii="仿宋" w:hAnsi="仿宋" w:eastAsia="仿宋"/>
        </w:rPr>
        <w:t>孔翎超,刘国柱. 离群点检测算法综述[J]. 计算机科学,2024,51(8):20-33. DOI:10.11896/jsjkx.230600052.</w:t>
      </w:r>
      <w:bookmarkEnd w:id="1"/>
      <w:r>
        <w:rPr>
          <w:rFonts w:ascii="仿宋" w:hAnsi="仿宋" w:eastAsia="仿宋"/>
        </w:rPr>
        <w:tab/>
      </w:r>
    </w:p>
    <w:p w14:paraId="7FC917BC">
      <w:pPr>
        <w:pStyle w:val="22"/>
        <w:keepNext w:val="0"/>
        <w:keepLines w:val="0"/>
        <w:pageBreakBefore w:val="0"/>
        <w:widowControl w:val="0"/>
        <w:kinsoku/>
        <w:wordWrap w:val="0"/>
        <w:overflowPunct/>
        <w:topLinePunct w:val="0"/>
        <w:autoSpaceDE/>
        <w:autoSpaceDN/>
        <w:bidi w:val="0"/>
        <w:adjustRightInd/>
        <w:snapToGrid/>
        <w:ind w:left="0"/>
        <w:textAlignment w:val="auto"/>
      </w:pPr>
      <w:bookmarkStart w:id="2" w:name="_Ref218631185"/>
      <w:r>
        <w:t xml:space="preserve">Liu, F. T., Ting, K. M., &amp; Zhou, Z. H. (2012). Isolation-based anomaly detection. </w:t>
      </w:r>
      <w:r>
        <w:rPr>
          <w:i/>
          <w:iCs/>
        </w:rPr>
        <w:t>ACM Transactions on Knowledge Discovery from Data (TKDD)</w:t>
      </w:r>
      <w:r>
        <w:t>, 6(1), 1-39.</w:t>
      </w:r>
      <w:bookmarkEnd w:id="2"/>
    </w:p>
    <w:p w14:paraId="36D1CE45">
      <w:pPr>
        <w:pStyle w:val="22"/>
        <w:keepNext w:val="0"/>
        <w:keepLines w:val="0"/>
        <w:pageBreakBefore w:val="0"/>
        <w:widowControl w:val="0"/>
        <w:kinsoku/>
        <w:wordWrap w:val="0"/>
        <w:overflowPunct/>
        <w:topLinePunct w:val="0"/>
        <w:autoSpaceDE/>
        <w:autoSpaceDN/>
        <w:bidi w:val="0"/>
        <w:adjustRightInd/>
        <w:snapToGrid/>
        <w:ind w:left="0"/>
        <w:textAlignment w:val="auto"/>
      </w:pPr>
      <w:bookmarkStart w:id="3" w:name="_Ref218631197"/>
      <w:r>
        <w:t>Tabassum M, Mahmood S, Bukhari A, Alshemaimri B, Daud A, Khalique F. Anomaly-based threat detection in smart health using machine learning. BMC Med Inform Decis Mak. 2024 Nov 19;24(1):347. doi: 10.1186/s12911-024-02760-4. PMID: 39563355; PMCID: PMC11577804.</w:t>
      </w:r>
      <w:bookmarkEnd w:id="3"/>
    </w:p>
    <w:p w14:paraId="060B5D8A">
      <w:pPr>
        <w:pStyle w:val="22"/>
        <w:keepNext w:val="0"/>
        <w:keepLines w:val="0"/>
        <w:pageBreakBefore w:val="0"/>
        <w:widowControl w:val="0"/>
        <w:kinsoku/>
        <w:wordWrap w:val="0"/>
        <w:overflowPunct/>
        <w:topLinePunct w:val="0"/>
        <w:autoSpaceDE/>
        <w:autoSpaceDN/>
        <w:bidi w:val="0"/>
        <w:adjustRightInd/>
        <w:snapToGrid/>
        <w:ind w:left="0"/>
        <w:textAlignment w:val="auto"/>
      </w:pPr>
      <w:bookmarkStart w:id="4" w:name="_Ref218631202"/>
      <w:r>
        <w:t>Tabassum, M., Mahmood, S., Bukhari, A. </w:t>
      </w:r>
      <w:r>
        <w:rPr>
          <w:i/>
          <w:iCs/>
        </w:rPr>
        <w:t>et al.</w:t>
      </w:r>
      <w:r>
        <w:t> Anomaly-based threat detection in smart health using machine learning. </w:t>
      </w:r>
      <w:r>
        <w:rPr>
          <w:i/>
          <w:iCs/>
        </w:rPr>
        <w:t>BMC Med Inform Decis Mak</w:t>
      </w:r>
      <w:r>
        <w:t> </w:t>
      </w:r>
      <w:r>
        <w:rPr>
          <w:b/>
          <w:bCs/>
        </w:rPr>
        <w:t>24</w:t>
      </w:r>
      <w:r>
        <w:t>, 347 (2024).</w:t>
      </w:r>
      <w:bookmarkEnd w:id="4"/>
      <w:r>
        <w:t xml:space="preserve"> </w:t>
      </w:r>
    </w:p>
    <w:p w14:paraId="1F1F0A79">
      <w:pPr>
        <w:pStyle w:val="22"/>
        <w:keepNext w:val="0"/>
        <w:keepLines w:val="0"/>
        <w:pageBreakBefore w:val="0"/>
        <w:widowControl w:val="0"/>
        <w:kinsoku/>
        <w:wordWrap w:val="0"/>
        <w:overflowPunct/>
        <w:topLinePunct w:val="0"/>
        <w:autoSpaceDE/>
        <w:autoSpaceDN/>
        <w:bidi w:val="0"/>
        <w:adjustRightInd/>
        <w:snapToGrid/>
        <w:ind w:left="0"/>
        <w:textAlignment w:val="auto"/>
      </w:pPr>
      <w:bookmarkStart w:id="5" w:name="_Ref218631207"/>
      <w:r>
        <w:t>Goldstein M , Uchida S .A Comparative Evaluation of Unsupervised Anomaly Detection Algorithms for Multivariate Data[J].PLoS ONE, 2016, 11(4):e0152173.DOI:10.1371/journal.pone.0152173.</w:t>
      </w:r>
      <w:bookmarkEnd w:id="5"/>
    </w:p>
    <w:p w14:paraId="2AD8491D">
      <w:pPr>
        <w:pStyle w:val="22"/>
        <w:keepNext w:val="0"/>
        <w:keepLines w:val="0"/>
        <w:pageBreakBefore w:val="0"/>
        <w:widowControl w:val="0"/>
        <w:kinsoku/>
        <w:wordWrap w:val="0"/>
        <w:overflowPunct/>
        <w:topLinePunct w:val="0"/>
        <w:autoSpaceDE/>
        <w:autoSpaceDN/>
        <w:bidi w:val="0"/>
        <w:adjustRightInd/>
        <w:snapToGrid/>
        <w:ind w:left="0"/>
        <w:textAlignment w:val="auto"/>
      </w:pPr>
      <w:bookmarkStart w:id="6" w:name="_Ref218631211"/>
      <w:r>
        <w:t>Narasimhan, G., Victor, A. A hybrid approach with metaheuristic optimization and random forest in improving heart disease prediction. </w:t>
      </w:r>
      <w:r>
        <w:rPr>
          <w:i/>
          <w:iCs/>
        </w:rPr>
        <w:t>Sci Rep</w:t>
      </w:r>
      <w:r>
        <w:t> </w:t>
      </w:r>
      <w:r>
        <w:rPr>
          <w:b/>
          <w:bCs/>
        </w:rPr>
        <w:t>15</w:t>
      </w:r>
      <w:r>
        <w:t>, 10971 (2025). https://doi.org/10.1038/s41598-024-73867-x</w:t>
      </w:r>
      <w:bookmarkEnd w:id="6"/>
    </w:p>
    <w:p w14:paraId="5E116CCC">
      <w:pPr>
        <w:pStyle w:val="22"/>
        <w:keepNext w:val="0"/>
        <w:keepLines w:val="0"/>
        <w:pageBreakBefore w:val="0"/>
        <w:widowControl w:val="0"/>
        <w:kinsoku/>
        <w:wordWrap w:val="0"/>
        <w:overflowPunct/>
        <w:topLinePunct w:val="0"/>
        <w:autoSpaceDE/>
        <w:autoSpaceDN/>
        <w:bidi w:val="0"/>
        <w:adjustRightInd/>
        <w:snapToGrid/>
        <w:ind w:left="0"/>
        <w:textAlignment w:val="auto"/>
        <w:rPr>
          <w:rFonts w:ascii="仿宋" w:hAnsi="仿宋" w:eastAsia="仿宋"/>
        </w:rPr>
      </w:pPr>
      <w:bookmarkStart w:id="7" w:name="_Ref218631217"/>
      <w:r>
        <w:rPr>
          <w:rFonts w:hint="eastAsia" w:ascii="仿宋" w:hAnsi="仿宋" w:eastAsia="仿宋"/>
        </w:rPr>
        <w:t>刘丹.血压检测技术及其应用的研究进展[J]. 临床医学进展, 2024, 14(11): 140-146.</w:t>
      </w:r>
      <w:bookmarkEnd w:id="7"/>
    </w:p>
    <w:p w14:paraId="508CDDB0">
      <w:pPr>
        <w:pStyle w:val="22"/>
        <w:keepNext w:val="0"/>
        <w:keepLines w:val="0"/>
        <w:pageBreakBefore w:val="0"/>
        <w:widowControl w:val="0"/>
        <w:kinsoku/>
        <w:wordWrap w:val="0"/>
        <w:overflowPunct/>
        <w:topLinePunct w:val="0"/>
        <w:autoSpaceDE/>
        <w:autoSpaceDN/>
        <w:bidi w:val="0"/>
        <w:adjustRightInd/>
        <w:snapToGrid/>
        <w:ind w:left="0"/>
        <w:textAlignment w:val="auto"/>
        <w:rPr>
          <w:rFonts w:ascii="仿宋" w:hAnsi="仿宋" w:eastAsia="仿宋"/>
        </w:rPr>
      </w:pPr>
      <w:bookmarkStart w:id="8" w:name="_Ref218631220"/>
      <w:r>
        <w:rPr>
          <w:rFonts w:hint="eastAsia" w:ascii="仿宋" w:hAnsi="仿宋" w:eastAsia="仿宋"/>
        </w:rPr>
        <w:t>吴金娥, 王若愚, 段倩倩, 李国强, 琚长江.</w:t>
      </w:r>
      <w:r>
        <w:rPr>
          <w:rFonts w:ascii="仿宋" w:hAnsi="仿宋" w:eastAsia="仿宋"/>
        </w:rPr>
        <w:t xml:space="preserve"> </w:t>
      </w:r>
      <w:r>
        <w:rPr>
          <w:rFonts w:hint="eastAsia" w:ascii="仿宋" w:hAnsi="仿宋" w:eastAsia="仿宋"/>
        </w:rPr>
        <w:t>基于反向</w:t>
      </w:r>
      <w:r>
        <w:rPr>
          <w:rFonts w:hint="eastAsia" w:ascii="仿宋" w:hAnsi="仿宋" w:eastAsia="仿宋"/>
          <w:i/>
          <w:iCs/>
        </w:rPr>
        <w:t>k</w:t>
      </w:r>
      <w:r>
        <w:rPr>
          <w:rFonts w:hint="eastAsia" w:ascii="仿宋" w:hAnsi="仿宋" w:eastAsia="仿宋"/>
        </w:rPr>
        <w:t>近邻过滤异常的群数据异常检测[J]. 上海交通大学学报（自然版）, 2021, 55(5): 598-606 doi:10.16183/j.cnki.jsjtu.2020.011</w:t>
      </w:r>
      <w:bookmarkEnd w:id="8"/>
    </w:p>
    <w:p w14:paraId="25B55335">
      <w:pPr>
        <w:pStyle w:val="22"/>
        <w:keepNext w:val="0"/>
        <w:keepLines w:val="0"/>
        <w:pageBreakBefore w:val="0"/>
        <w:widowControl w:val="0"/>
        <w:kinsoku/>
        <w:wordWrap w:val="0"/>
        <w:overflowPunct/>
        <w:topLinePunct w:val="0"/>
        <w:autoSpaceDE/>
        <w:autoSpaceDN/>
        <w:bidi w:val="0"/>
        <w:adjustRightInd/>
        <w:snapToGrid/>
        <w:ind w:left="0"/>
        <w:textAlignment w:val="auto"/>
        <w:rPr>
          <w:rFonts w:ascii="仿宋" w:hAnsi="仿宋" w:eastAsia="仿宋"/>
        </w:rPr>
      </w:pPr>
      <w:bookmarkStart w:id="9" w:name="_Ref218631224"/>
      <w:r>
        <w:rPr>
          <w:rFonts w:hint="eastAsia" w:ascii="仿宋" w:hAnsi="仿宋" w:eastAsia="仿宋"/>
        </w:rPr>
        <w:t>广东工业大学. 一种医学影像异常检测方法及系统:CN202411927429.5[P]. 2025-10-24.</w:t>
      </w:r>
      <w:bookmarkEnd w:id="9"/>
    </w:p>
    <w:p w14:paraId="434DF0A5">
      <w:pPr>
        <w:pStyle w:val="22"/>
        <w:keepNext w:val="0"/>
        <w:keepLines w:val="0"/>
        <w:pageBreakBefore w:val="0"/>
        <w:widowControl w:val="0"/>
        <w:kinsoku/>
        <w:wordWrap w:val="0"/>
        <w:overflowPunct/>
        <w:topLinePunct w:val="0"/>
        <w:autoSpaceDE/>
        <w:autoSpaceDN/>
        <w:bidi w:val="0"/>
        <w:adjustRightInd/>
        <w:snapToGrid/>
        <w:ind w:left="0"/>
        <w:textAlignment w:val="auto"/>
        <w:rPr>
          <w:rFonts w:ascii="仿宋" w:hAnsi="仿宋" w:eastAsia="仿宋"/>
        </w:rPr>
      </w:pPr>
      <w:bookmarkStart w:id="10" w:name="_Ref218631228"/>
      <w:r>
        <w:rPr>
          <w:rFonts w:hint="eastAsia" w:ascii="仿宋" w:hAnsi="仿宋" w:eastAsia="仿宋"/>
        </w:rPr>
        <w:t>何泊. 基于卷积神经网络的糖尿病病情预测研究[D]. 重庆:西南大学,2019.</w:t>
      </w:r>
      <w:bookmarkEnd w:id="10"/>
    </w:p>
    <w:p w14:paraId="15397CE8">
      <w:pPr>
        <w:pStyle w:val="22"/>
        <w:keepNext w:val="0"/>
        <w:keepLines w:val="0"/>
        <w:pageBreakBefore w:val="0"/>
        <w:widowControl w:val="0"/>
        <w:kinsoku/>
        <w:wordWrap w:val="0"/>
        <w:overflowPunct/>
        <w:topLinePunct w:val="0"/>
        <w:autoSpaceDE/>
        <w:autoSpaceDN/>
        <w:bidi w:val="0"/>
        <w:adjustRightInd/>
        <w:snapToGrid/>
        <w:ind w:left="0"/>
        <w:textAlignment w:val="auto"/>
        <w:rPr>
          <w:rFonts w:ascii="仿宋" w:hAnsi="仿宋" w:eastAsia="仿宋"/>
        </w:rPr>
      </w:pPr>
      <w:bookmarkStart w:id="11" w:name="_Ref218631232"/>
      <w:r>
        <w:rPr>
          <w:rFonts w:hint="eastAsia" w:ascii="仿宋" w:hAnsi="仿宋" w:eastAsia="仿宋"/>
        </w:rPr>
        <w:t>姚畅,王贵宣,相鹏,等. 医学大模型与多模态数据融合在智慧医疗中的机会、挑战与实践[J]. 中国卫生信息管理杂志,2025,22(2):171-178. DOI:10.3969/j.issn.1672-5166.2025.02.02.</w:t>
      </w:r>
      <w:bookmarkEnd w:id="11"/>
    </w:p>
    <w:p w14:paraId="1897F36B">
      <w:pPr>
        <w:pStyle w:val="22"/>
        <w:keepNext w:val="0"/>
        <w:keepLines w:val="0"/>
        <w:pageBreakBefore w:val="0"/>
        <w:widowControl w:val="0"/>
        <w:kinsoku/>
        <w:wordWrap w:val="0"/>
        <w:overflowPunct/>
        <w:topLinePunct w:val="0"/>
        <w:autoSpaceDE/>
        <w:autoSpaceDN/>
        <w:bidi w:val="0"/>
        <w:adjustRightInd/>
        <w:snapToGrid/>
        <w:ind w:left="0"/>
        <w:textAlignment w:val="auto"/>
        <w:rPr>
          <w:rFonts w:ascii="仿宋" w:hAnsi="仿宋" w:eastAsia="仿宋"/>
        </w:rPr>
      </w:pPr>
      <w:bookmarkStart w:id="12" w:name="_Ref218631236"/>
      <w:r>
        <w:rPr>
          <w:rFonts w:hint="eastAsia" w:ascii="仿宋" w:hAnsi="仿宋" w:eastAsia="仿宋"/>
        </w:rPr>
        <w:t>汤伟,徐声龙,杨慧,等. 基于多维特征提取的资源数据识别与校核算法[J]. 现代电子技术,2023,46(23):109-113. DOI:10.16652/j.issn.1004-373x.2023.23.020.</w:t>
      </w:r>
      <w:bookmarkEnd w:id="12"/>
    </w:p>
    <w:p w14:paraId="2547CC67">
      <w:pPr>
        <w:pStyle w:val="22"/>
        <w:keepNext w:val="0"/>
        <w:keepLines w:val="0"/>
        <w:pageBreakBefore w:val="0"/>
        <w:widowControl w:val="0"/>
        <w:kinsoku/>
        <w:wordWrap w:val="0"/>
        <w:overflowPunct/>
        <w:topLinePunct w:val="0"/>
        <w:autoSpaceDE/>
        <w:autoSpaceDN/>
        <w:bidi w:val="0"/>
        <w:adjustRightInd/>
        <w:snapToGrid/>
        <w:ind w:left="0"/>
        <w:textAlignment w:val="auto"/>
        <w:rPr>
          <w:rFonts w:ascii="仿宋" w:hAnsi="仿宋" w:eastAsia="仿宋"/>
        </w:rPr>
      </w:pPr>
      <w:bookmarkStart w:id="13" w:name="_Ref218631242"/>
      <w:r>
        <w:rPr>
          <w:rFonts w:ascii="仿宋" w:hAnsi="仿宋" w:eastAsia="仿宋"/>
        </w:rPr>
        <w:t>麻笑生，刘巍，王思丽，等. 电子健康记录数据挖掘技术研究进展［J］.世界科技研究与发展， 2024，46(6): 831-849</w:t>
      </w:r>
      <w:bookmarkEnd w:id="13"/>
    </w:p>
    <w:p w14:paraId="507CD71B">
      <w:pPr>
        <w:pStyle w:val="22"/>
        <w:keepNext w:val="0"/>
        <w:keepLines w:val="0"/>
        <w:pageBreakBefore w:val="0"/>
        <w:widowControl w:val="0"/>
        <w:kinsoku/>
        <w:wordWrap w:val="0"/>
        <w:overflowPunct/>
        <w:topLinePunct w:val="0"/>
        <w:autoSpaceDE/>
        <w:autoSpaceDN/>
        <w:bidi w:val="0"/>
        <w:adjustRightInd/>
        <w:snapToGrid/>
        <w:ind w:left="0"/>
        <w:textAlignment w:val="auto"/>
        <w:rPr>
          <w:rFonts w:ascii="仿宋" w:hAnsi="仿宋" w:eastAsia="仿宋"/>
        </w:rPr>
      </w:pPr>
      <w:bookmarkStart w:id="14" w:name="_Ref218631248"/>
      <w:r>
        <w:rPr>
          <w:rFonts w:hint="eastAsia" w:ascii="仿宋" w:hAnsi="仿宋" w:eastAsia="仿宋"/>
        </w:rPr>
        <w:t>王杨,郎欣月,朱熠冰,刘小云,赵延延,李思冬,李卫.临床意义与统计学意义结合的临床试验结果分类方法及评价研究[J].中华流行病学杂志,2021,42(7):1280-1285</w:t>
      </w:r>
      <w:bookmarkEnd w:id="14"/>
    </w:p>
    <w:p w14:paraId="4229FAF5">
      <w:pPr>
        <w:pStyle w:val="22"/>
        <w:keepNext w:val="0"/>
        <w:keepLines w:val="0"/>
        <w:pageBreakBefore w:val="0"/>
        <w:widowControl w:val="0"/>
        <w:kinsoku/>
        <w:wordWrap w:val="0"/>
        <w:overflowPunct/>
        <w:topLinePunct w:val="0"/>
        <w:autoSpaceDE/>
        <w:autoSpaceDN/>
        <w:bidi w:val="0"/>
        <w:adjustRightInd/>
        <w:snapToGrid/>
        <w:ind w:left="0"/>
        <w:textAlignment w:val="auto"/>
        <w:rPr>
          <w:rFonts w:ascii="仿宋" w:hAnsi="仿宋" w:eastAsia="仿宋"/>
        </w:rPr>
      </w:pPr>
      <w:bookmarkStart w:id="15" w:name="_Ref218631251"/>
      <w:r>
        <w:rPr>
          <w:rFonts w:hint="eastAsia" w:ascii="仿宋" w:hAnsi="仿宋" w:eastAsia="仿宋"/>
        </w:rPr>
        <w:t>陈耀龙, 杨克虎, 王小钦, 等.</w:t>
      </w:r>
      <w:r>
        <w:rPr>
          <w:rFonts w:ascii="仿宋" w:hAnsi="仿宋" w:eastAsia="仿宋"/>
        </w:rPr>
        <w:t xml:space="preserve"> </w:t>
      </w:r>
      <w:r>
        <w:rPr>
          <w:rFonts w:hint="eastAsia" w:ascii="仿宋" w:hAnsi="仿宋" w:eastAsia="仿宋"/>
        </w:rPr>
        <w:t xml:space="preserve"> 中国制订/修订临床诊疗指南的指导原则（2022版） [J] . 中华医学杂志, 2022, 102(10) </w:t>
      </w:r>
      <w:r>
        <w:rPr>
          <w:rFonts w:ascii="仿宋" w:hAnsi="仿宋" w:eastAsia="仿宋"/>
        </w:rPr>
        <w:t>.</w:t>
      </w:r>
      <w:bookmarkEnd w:id="15"/>
    </w:p>
    <w:p w14:paraId="14111FB4">
      <w:pPr>
        <w:pStyle w:val="22"/>
        <w:keepNext w:val="0"/>
        <w:keepLines w:val="0"/>
        <w:pageBreakBefore w:val="0"/>
        <w:widowControl w:val="0"/>
        <w:kinsoku/>
        <w:wordWrap w:val="0"/>
        <w:overflowPunct/>
        <w:topLinePunct w:val="0"/>
        <w:autoSpaceDE/>
        <w:autoSpaceDN/>
        <w:bidi w:val="0"/>
        <w:adjustRightInd/>
        <w:snapToGrid/>
        <w:ind w:left="0"/>
        <w:textAlignment w:val="auto"/>
        <w:rPr>
          <w:rFonts w:ascii="仿宋" w:hAnsi="仿宋" w:eastAsia="仿宋"/>
        </w:rPr>
      </w:pPr>
      <w:bookmarkStart w:id="16" w:name="_Ref218631255"/>
      <w:r>
        <w:rPr>
          <w:rFonts w:hint="eastAsia" w:ascii="仿宋" w:hAnsi="仿宋" w:eastAsia="仿宋"/>
        </w:rPr>
        <w:t>肖应旺,杨军,张承忠,等. 统计监控建模离群点检测数据预处理高效算法[J]. 仪器仪表学报,2012,33(12):2742-2746. DOI:10.3969/j.issn.0254-3087.2012.12.016.</w:t>
      </w:r>
      <w:bookmarkEnd w:id="16"/>
    </w:p>
    <w:p w14:paraId="60FCB4C2"/>
    <w:p w14:paraId="25FEBCFD"/>
    <w:p w14:paraId="29E22968"/>
    <w:p w14:paraId="50C9E9CF">
      <w:r>
        <w:rPr>
          <w:rFonts w:hint="eastAsia"/>
          <w:color w:val="FF0000"/>
        </w:rPr>
        <w:t>（要求：15篇以上参考文献，近5年特别是近3年文献数量充足，至少3篇外文参考文献，正文中需要上标引用参考文献。）</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隶书">
    <w:panose1 w:val="02010509060101010101"/>
    <w:charset w:val="86"/>
    <w:family w:val="modern"/>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5B2F8A"/>
    <w:multiLevelType w:val="multilevel"/>
    <w:tmpl w:val="105B2F8A"/>
    <w:lvl w:ilvl="0" w:tentative="0">
      <w:start w:val="1"/>
      <w:numFmt w:val="decimal"/>
      <w:pStyle w:val="22"/>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8E83C55"/>
    <w:multiLevelType w:val="multilevel"/>
    <w:tmpl w:val="18E83C55"/>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NiNzA2YWU4OTRjZWFiOTlmNzkzYjM4N2E0NDAxZTUifQ=="/>
  </w:docVars>
  <w:rsids>
    <w:rsidRoot w:val="00074C9D"/>
    <w:rsid w:val="00000AFC"/>
    <w:rsid w:val="00013A9F"/>
    <w:rsid w:val="0005171B"/>
    <w:rsid w:val="00061352"/>
    <w:rsid w:val="000664A5"/>
    <w:rsid w:val="00067986"/>
    <w:rsid w:val="00074C9D"/>
    <w:rsid w:val="00083F45"/>
    <w:rsid w:val="000A0593"/>
    <w:rsid w:val="000A0A51"/>
    <w:rsid w:val="000C43BC"/>
    <w:rsid w:val="000D3E19"/>
    <w:rsid w:val="000E3DB6"/>
    <w:rsid w:val="00101C1D"/>
    <w:rsid w:val="0011373F"/>
    <w:rsid w:val="00140097"/>
    <w:rsid w:val="001401C5"/>
    <w:rsid w:val="001727EB"/>
    <w:rsid w:val="001867F0"/>
    <w:rsid w:val="001D2377"/>
    <w:rsid w:val="001E687C"/>
    <w:rsid w:val="001F501B"/>
    <w:rsid w:val="002215AD"/>
    <w:rsid w:val="00224772"/>
    <w:rsid w:val="00225F62"/>
    <w:rsid w:val="002427FE"/>
    <w:rsid w:val="0024392D"/>
    <w:rsid w:val="00244405"/>
    <w:rsid w:val="00246EE6"/>
    <w:rsid w:val="00261F97"/>
    <w:rsid w:val="00281256"/>
    <w:rsid w:val="00292535"/>
    <w:rsid w:val="002A625D"/>
    <w:rsid w:val="002C481A"/>
    <w:rsid w:val="002F408F"/>
    <w:rsid w:val="002F458F"/>
    <w:rsid w:val="00314B4D"/>
    <w:rsid w:val="0032529A"/>
    <w:rsid w:val="00331A11"/>
    <w:rsid w:val="003A02BA"/>
    <w:rsid w:val="003A3EAB"/>
    <w:rsid w:val="003B02B5"/>
    <w:rsid w:val="003B20D7"/>
    <w:rsid w:val="003C016C"/>
    <w:rsid w:val="003C49BC"/>
    <w:rsid w:val="003D5122"/>
    <w:rsid w:val="003E3DEE"/>
    <w:rsid w:val="00403E9C"/>
    <w:rsid w:val="00412325"/>
    <w:rsid w:val="00433779"/>
    <w:rsid w:val="00436714"/>
    <w:rsid w:val="00450E10"/>
    <w:rsid w:val="0045727E"/>
    <w:rsid w:val="00464DDB"/>
    <w:rsid w:val="00465017"/>
    <w:rsid w:val="00465376"/>
    <w:rsid w:val="004723D8"/>
    <w:rsid w:val="00473F53"/>
    <w:rsid w:val="00485493"/>
    <w:rsid w:val="00490B47"/>
    <w:rsid w:val="004B0ED0"/>
    <w:rsid w:val="004B5B63"/>
    <w:rsid w:val="004F7769"/>
    <w:rsid w:val="004F7780"/>
    <w:rsid w:val="005073E0"/>
    <w:rsid w:val="005168F3"/>
    <w:rsid w:val="005251B6"/>
    <w:rsid w:val="005300C4"/>
    <w:rsid w:val="00581EFE"/>
    <w:rsid w:val="00595907"/>
    <w:rsid w:val="005B0E0E"/>
    <w:rsid w:val="005D0C56"/>
    <w:rsid w:val="005E7AAC"/>
    <w:rsid w:val="005F1E8E"/>
    <w:rsid w:val="005F5397"/>
    <w:rsid w:val="006056FE"/>
    <w:rsid w:val="00613525"/>
    <w:rsid w:val="00626607"/>
    <w:rsid w:val="006372AD"/>
    <w:rsid w:val="006403ED"/>
    <w:rsid w:val="006432A4"/>
    <w:rsid w:val="00646FE3"/>
    <w:rsid w:val="00647280"/>
    <w:rsid w:val="006619D4"/>
    <w:rsid w:val="006772A8"/>
    <w:rsid w:val="006926E0"/>
    <w:rsid w:val="006A4362"/>
    <w:rsid w:val="006C2E75"/>
    <w:rsid w:val="006D154A"/>
    <w:rsid w:val="006E0174"/>
    <w:rsid w:val="00701CD6"/>
    <w:rsid w:val="00705AF9"/>
    <w:rsid w:val="00720F47"/>
    <w:rsid w:val="007239F3"/>
    <w:rsid w:val="00732CCD"/>
    <w:rsid w:val="007762EE"/>
    <w:rsid w:val="0079494A"/>
    <w:rsid w:val="0079765F"/>
    <w:rsid w:val="007A3CF0"/>
    <w:rsid w:val="007A5301"/>
    <w:rsid w:val="007B204B"/>
    <w:rsid w:val="007C43E9"/>
    <w:rsid w:val="007D654E"/>
    <w:rsid w:val="007D7DC9"/>
    <w:rsid w:val="007E482C"/>
    <w:rsid w:val="007E6F58"/>
    <w:rsid w:val="007F5293"/>
    <w:rsid w:val="00814C01"/>
    <w:rsid w:val="0083521C"/>
    <w:rsid w:val="00847E85"/>
    <w:rsid w:val="00861BA0"/>
    <w:rsid w:val="008725D9"/>
    <w:rsid w:val="008751AE"/>
    <w:rsid w:val="008776AD"/>
    <w:rsid w:val="008831C7"/>
    <w:rsid w:val="00891B61"/>
    <w:rsid w:val="008A467E"/>
    <w:rsid w:val="008A71FA"/>
    <w:rsid w:val="008C3139"/>
    <w:rsid w:val="008C6426"/>
    <w:rsid w:val="008D0802"/>
    <w:rsid w:val="008D1498"/>
    <w:rsid w:val="008E7E81"/>
    <w:rsid w:val="00901BE6"/>
    <w:rsid w:val="00925B5D"/>
    <w:rsid w:val="00930D54"/>
    <w:rsid w:val="0093736D"/>
    <w:rsid w:val="0096039F"/>
    <w:rsid w:val="009873AB"/>
    <w:rsid w:val="009C72E4"/>
    <w:rsid w:val="009F2316"/>
    <w:rsid w:val="00A07D95"/>
    <w:rsid w:val="00A203BF"/>
    <w:rsid w:val="00A211B5"/>
    <w:rsid w:val="00A30DF4"/>
    <w:rsid w:val="00A332FF"/>
    <w:rsid w:val="00A44EE5"/>
    <w:rsid w:val="00A47927"/>
    <w:rsid w:val="00A54235"/>
    <w:rsid w:val="00A57131"/>
    <w:rsid w:val="00A63A88"/>
    <w:rsid w:val="00A76F65"/>
    <w:rsid w:val="00A80BAF"/>
    <w:rsid w:val="00AC2724"/>
    <w:rsid w:val="00AD012D"/>
    <w:rsid w:val="00AD33C8"/>
    <w:rsid w:val="00AD6404"/>
    <w:rsid w:val="00AE4E3B"/>
    <w:rsid w:val="00B3019A"/>
    <w:rsid w:val="00B307E5"/>
    <w:rsid w:val="00B3282E"/>
    <w:rsid w:val="00B34891"/>
    <w:rsid w:val="00B741FF"/>
    <w:rsid w:val="00B814C4"/>
    <w:rsid w:val="00B97A90"/>
    <w:rsid w:val="00BA04D8"/>
    <w:rsid w:val="00BB0517"/>
    <w:rsid w:val="00BC31EC"/>
    <w:rsid w:val="00BC61D5"/>
    <w:rsid w:val="00BD2D07"/>
    <w:rsid w:val="00C169E3"/>
    <w:rsid w:val="00C2245D"/>
    <w:rsid w:val="00C230A0"/>
    <w:rsid w:val="00C34882"/>
    <w:rsid w:val="00C46A80"/>
    <w:rsid w:val="00C934F0"/>
    <w:rsid w:val="00CA1932"/>
    <w:rsid w:val="00CA6CE5"/>
    <w:rsid w:val="00CB2CC0"/>
    <w:rsid w:val="00CC0760"/>
    <w:rsid w:val="00CD1B63"/>
    <w:rsid w:val="00CE4741"/>
    <w:rsid w:val="00CF03D9"/>
    <w:rsid w:val="00CF214A"/>
    <w:rsid w:val="00D16B73"/>
    <w:rsid w:val="00D3706D"/>
    <w:rsid w:val="00D512E5"/>
    <w:rsid w:val="00D564D5"/>
    <w:rsid w:val="00D57658"/>
    <w:rsid w:val="00D61521"/>
    <w:rsid w:val="00D618B0"/>
    <w:rsid w:val="00D61E0E"/>
    <w:rsid w:val="00D6475E"/>
    <w:rsid w:val="00D70BFB"/>
    <w:rsid w:val="00D71E9C"/>
    <w:rsid w:val="00D735C6"/>
    <w:rsid w:val="00D76B98"/>
    <w:rsid w:val="00D832D3"/>
    <w:rsid w:val="00DB5FEA"/>
    <w:rsid w:val="00DC1300"/>
    <w:rsid w:val="00DD649D"/>
    <w:rsid w:val="00DD70A3"/>
    <w:rsid w:val="00DF0196"/>
    <w:rsid w:val="00DF2A63"/>
    <w:rsid w:val="00E025CE"/>
    <w:rsid w:val="00E4082F"/>
    <w:rsid w:val="00E50BD9"/>
    <w:rsid w:val="00E67076"/>
    <w:rsid w:val="00E75609"/>
    <w:rsid w:val="00E92DFF"/>
    <w:rsid w:val="00EA32FF"/>
    <w:rsid w:val="00ED02ED"/>
    <w:rsid w:val="00ED4E5E"/>
    <w:rsid w:val="00EF4664"/>
    <w:rsid w:val="00F04E38"/>
    <w:rsid w:val="00F07A01"/>
    <w:rsid w:val="00F116FE"/>
    <w:rsid w:val="00F32A07"/>
    <w:rsid w:val="00F3439C"/>
    <w:rsid w:val="00F359C6"/>
    <w:rsid w:val="00F47E50"/>
    <w:rsid w:val="00F56ED5"/>
    <w:rsid w:val="00F71546"/>
    <w:rsid w:val="00FA71B8"/>
    <w:rsid w:val="00FD6DAC"/>
    <w:rsid w:val="00FE1A1B"/>
    <w:rsid w:val="00FF0434"/>
    <w:rsid w:val="00FF1542"/>
    <w:rsid w:val="0128190D"/>
    <w:rsid w:val="03103B69"/>
    <w:rsid w:val="085F69CC"/>
    <w:rsid w:val="0C2C7CAB"/>
    <w:rsid w:val="133269CC"/>
    <w:rsid w:val="18A871F8"/>
    <w:rsid w:val="19F37958"/>
    <w:rsid w:val="1DD43CFE"/>
    <w:rsid w:val="1F8D7F4E"/>
    <w:rsid w:val="1FE30BF5"/>
    <w:rsid w:val="1FFF643B"/>
    <w:rsid w:val="21E257FE"/>
    <w:rsid w:val="22D53EF8"/>
    <w:rsid w:val="2F7A2D11"/>
    <w:rsid w:val="303D5733"/>
    <w:rsid w:val="30E62414"/>
    <w:rsid w:val="357D7000"/>
    <w:rsid w:val="37A4078E"/>
    <w:rsid w:val="389C54E6"/>
    <w:rsid w:val="3AC86100"/>
    <w:rsid w:val="40DA3421"/>
    <w:rsid w:val="41E27E9D"/>
    <w:rsid w:val="4B533C05"/>
    <w:rsid w:val="4CA94424"/>
    <w:rsid w:val="4EDE35A0"/>
    <w:rsid w:val="590A555D"/>
    <w:rsid w:val="5AC05880"/>
    <w:rsid w:val="5E940365"/>
    <w:rsid w:val="5EE32001"/>
    <w:rsid w:val="617522C9"/>
    <w:rsid w:val="66DE6B36"/>
    <w:rsid w:val="6CE801F9"/>
    <w:rsid w:val="6CF941B4"/>
    <w:rsid w:val="751A5610"/>
    <w:rsid w:val="768B18ED"/>
    <w:rsid w:val="76F57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qFormat/>
    <w:uiPriority w:val="99"/>
    <w:pPr>
      <w:keepNext/>
      <w:keepLines/>
      <w:outlineLvl w:val="1"/>
    </w:pPr>
    <w:rPr>
      <w:sz w:val="28"/>
      <w:szCs w:val="28"/>
    </w:rPr>
  </w:style>
  <w:style w:type="paragraph" w:styleId="4">
    <w:name w:val="heading 3"/>
    <w:basedOn w:val="1"/>
    <w:next w:val="1"/>
    <w:link w:val="23"/>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25"/>
    <w:qFormat/>
    <w:uiPriority w:val="0"/>
    <w:pPr>
      <w:jc w:val="left"/>
    </w:pPr>
  </w:style>
  <w:style w:type="paragraph" w:styleId="7">
    <w:name w:val="Body Text Indent"/>
    <w:basedOn w:val="1"/>
    <w:link w:val="20"/>
    <w:qFormat/>
    <w:uiPriority w:val="0"/>
    <w:pPr>
      <w:ind w:firstLine="1530"/>
    </w:pPr>
    <w:rPr>
      <w:rFonts w:eastAsia="隶书"/>
      <w:sz w:val="44"/>
    </w:rPr>
  </w:style>
  <w:style w:type="paragraph" w:styleId="8">
    <w:name w:val="footer"/>
    <w:basedOn w:val="1"/>
    <w:link w:val="18"/>
    <w:autoRedefine/>
    <w:unhideWhenUsed/>
    <w:qFormat/>
    <w:uiPriority w:val="99"/>
    <w:pPr>
      <w:tabs>
        <w:tab w:val="center" w:pos="4153"/>
        <w:tab w:val="right" w:pos="8306"/>
      </w:tabs>
      <w:snapToGrid w:val="0"/>
      <w:jc w:val="left"/>
    </w:pPr>
    <w:rPr>
      <w:sz w:val="18"/>
      <w:szCs w:val="18"/>
    </w:rPr>
  </w:style>
  <w:style w:type="paragraph" w:styleId="9">
    <w:name w:val="header"/>
    <w:basedOn w:val="1"/>
    <w:link w:val="17"/>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paragraph" w:styleId="11">
    <w:name w:val="annotation subject"/>
    <w:basedOn w:val="6"/>
    <w:next w:val="6"/>
    <w:link w:val="26"/>
    <w:semiHidden/>
    <w:unhideWhenUsed/>
    <w:qFormat/>
    <w:uiPriority w:val="99"/>
    <w:rPr>
      <w:b/>
      <w:bCs/>
    </w:rPr>
  </w:style>
  <w:style w:type="table" w:styleId="13">
    <w:name w:val="Table Grid"/>
    <w:basedOn w:val="1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uiPriority w:val="99"/>
    <w:rPr>
      <w:color w:val="0000FF" w:themeColor="hyperlink"/>
      <w:u w:val="single"/>
      <w14:textFill>
        <w14:solidFill>
          <w14:schemeClr w14:val="hlink"/>
        </w14:solidFill>
      </w14:textFill>
    </w:rPr>
  </w:style>
  <w:style w:type="character" w:styleId="16">
    <w:name w:val="annotation reference"/>
    <w:autoRedefine/>
    <w:qFormat/>
    <w:uiPriority w:val="0"/>
    <w:rPr>
      <w:sz w:val="21"/>
      <w:szCs w:val="21"/>
    </w:rPr>
  </w:style>
  <w:style w:type="character" w:customStyle="1" w:styleId="17">
    <w:name w:val="页眉 字符"/>
    <w:basedOn w:val="14"/>
    <w:link w:val="9"/>
    <w:qFormat/>
    <w:uiPriority w:val="99"/>
    <w:rPr>
      <w:sz w:val="18"/>
      <w:szCs w:val="18"/>
    </w:rPr>
  </w:style>
  <w:style w:type="character" w:customStyle="1" w:styleId="18">
    <w:name w:val="页脚 字符"/>
    <w:basedOn w:val="14"/>
    <w:link w:val="8"/>
    <w:autoRedefine/>
    <w:qFormat/>
    <w:uiPriority w:val="99"/>
    <w:rPr>
      <w:sz w:val="18"/>
      <w:szCs w:val="18"/>
    </w:rPr>
  </w:style>
  <w:style w:type="character" w:customStyle="1" w:styleId="19">
    <w:name w:val="标题 2 字符"/>
    <w:basedOn w:val="14"/>
    <w:link w:val="3"/>
    <w:autoRedefine/>
    <w:qFormat/>
    <w:uiPriority w:val="99"/>
    <w:rPr>
      <w:rFonts w:ascii="Times New Roman" w:hAnsi="Times New Roman" w:eastAsia="宋体" w:cs="Times New Roman"/>
      <w:sz w:val="28"/>
      <w:szCs w:val="28"/>
    </w:rPr>
  </w:style>
  <w:style w:type="character" w:customStyle="1" w:styleId="20">
    <w:name w:val="正文文本缩进 字符"/>
    <w:basedOn w:val="14"/>
    <w:link w:val="7"/>
    <w:autoRedefine/>
    <w:qFormat/>
    <w:uiPriority w:val="0"/>
    <w:rPr>
      <w:rFonts w:ascii="Times New Roman" w:hAnsi="Times New Roman" w:eastAsia="隶书" w:cs="Times New Roman"/>
      <w:sz w:val="44"/>
      <w:szCs w:val="24"/>
    </w:rPr>
  </w:style>
  <w:style w:type="character" w:customStyle="1" w:styleId="21">
    <w:name w:val="标题 1 字符"/>
    <w:basedOn w:val="14"/>
    <w:link w:val="2"/>
    <w:qFormat/>
    <w:uiPriority w:val="9"/>
    <w:rPr>
      <w:rFonts w:ascii="Times New Roman" w:hAnsi="Times New Roman" w:eastAsia="宋体" w:cs="Times New Roman"/>
      <w:b/>
      <w:bCs/>
      <w:kern w:val="44"/>
      <w:sz w:val="44"/>
      <w:szCs w:val="44"/>
    </w:rPr>
  </w:style>
  <w:style w:type="paragraph" w:styleId="22">
    <w:name w:val="List Paragraph"/>
    <w:basedOn w:val="1"/>
    <w:autoRedefine/>
    <w:qFormat/>
    <w:uiPriority w:val="34"/>
    <w:pPr>
      <w:numPr>
        <w:ilvl w:val="0"/>
        <w:numId w:val="1"/>
      </w:numPr>
      <w:ind w:left="480" w:hanging="480" w:hangingChars="200"/>
    </w:pPr>
    <w:rPr>
      <w:sz w:val="24"/>
    </w:rPr>
  </w:style>
  <w:style w:type="character" w:customStyle="1" w:styleId="23">
    <w:name w:val="标题 3 字符"/>
    <w:basedOn w:val="14"/>
    <w:link w:val="4"/>
    <w:autoRedefine/>
    <w:qFormat/>
    <w:uiPriority w:val="9"/>
    <w:rPr>
      <w:rFonts w:ascii="Times New Roman" w:hAnsi="Times New Roman" w:eastAsia="宋体" w:cs="Times New Roman"/>
      <w:b/>
      <w:bCs/>
      <w:sz w:val="32"/>
      <w:szCs w:val="32"/>
    </w:rPr>
  </w:style>
  <w:style w:type="character" w:customStyle="1" w:styleId="24">
    <w:name w:val="标题 4 字符"/>
    <w:basedOn w:val="14"/>
    <w:link w:val="5"/>
    <w:qFormat/>
    <w:uiPriority w:val="9"/>
    <w:rPr>
      <w:rFonts w:asciiTheme="majorHAnsi" w:hAnsiTheme="majorHAnsi" w:eastAsiaTheme="majorEastAsia" w:cstheme="majorBidi"/>
      <w:b/>
      <w:bCs/>
      <w:sz w:val="28"/>
      <w:szCs w:val="28"/>
    </w:rPr>
  </w:style>
  <w:style w:type="character" w:customStyle="1" w:styleId="25">
    <w:name w:val="批注文字 字符"/>
    <w:basedOn w:val="14"/>
    <w:link w:val="6"/>
    <w:qFormat/>
    <w:uiPriority w:val="0"/>
    <w:rPr>
      <w:kern w:val="2"/>
      <w:sz w:val="21"/>
      <w:szCs w:val="24"/>
    </w:rPr>
  </w:style>
  <w:style w:type="character" w:customStyle="1" w:styleId="26">
    <w:name w:val="批注主题 字符"/>
    <w:basedOn w:val="25"/>
    <w:link w:val="11"/>
    <w:semiHidden/>
    <w:qFormat/>
    <w:uiPriority w:val="99"/>
    <w:rPr>
      <w:b/>
      <w:bCs/>
      <w:kern w:val="2"/>
      <w:sz w:val="21"/>
      <w:szCs w:val="24"/>
    </w:rPr>
  </w:style>
  <w:style w:type="character" w:customStyle="1" w:styleId="27">
    <w:name w:val="Unresolved Mention"/>
    <w:basedOn w:val="1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E2C3B-B606-4D44-871F-DA3A98004A70}">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3422</Words>
  <Characters>3595</Characters>
  <Lines>211</Lines>
  <Paragraphs>162</Paragraphs>
  <TotalTime>98</TotalTime>
  <ScaleCrop>false</ScaleCrop>
  <LinksUpToDate>false</LinksUpToDate>
  <CharactersWithSpaces>4179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2021-05-26T07:14:00Z</dcterms:created>
  <dc:creator>Microsoft</dc:creator>
  <cp:lastModifiedBy>山海</cp:lastModifiedBy>
  <dcterms:modified xsi:type="dcterms:W3CDTF">2026-01-07T09:38:08Z</dcterms:modified>
  <cp:revision>156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3AF296D2436C42ED8D201C68680DD339_12</vt:lpwstr>
  </property>
  <property fmtid="{D5CDD505-2E9C-101B-9397-08002B2CF9AE}" pid="4" name="KSOTemplateDocerSaveRecord">
    <vt:lpwstr>eyJoZGlkIjoiNTY2ZTM4YmYyNzk5YTZjMjMwODcxZTBmZTBiN2M5NGEiLCJ1c2VySWQiOiI4ODA0ODYwMDAifQ==</vt:lpwstr>
  </property>
</Properties>
</file>