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03D" w:rsidRDefault="00CD403D" w:rsidP="00CD403D">
      <w:pPr>
        <w:jc w:val="center"/>
        <w:rPr>
          <w:rFonts w:ascii="方正小标宋简体" w:hAnsi="方正小标宋简体"/>
          <w:sz w:val="44"/>
          <w:szCs w:val="44"/>
        </w:rPr>
      </w:pPr>
      <w:r>
        <w:rPr>
          <w:rFonts w:ascii="方正小标宋简体" w:hAnsi="方正小标宋简体"/>
          <w:sz w:val="44"/>
          <w:szCs w:val="44"/>
        </w:rPr>
        <w:t>佛山科学技术</w:t>
      </w:r>
      <w:proofErr w:type="gramStart"/>
      <w:r>
        <w:rPr>
          <w:rFonts w:ascii="方正小标宋简体" w:hAnsi="方正小标宋简体"/>
          <w:sz w:val="44"/>
          <w:szCs w:val="44"/>
        </w:rPr>
        <w:t>学院党建</w:t>
      </w:r>
      <w:proofErr w:type="gramEnd"/>
      <w:r>
        <w:rPr>
          <w:rFonts w:ascii="方正小标宋简体" w:hAnsi="方正小标宋简体"/>
          <w:sz w:val="44"/>
          <w:szCs w:val="44"/>
        </w:rPr>
        <w:t>工作情况</w:t>
      </w:r>
    </w:p>
    <w:p w:rsidR="00CD403D" w:rsidRDefault="00CD403D" w:rsidP="00CD403D">
      <w:pPr>
        <w:jc w:val="center"/>
        <w:rPr>
          <w:rFonts w:ascii="方正小标宋简体" w:hAnsi="方正小标宋简体"/>
          <w:sz w:val="44"/>
          <w:szCs w:val="44"/>
        </w:rPr>
      </w:pPr>
      <w:r>
        <w:rPr>
          <w:rFonts w:ascii="方正小标宋简体" w:hAnsi="方正小标宋简体"/>
          <w:sz w:val="44"/>
          <w:szCs w:val="44"/>
        </w:rPr>
        <w:t xml:space="preserve"> </w:t>
      </w:r>
    </w:p>
    <w:p w:rsidR="00CD403D" w:rsidRDefault="00CD403D" w:rsidP="00CD403D">
      <w:pPr>
        <w:pStyle w:val="ListParagraph"/>
        <w:numPr>
          <w:ilvl w:val="0"/>
          <w:numId w:val="1"/>
        </w:numPr>
        <w:ind w:firstLineChars="0"/>
        <w:rPr>
          <w:rFonts w:ascii="黑体" w:eastAsia="黑体" w:hAnsi="黑体" w:cs="仿宋_GB2312"/>
          <w:b/>
          <w:bCs/>
          <w:sz w:val="32"/>
          <w:szCs w:val="32"/>
        </w:rPr>
      </w:pPr>
      <w:r>
        <w:rPr>
          <w:rFonts w:ascii="黑体" w:eastAsia="黑体" w:hAnsi="黑体" w:cs="仿宋_GB2312" w:hint="eastAsia"/>
          <w:b/>
          <w:bCs/>
          <w:sz w:val="32"/>
          <w:szCs w:val="32"/>
        </w:rPr>
        <w:t>基本情况</w:t>
      </w:r>
    </w:p>
    <w:p w:rsidR="00CD403D" w:rsidRDefault="00CD403D" w:rsidP="00CD403D">
      <w:pPr>
        <w:ind w:firstLineChars="200" w:firstLine="640"/>
        <w:rPr>
          <w:rFonts w:ascii="仿宋_GB2312" w:hint="eastAsia"/>
        </w:rPr>
      </w:pPr>
      <w:r>
        <w:rPr>
          <w:rFonts w:ascii="仿宋_GB2312" w:hint="eastAsia"/>
        </w:rPr>
        <w:t>佛山科学技术学院现有校区3个，分别位于</w:t>
      </w:r>
      <w:proofErr w:type="gramStart"/>
      <w:r>
        <w:rPr>
          <w:rFonts w:ascii="仿宋_GB2312" w:hint="eastAsia"/>
        </w:rPr>
        <w:t>佛山市禅城区</w:t>
      </w:r>
      <w:proofErr w:type="gramEnd"/>
      <w:r>
        <w:rPr>
          <w:rFonts w:ascii="仿宋_GB2312" w:hint="eastAsia"/>
        </w:rPr>
        <w:t>江湾一路18号、禅城区河滨路和南海区狮山镇广路33号。现有学生16591人（其中全日制研究生313人、本科生16278人），教职工1431人。学校党员人数2513人，在职教工党员966人、离退休党员394人、学生党员1153人。学校党委下设18个二级党委和1个党总支，设置党支部176个，其中在职教工党支部102个、离退休党支部26个和学生党支部48个。教工党员966人（占学校党员人数38.44%），其中专任教师党员600人（占教工党员62.11%）、正高级专任教师党员96人、副高级专任教师党员185人、35岁以下专任教师153人,“双带头人”（学术带头人、副高以上、博士）党支部书记57人,学生党员占学校党员人数45.88%。</w:t>
      </w:r>
    </w:p>
    <w:p w:rsidR="00CD403D" w:rsidRDefault="00CD403D" w:rsidP="00CD403D">
      <w:pPr>
        <w:ind w:firstLineChars="200" w:firstLine="640"/>
        <w:rPr>
          <w:rFonts w:ascii="仿宋_GB2312" w:hint="eastAsia"/>
        </w:rPr>
      </w:pPr>
      <w:r>
        <w:rPr>
          <w:rFonts w:ascii="仿宋_GB2312" w:hint="eastAsia"/>
        </w:rPr>
        <w:t>学校党建部门设置情况：党委办公室11人，纪委办公室6人，党委组织统战部7人，党委宣传部7人，研究生工作部7人，教师工作部7人，教师工作部14人，团委5人，学生工作部17人，武装部9人，工会6人。</w:t>
      </w:r>
    </w:p>
    <w:p w:rsidR="00CD403D" w:rsidRDefault="00CD403D" w:rsidP="00CD403D">
      <w:pPr>
        <w:ind w:firstLineChars="200" w:firstLine="643"/>
        <w:rPr>
          <w:rFonts w:ascii="黑体" w:eastAsia="黑体" w:hAnsi="黑体" w:cs="仿宋_GB2312" w:hint="eastAsia"/>
        </w:rPr>
      </w:pPr>
      <w:r>
        <w:rPr>
          <w:rFonts w:ascii="黑体" w:eastAsia="黑体" w:hAnsi="黑体" w:cs="仿宋_GB2312" w:hint="eastAsia"/>
          <w:b/>
          <w:bCs/>
        </w:rPr>
        <w:t>二、党建工作的经验亮点</w:t>
      </w:r>
    </w:p>
    <w:p w:rsidR="00CD403D" w:rsidRDefault="00CD403D" w:rsidP="00CD403D">
      <w:pPr>
        <w:ind w:firstLineChars="200" w:firstLine="640"/>
        <w:rPr>
          <w:rFonts w:ascii="仿宋_GB2312" w:hint="eastAsia"/>
          <w:kern w:val="0"/>
        </w:rPr>
      </w:pPr>
      <w:r>
        <w:rPr>
          <w:rFonts w:ascii="仿宋_GB2312" w:hint="eastAsia"/>
        </w:rPr>
        <w:t>1.以支部规范化建设为抓手，夯实我校基层党组织建设。</w:t>
      </w:r>
      <w:r>
        <w:rPr>
          <w:rFonts w:ascii="仿宋_GB2312" w:hint="eastAsia"/>
          <w:kern w:val="0"/>
        </w:rPr>
        <w:t>牢固树立党的一切工作到支部的鲜明导向，围绕组织健全、制度完善、运行规范、档案齐备、阵地达标、作用突出六个工作目标，通过做好顶层设置，让各党支部清楚要做什么，</w:t>
      </w:r>
      <w:r>
        <w:rPr>
          <w:rFonts w:ascii="仿宋_GB2312" w:hint="eastAsia"/>
          <w:kern w:val="0"/>
        </w:rPr>
        <w:lastRenderedPageBreak/>
        <w:t>对加强党支部规范化建设，</w:t>
      </w:r>
      <w:r>
        <w:rPr>
          <w:rFonts w:ascii="仿宋_GB2312" w:hint="eastAsia"/>
        </w:rPr>
        <w:t>夯实我校党建基础起到了明显的作用。组织统战部支部和光电信息工程系党支部被省委教育工委命名为“三型”党支部称号，动物科学系教工党支部被佛山市直工委确立为标杆党支部。</w:t>
      </w:r>
    </w:p>
    <w:p w:rsidR="00CD403D" w:rsidRDefault="00CD403D" w:rsidP="00CD403D">
      <w:pPr>
        <w:ind w:firstLine="640"/>
        <w:rPr>
          <w:rFonts w:ascii="仿宋_GB2312" w:hint="eastAsia"/>
        </w:rPr>
      </w:pPr>
      <w:r>
        <w:rPr>
          <w:rFonts w:ascii="仿宋_GB2312" w:hint="eastAsia"/>
        </w:rPr>
        <w:t>2.完善党建工作考核评议体系，以考核促规范，以评议促建设。学校党委在做好每年的民主评议党员和“大书记抓小书记”考核述职工作的基础上，制订了《佛山科学技术学院基层党建工作考核评价实施办法》，内容包括对二级党组织党建工作考核评价指标体系和党支部党建工作考核评价指标体系。</w:t>
      </w:r>
    </w:p>
    <w:p w:rsidR="00CD403D" w:rsidRDefault="00CD403D" w:rsidP="00CD403D">
      <w:pPr>
        <w:ind w:firstLine="640"/>
        <w:rPr>
          <w:rFonts w:ascii="仿宋_GB2312" w:hint="eastAsia"/>
        </w:rPr>
      </w:pPr>
      <w:r>
        <w:rPr>
          <w:rFonts w:ascii="仿宋_GB2312" w:hint="eastAsia"/>
        </w:rPr>
        <w:t>3.积极探索教师党支部“双带头人”制，</w:t>
      </w:r>
      <w:r>
        <w:rPr>
          <w:rFonts w:ascii="仿宋_GB2312" w:hint="eastAsia"/>
          <w:shd w:val="clear" w:color="auto" w:fill="FFFFFF"/>
        </w:rPr>
        <w:t>发挥党支部的主体作用</w:t>
      </w:r>
      <w:r>
        <w:rPr>
          <w:rFonts w:ascii="仿宋_GB2312" w:hint="eastAsia"/>
        </w:rPr>
        <w:t>。学校党委根据《中共教育部党组关于加强新形势下高校教师党支部建设的意见》大力推进教师党支部书记“党建带头人、学术带头人”培育工程，切实</w:t>
      </w:r>
      <w:proofErr w:type="gramStart"/>
      <w:r>
        <w:rPr>
          <w:rFonts w:ascii="仿宋_GB2312" w:hint="eastAsia"/>
        </w:rPr>
        <w:t>践行</w:t>
      </w:r>
      <w:proofErr w:type="gramEnd"/>
      <w:r>
        <w:rPr>
          <w:rFonts w:ascii="仿宋_GB2312" w:hint="eastAsia"/>
        </w:rPr>
        <w:t xml:space="preserve">“双带头人”制度。学校党委专门举办了党校117期二级党委书记培训班。 </w:t>
      </w:r>
    </w:p>
    <w:p w:rsidR="00CD403D" w:rsidRDefault="00CD403D" w:rsidP="00CD403D">
      <w:pPr>
        <w:widowControl/>
        <w:ind w:firstLineChars="196" w:firstLine="627"/>
        <w:jc w:val="left"/>
        <w:rPr>
          <w:rFonts w:ascii="仿宋_GB2312" w:hint="eastAsia"/>
        </w:rPr>
      </w:pPr>
      <w:r>
        <w:rPr>
          <w:rFonts w:ascii="仿宋_GB2312" w:hint="eastAsia"/>
          <w:shd w:val="clear" w:color="auto" w:fill="FFFFFF"/>
        </w:rPr>
        <w:t>4.</w:t>
      </w:r>
      <w:r>
        <w:rPr>
          <w:rFonts w:ascii="仿宋_GB2312" w:hint="eastAsia"/>
        </w:rPr>
        <w:t>以“书记项目”为抓手，培育党建品牌。2017年，全校共有18个二级党委书记项目入库，设立了30项学生党建创新项目。曾峥书记主持的“高校互联网+党建理论与实践研究”获2017年省高校党建研究会党建重点课题立项；在省高校党建研究会2017年征文中我校再创佳绩，获优秀组织奖和2篇一等奖，6篇二等奖，5篇三等奖；在第十七届省高校统战研讨会上，我校获评优</w:t>
      </w:r>
      <w:proofErr w:type="gramStart"/>
      <w:r>
        <w:rPr>
          <w:rFonts w:ascii="仿宋_GB2312" w:hint="eastAsia"/>
        </w:rPr>
        <w:t>秀组织</w:t>
      </w:r>
      <w:proofErr w:type="gramEnd"/>
      <w:r>
        <w:rPr>
          <w:rFonts w:ascii="仿宋_GB2312" w:hint="eastAsia"/>
        </w:rPr>
        <w:t>单位，并有2篇论文被评为优秀论文; 今年3月，我校入选省委教育工委对2017年全省高校党委书记抓基层党建述职评议考核排名靠前的15个高校。</w:t>
      </w:r>
    </w:p>
    <w:p w:rsidR="00CD403D" w:rsidRDefault="00CD403D" w:rsidP="00CD403D">
      <w:pPr>
        <w:ind w:firstLineChars="196" w:firstLine="627"/>
        <w:rPr>
          <w:rFonts w:ascii="仿宋_GB2312" w:hint="eastAsia"/>
        </w:rPr>
      </w:pPr>
      <w:r>
        <w:rPr>
          <w:rFonts w:ascii="仿宋_GB2312" w:hint="eastAsia"/>
        </w:rPr>
        <w:t>5.党建</w:t>
      </w:r>
      <w:proofErr w:type="gramStart"/>
      <w:r>
        <w:rPr>
          <w:rFonts w:ascii="仿宋_GB2312" w:hint="eastAsia"/>
        </w:rPr>
        <w:t>促高建取得</w:t>
      </w:r>
      <w:proofErr w:type="gramEnd"/>
      <w:r>
        <w:rPr>
          <w:rFonts w:ascii="仿宋_GB2312" w:hint="eastAsia"/>
        </w:rPr>
        <w:t>实效,凸显应用型高水平理工科大学的办学特色。学校建立23个具有鲜明地方特色的“产业学院”，以“双学院制”构筑新工科人才培养模式。</w:t>
      </w:r>
      <w:r>
        <w:rPr>
          <w:rFonts w:ascii="仿宋_GB2312" w:hint="eastAsia"/>
          <w:kern w:val="0"/>
        </w:rPr>
        <w:t>2017年</w:t>
      </w:r>
      <w:r>
        <w:rPr>
          <w:rFonts w:ascii="仿宋_GB2312" w:hint="eastAsia"/>
        </w:rPr>
        <w:t>被教育部评为“国防教育特色学校”；</w:t>
      </w:r>
      <w:proofErr w:type="gramStart"/>
      <w:r>
        <w:rPr>
          <w:rFonts w:ascii="仿宋_GB2312" w:hint="eastAsia"/>
        </w:rPr>
        <w:t>易班学生</w:t>
      </w:r>
      <w:proofErr w:type="gramEnd"/>
      <w:r>
        <w:rPr>
          <w:rFonts w:ascii="仿宋_GB2312" w:hint="eastAsia"/>
        </w:rPr>
        <w:t>工作站获得“2017年全国十佳易班工作站”称号、“佛大易+”特色应用获评“全国十佳易班特色应用”；校团委获评“全国五四红旗团委”、“全国‘三下乡’社会实践先进单位”等。</w:t>
      </w:r>
    </w:p>
    <w:p w:rsidR="00CD403D" w:rsidRDefault="00CD403D" w:rsidP="00CD403D">
      <w:pPr>
        <w:spacing w:line="600" w:lineRule="exact"/>
        <w:ind w:firstLineChars="200" w:firstLine="640"/>
        <w:rPr>
          <w:rFonts w:ascii="黑体" w:eastAsia="黑体" w:hAnsi="黑体" w:cs="仿宋_GB2312" w:hint="eastAsia"/>
        </w:rPr>
      </w:pPr>
      <w:r>
        <w:rPr>
          <w:rFonts w:ascii="黑体" w:eastAsia="黑体" w:hAnsi="黑体" w:cs="仿宋_GB2312" w:hint="eastAsia"/>
        </w:rPr>
        <w:t>三、党建工作中有待解决的问题</w:t>
      </w:r>
    </w:p>
    <w:p w:rsidR="00CD403D" w:rsidRDefault="00CD403D" w:rsidP="00CD403D">
      <w:pPr>
        <w:spacing w:line="600" w:lineRule="exact"/>
        <w:ind w:firstLineChars="200" w:firstLine="640"/>
        <w:rPr>
          <w:rFonts w:ascii="仿宋_GB2312" w:hint="eastAsia"/>
        </w:rPr>
      </w:pPr>
      <w:r>
        <w:rPr>
          <w:rFonts w:ascii="仿宋_GB2312" w:hint="eastAsia"/>
        </w:rPr>
        <w:t>1.部分二级党委政治核心作用发挥不够充分。</w:t>
      </w:r>
    </w:p>
    <w:p w:rsidR="00CD403D" w:rsidRDefault="00CD403D" w:rsidP="00CD403D">
      <w:pPr>
        <w:spacing w:line="600" w:lineRule="exact"/>
        <w:ind w:firstLineChars="200" w:firstLine="640"/>
        <w:rPr>
          <w:rFonts w:ascii="仿宋_GB2312" w:hint="eastAsia"/>
        </w:rPr>
      </w:pPr>
      <w:r>
        <w:rPr>
          <w:rFonts w:ascii="仿宋_GB2312" w:hint="eastAsia"/>
        </w:rPr>
        <w:t>2.支部规范化建设推进中存在着不平衡问题。</w:t>
      </w:r>
    </w:p>
    <w:p w:rsidR="00CD403D" w:rsidRDefault="00CD403D" w:rsidP="00CD403D">
      <w:pPr>
        <w:spacing w:line="600" w:lineRule="exact"/>
        <w:ind w:firstLineChars="200" w:firstLine="640"/>
        <w:rPr>
          <w:rFonts w:ascii="仿宋_GB2312" w:hint="eastAsia"/>
        </w:rPr>
      </w:pPr>
      <w:r>
        <w:rPr>
          <w:rFonts w:ascii="仿宋_GB2312" w:hint="eastAsia"/>
        </w:rPr>
        <w:t>3.二级党委、党支部考核评价有待于进一步实施中不断完善。</w:t>
      </w:r>
    </w:p>
    <w:p w:rsidR="00CD403D" w:rsidRDefault="00CD403D" w:rsidP="00CD403D">
      <w:pPr>
        <w:spacing w:line="600" w:lineRule="exact"/>
        <w:ind w:firstLineChars="200" w:firstLine="640"/>
        <w:rPr>
          <w:rFonts w:ascii="仿宋_GB2312" w:hint="eastAsia"/>
        </w:rPr>
      </w:pPr>
      <w:r>
        <w:rPr>
          <w:rFonts w:ascii="仿宋_GB2312" w:hint="eastAsia"/>
        </w:rPr>
        <w:t>4.对选优配强党支部书记，实行“双带头人”培育工程还存在着认识不够。</w:t>
      </w:r>
    </w:p>
    <w:p w:rsidR="00CD403D" w:rsidRDefault="00CD403D" w:rsidP="00CD403D">
      <w:pPr>
        <w:spacing w:line="600" w:lineRule="exact"/>
        <w:ind w:firstLineChars="200" w:firstLine="640"/>
        <w:rPr>
          <w:rFonts w:ascii="仿宋_GB2312" w:hint="eastAsia"/>
        </w:rPr>
      </w:pPr>
      <w:r>
        <w:rPr>
          <w:rFonts w:ascii="仿宋_GB2312" w:hint="eastAsia"/>
        </w:rPr>
        <w:t>5.少数党员的政治意识、担当意识、责任意识不够强，先锋模范作用发挥不突出。</w:t>
      </w:r>
    </w:p>
    <w:p w:rsidR="00CD403D" w:rsidRDefault="00CD403D" w:rsidP="00CD403D">
      <w:pPr>
        <w:rPr>
          <w:rFonts w:ascii="仿宋_GB2312" w:hint="eastAsia"/>
        </w:rPr>
      </w:pPr>
      <w:r>
        <w:rPr>
          <w:rFonts w:ascii="仿宋_GB2312" w:hint="eastAsia"/>
        </w:rPr>
        <w:t xml:space="preserve"> </w:t>
      </w:r>
    </w:p>
    <w:p w:rsidR="00CD403D" w:rsidRDefault="00CD403D" w:rsidP="00CD403D">
      <w:pPr>
        <w:rPr>
          <w:rFonts w:ascii="仿宋_GB2312" w:hint="eastAsia"/>
        </w:rPr>
      </w:pPr>
      <w:r>
        <w:rPr>
          <w:rFonts w:ascii="仿宋_GB2312" w:hint="eastAsia"/>
        </w:rPr>
        <w:t xml:space="preserve"> </w:t>
      </w:r>
    </w:p>
    <w:p w:rsidR="00CD403D" w:rsidRDefault="00CD403D" w:rsidP="00CD403D">
      <w:pPr>
        <w:rPr>
          <w:rFonts w:ascii="仿宋_GB2312" w:hint="eastAsia"/>
        </w:rPr>
      </w:pPr>
      <w:r>
        <w:rPr>
          <w:rFonts w:ascii="仿宋_GB2312" w:hint="eastAsia"/>
        </w:rPr>
        <w:t xml:space="preserve"> </w:t>
      </w:r>
    </w:p>
    <w:p w:rsidR="00CD403D" w:rsidRDefault="00CD403D" w:rsidP="00CD403D">
      <w:pPr>
        <w:rPr>
          <w:rFonts w:ascii="仿宋_GB2312" w:hint="eastAsia"/>
        </w:rPr>
      </w:pPr>
      <w:r>
        <w:rPr>
          <w:rFonts w:ascii="仿宋_GB2312" w:hint="eastAsia"/>
        </w:rPr>
        <w:t xml:space="preserve"> </w:t>
      </w:r>
    </w:p>
    <w:p w:rsidR="00A1463B" w:rsidRPr="00CD403D" w:rsidRDefault="00A1463B">
      <w:bookmarkStart w:id="0" w:name="_GoBack"/>
      <w:bookmarkEnd w:id="0"/>
    </w:p>
    <w:sectPr w:rsidR="00A1463B" w:rsidRPr="00CD4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354E"/>
    <w:multiLevelType w:val="multilevel"/>
    <w:tmpl w:val="41167112"/>
    <w:lvl w:ilvl="0">
      <w:start w:val="1"/>
      <w:numFmt w:val="japaneseCounting"/>
      <w:lvlText w:val="%1、"/>
      <w:lvlJc w:val="left"/>
      <w:pPr>
        <w:ind w:left="1360" w:hanging="720"/>
      </w:pPr>
      <w:rPr>
        <w:rFonts w:ascii="Times New Roman" w:hAnsi="Times New Roman" w:cs="Times New Roman" w:hint="default"/>
      </w:rPr>
    </w:lvl>
    <w:lvl w:ilvl="1">
      <w:start w:val="1"/>
      <w:numFmt w:val="lowerLetter"/>
      <w:lvlText w:val="%2)"/>
      <w:lvlJc w:val="left"/>
      <w:pPr>
        <w:ind w:left="1480" w:hanging="420"/>
      </w:pPr>
      <w:rPr>
        <w:rFonts w:ascii="Times New Roman" w:hAnsi="Times New Roman" w:cs="Times New Roman" w:hint="default"/>
      </w:rPr>
    </w:lvl>
    <w:lvl w:ilvl="2">
      <w:start w:val="1"/>
      <w:numFmt w:val="lowerRoman"/>
      <w:lvlText w:val="%3."/>
      <w:lvlJc w:val="right"/>
      <w:pPr>
        <w:ind w:left="1900" w:hanging="420"/>
      </w:pPr>
      <w:rPr>
        <w:rFonts w:ascii="Times New Roman" w:hAnsi="Times New Roman" w:cs="Times New Roman" w:hint="default"/>
      </w:rPr>
    </w:lvl>
    <w:lvl w:ilvl="3">
      <w:start w:val="1"/>
      <w:numFmt w:val="decimal"/>
      <w:lvlText w:val="%4."/>
      <w:lvlJc w:val="left"/>
      <w:pPr>
        <w:ind w:left="2320" w:hanging="420"/>
      </w:pPr>
      <w:rPr>
        <w:rFonts w:ascii="Times New Roman" w:hAnsi="Times New Roman" w:cs="Times New Roman" w:hint="default"/>
      </w:rPr>
    </w:lvl>
    <w:lvl w:ilvl="4">
      <w:start w:val="1"/>
      <w:numFmt w:val="lowerLetter"/>
      <w:lvlText w:val="%5)"/>
      <w:lvlJc w:val="left"/>
      <w:pPr>
        <w:ind w:left="2740" w:hanging="420"/>
      </w:pPr>
      <w:rPr>
        <w:rFonts w:ascii="Times New Roman" w:hAnsi="Times New Roman" w:cs="Times New Roman" w:hint="default"/>
      </w:rPr>
    </w:lvl>
    <w:lvl w:ilvl="5">
      <w:start w:val="1"/>
      <w:numFmt w:val="lowerRoman"/>
      <w:lvlText w:val="%6."/>
      <w:lvlJc w:val="right"/>
      <w:pPr>
        <w:ind w:left="3160" w:hanging="420"/>
      </w:pPr>
      <w:rPr>
        <w:rFonts w:ascii="Times New Roman" w:hAnsi="Times New Roman" w:cs="Times New Roman" w:hint="default"/>
      </w:rPr>
    </w:lvl>
    <w:lvl w:ilvl="6">
      <w:start w:val="1"/>
      <w:numFmt w:val="decimal"/>
      <w:lvlText w:val="%7."/>
      <w:lvlJc w:val="left"/>
      <w:pPr>
        <w:ind w:left="3580" w:hanging="420"/>
      </w:pPr>
      <w:rPr>
        <w:rFonts w:ascii="Times New Roman" w:hAnsi="Times New Roman" w:cs="Times New Roman" w:hint="default"/>
      </w:rPr>
    </w:lvl>
    <w:lvl w:ilvl="7">
      <w:start w:val="1"/>
      <w:numFmt w:val="lowerLetter"/>
      <w:lvlText w:val="%8)"/>
      <w:lvlJc w:val="left"/>
      <w:pPr>
        <w:ind w:left="4000" w:hanging="420"/>
      </w:pPr>
      <w:rPr>
        <w:rFonts w:ascii="Times New Roman" w:hAnsi="Times New Roman" w:cs="Times New Roman" w:hint="default"/>
      </w:rPr>
    </w:lvl>
    <w:lvl w:ilvl="8">
      <w:start w:val="1"/>
      <w:numFmt w:val="lowerRoman"/>
      <w:lvlText w:val="%9."/>
      <w:lvlJc w:val="right"/>
      <w:pPr>
        <w:ind w:left="442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3D"/>
    <w:rsid w:val="00A1463B"/>
    <w:rsid w:val="00CD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03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CD403D"/>
    <w:pPr>
      <w:spacing w:line="240" w:lineRule="auto"/>
      <w:ind w:firstLineChars="200" w:firstLine="420"/>
    </w:pPr>
    <w:rPr>
      <w:rFonts w:eastAsia="宋体"/>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03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CD403D"/>
    <w:pPr>
      <w:spacing w:line="240" w:lineRule="auto"/>
      <w:ind w:firstLineChars="200" w:firstLine="420"/>
    </w:pPr>
    <w:rPr>
      <w:rFonts w:eastAsia="宋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1312</Characters>
  <Application>Microsoft Office Word</Application>
  <DocSecurity>0</DocSecurity>
  <Lines>10</Lines>
  <Paragraphs>3</Paragraphs>
  <ScaleCrop>false</ScaleCrop>
  <Company>Sky123.Org</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2018-10-28T12:27:00Z</dcterms:created>
  <dcterms:modified xsi:type="dcterms:W3CDTF">2018-10-28T12:27:00Z</dcterms:modified>
</cp:coreProperties>
</file>