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5CD" w:rsidRDefault="006165CD" w:rsidP="006165CD">
      <w:pPr>
        <w:spacing w:line="720" w:lineRule="exact"/>
        <w:jc w:val="center"/>
        <w:rPr>
          <w:rFonts w:ascii="方正小标宋简体" w:hAnsi="方正小标宋简体"/>
          <w:sz w:val="44"/>
          <w:szCs w:val="44"/>
        </w:rPr>
      </w:pPr>
      <w:r>
        <w:rPr>
          <w:rFonts w:ascii="方正小标宋简体" w:hAnsi="方正小标宋简体"/>
          <w:sz w:val="44"/>
          <w:szCs w:val="44"/>
        </w:rPr>
        <w:t>广东警官学院党建工作情况</w:t>
      </w:r>
    </w:p>
    <w:p w:rsidR="006165CD" w:rsidRDefault="006165CD" w:rsidP="006165CD">
      <w:pPr>
        <w:ind w:firstLineChars="200" w:firstLine="640"/>
        <w:rPr>
          <w:rFonts w:ascii="黑体" w:eastAsia="黑体" w:hAnsi="黑体"/>
        </w:rPr>
      </w:pPr>
      <w:r>
        <w:rPr>
          <w:rFonts w:ascii="黑体" w:eastAsia="黑体" w:hAnsi="黑体" w:hint="eastAsia"/>
        </w:rPr>
        <w:t xml:space="preserve"> </w:t>
      </w:r>
    </w:p>
    <w:p w:rsidR="006165CD" w:rsidRDefault="006165CD" w:rsidP="006165CD">
      <w:pPr>
        <w:ind w:firstLineChars="200" w:firstLine="640"/>
        <w:rPr>
          <w:rFonts w:ascii="黑体" w:eastAsia="黑体" w:hAnsi="黑体" w:hint="eastAsia"/>
        </w:rPr>
      </w:pPr>
      <w:r>
        <w:rPr>
          <w:rFonts w:ascii="黑体" w:eastAsia="黑体" w:hAnsi="黑体" w:hint="eastAsia"/>
        </w:rPr>
        <w:t>一、基本情况</w:t>
      </w:r>
    </w:p>
    <w:p w:rsidR="006165CD" w:rsidRDefault="006165CD" w:rsidP="006165CD">
      <w:pPr>
        <w:pStyle w:val="a3"/>
        <w:spacing w:before="0" w:beforeAutospacing="0" w:after="0" w:afterAutospacing="0" w:line="560" w:lineRule="exact"/>
        <w:ind w:firstLineChars="200" w:firstLine="640"/>
        <w:rPr>
          <w:rFonts w:ascii="仿宋_GB2312" w:eastAsia="仿宋_GB2312" w:hint="eastAsia"/>
          <w:sz w:val="32"/>
          <w:szCs w:val="32"/>
        </w:rPr>
      </w:pPr>
      <w:r>
        <w:rPr>
          <w:rFonts w:ascii="仿宋_GB2312" w:eastAsia="仿宋_GB2312" w:hint="eastAsia"/>
          <w:sz w:val="32"/>
          <w:szCs w:val="32"/>
        </w:rPr>
        <w:t>广东警官学院现有校区2个，分别位于</w:t>
      </w:r>
      <w:r>
        <w:rPr>
          <w:rFonts w:ascii="仿宋_GB2312" w:eastAsia="仿宋_GB2312" w:hint="eastAsia"/>
          <w:kern w:val="2"/>
          <w:sz w:val="32"/>
          <w:szCs w:val="32"/>
        </w:rPr>
        <w:t>广州市滨江东路500号、广州市白云区文盛庄路118号</w:t>
      </w:r>
      <w:r>
        <w:rPr>
          <w:rFonts w:ascii="仿宋_GB2312" w:eastAsia="仿宋_GB2312" w:hint="eastAsia"/>
          <w:sz w:val="32"/>
          <w:szCs w:val="32"/>
        </w:rPr>
        <w:t>。现有学生6286人（其中全日制研究生0人、本科生6286人、专科生0人、留学生0人），教职工460人。党员人数1136人。党委下设党总支7个，党支部43个，共有党员1136名。教工党支部25个，教工党员389人（占党员人数34.24%），其中专任教师党员194人（占教工党员49.87%）、正高级专任教师党员34人、副高级专任教师党员84人、35岁以下专任教师35人（党员26人）。“双带头人”（学术带头人、副高以上、博士）党支部书记2人。学生党支部10个，学生党员543人（占学校党员人数47.80%）。</w:t>
      </w:r>
    </w:p>
    <w:p w:rsidR="006165CD" w:rsidRDefault="006165CD" w:rsidP="006165CD">
      <w:pPr>
        <w:ind w:firstLineChars="200" w:firstLine="640"/>
        <w:rPr>
          <w:rFonts w:ascii="仿宋_GB2312" w:hint="eastAsia"/>
        </w:rPr>
      </w:pPr>
      <w:r>
        <w:rPr>
          <w:rFonts w:ascii="仿宋_GB2312" w:hint="eastAsia"/>
        </w:rPr>
        <w:t>党委工作机构设办公室（与院办两块牌子、一套人马）、组织宣传处（组织工作3人，宣传工作2人）、人事处（9人），纪委工作机构与监察室、审计室合署办公（4人）。</w:t>
      </w:r>
    </w:p>
    <w:p w:rsidR="006165CD" w:rsidRDefault="006165CD" w:rsidP="006165CD">
      <w:pPr>
        <w:ind w:firstLineChars="200" w:firstLine="640"/>
        <w:rPr>
          <w:rFonts w:ascii="楷体" w:eastAsia="楷体" w:hAnsi="楷体" w:hint="eastAsia"/>
        </w:rPr>
      </w:pPr>
      <w:r>
        <w:rPr>
          <w:rFonts w:ascii="黑体" w:eastAsia="黑体" w:hAnsi="黑体" w:hint="eastAsia"/>
        </w:rPr>
        <w:t>二、经验亮点</w:t>
      </w:r>
    </w:p>
    <w:p w:rsidR="006165CD" w:rsidRDefault="006165CD" w:rsidP="006165CD">
      <w:pPr>
        <w:pStyle w:val="a3"/>
        <w:shd w:val="clear" w:color="auto" w:fill="FFFFFF"/>
        <w:spacing w:before="0" w:beforeAutospacing="0" w:after="0" w:afterAutospacing="0" w:line="560" w:lineRule="exact"/>
        <w:ind w:firstLineChars="200" w:firstLine="640"/>
        <w:jc w:val="both"/>
        <w:rPr>
          <w:rFonts w:ascii="仿宋" w:eastAsia="仿宋" w:hAnsi="仿宋" w:cs="Times New Roman" w:hint="eastAsia"/>
          <w:kern w:val="2"/>
          <w:sz w:val="32"/>
          <w:szCs w:val="32"/>
        </w:rPr>
      </w:pPr>
      <w:r>
        <w:rPr>
          <w:rFonts w:ascii="仿宋" w:eastAsia="仿宋" w:hAnsi="仿宋" w:cs="Times New Roman" w:hint="eastAsia"/>
          <w:kern w:val="2"/>
          <w:sz w:val="32"/>
          <w:szCs w:val="32"/>
        </w:rPr>
        <w:t>1.工作责任落实进一步到位。制订问题清单、任务清单和责任清单，任务到岗到人，党委班子分头加强指导督促和检查，各项重点任务基本按时完成。</w:t>
      </w:r>
    </w:p>
    <w:p w:rsidR="006165CD" w:rsidRDefault="006165CD" w:rsidP="006165CD">
      <w:pPr>
        <w:pStyle w:val="a3"/>
        <w:shd w:val="clear" w:color="auto" w:fill="FFFFFF"/>
        <w:spacing w:before="0" w:beforeAutospacing="0" w:after="0" w:afterAutospacing="0" w:line="560" w:lineRule="exact"/>
        <w:ind w:firstLineChars="200" w:firstLine="640"/>
        <w:jc w:val="both"/>
        <w:rPr>
          <w:rFonts w:ascii="仿宋" w:eastAsia="仿宋" w:hAnsi="仿宋" w:cs="Times New Roman" w:hint="eastAsia"/>
          <w:kern w:val="2"/>
          <w:sz w:val="32"/>
          <w:szCs w:val="32"/>
        </w:rPr>
      </w:pPr>
      <w:r>
        <w:rPr>
          <w:rFonts w:ascii="仿宋" w:eastAsia="仿宋" w:hAnsi="仿宋" w:cs="Times New Roman" w:hint="eastAsia"/>
          <w:kern w:val="2"/>
          <w:sz w:val="32"/>
          <w:szCs w:val="32"/>
        </w:rPr>
        <w:t>2.党建制度机制进一步完善。成立了党建工作领导小组和工作机构，调整了思想政治工作委员及工作机构人员，健全了院处两级中心组学习制度，制订了意识形态责任制实施</w:t>
      </w:r>
      <w:r>
        <w:rPr>
          <w:rFonts w:ascii="仿宋" w:eastAsia="仿宋" w:hAnsi="仿宋" w:cs="Times New Roman" w:hint="eastAsia"/>
          <w:kern w:val="2"/>
          <w:sz w:val="32"/>
          <w:szCs w:val="32"/>
        </w:rPr>
        <w:lastRenderedPageBreak/>
        <w:t>办法、思想政治工作规范，完善了各部门</w:t>
      </w:r>
      <w:hyperlink r:id="rId5" w:history="1">
        <w:r>
          <w:rPr>
            <w:rStyle w:val="a4"/>
            <w:rFonts w:ascii="仿宋" w:eastAsia="仿宋" w:hAnsi="仿宋" w:cs="Times New Roman" w:hint="eastAsia"/>
            <w:kern w:val="2"/>
            <w:sz w:val="32"/>
            <w:szCs w:val="32"/>
          </w:rPr>
          <w:t>党组织负责人抓党建述职评议考核实施办法</w:t>
        </w:r>
      </w:hyperlink>
      <w:r>
        <w:rPr>
          <w:rFonts w:ascii="仿宋" w:eastAsia="仿宋" w:hAnsi="仿宋" w:cs="Times New Roman" w:hint="eastAsia"/>
          <w:kern w:val="2"/>
          <w:sz w:val="32"/>
          <w:szCs w:val="32"/>
        </w:rPr>
        <w:t>，形成了权责清晰、齐抓共管的良好机制和氛围。</w:t>
      </w:r>
    </w:p>
    <w:p w:rsidR="006165CD" w:rsidRDefault="006165CD" w:rsidP="006165CD">
      <w:pPr>
        <w:ind w:firstLineChars="200" w:firstLine="640"/>
        <w:rPr>
          <w:rFonts w:ascii="仿宋" w:eastAsia="仿宋" w:hAnsi="仿宋" w:hint="eastAsia"/>
        </w:rPr>
      </w:pPr>
      <w:r>
        <w:rPr>
          <w:rFonts w:ascii="仿宋" w:eastAsia="仿宋" w:hAnsi="仿宋" w:hint="eastAsia"/>
        </w:rPr>
        <w:t xml:space="preserve">3.工作成效进一步提高。一是领导干部和党员参训考学实现全覆盖，“四个意识”进一步加强，党性修养进一步提高。二是牢牢掌握意识形态工作领导权、主动权、话语权，实现意识形态总体向上向好，特别是在省十二次党代会、党的十九大召开期间确保了零差错、零事故。三是固本培元强基础效果明显。1人成功当选省十二次党代会代表。师生各一个支部被教育工委命名为“三型支部”。大学生党员暑期社会实践活动项目被教育工委通报表扬。2017年度保质保量发展党员300人，43名表现突出的发展对象在厦门金砖会晤安保一线火线入党。四是党员模范作用发挥和队伍凝聚力、战斗力进一步加强。支援厦门金砖会晤、广州财富全球论坛等大型活动安保和省第十二次党代会、党的十九大召开期间广州社会面防控、支援全省各地春运执勤等重大任务圆满完成，受到公安部、省公安厅的表彰和各地公安机关的好评。首届广东省公安机关十大教官、精品课程评选获得双料金牌，3人被评为公安部优秀教师、1人被评为全省优秀人民警察、1人被评为全省公安机关教育训练先进工作者。五是严格按要求召开院处领导干部专题民主生活会和支部专题组织生活会，认真抓好民主评议党员工作，党内政治生活的严肃性、规范性、实效性逐步增强。六是执纪问责力度进一步加大。综合运用“四种形态”严肃处理20余人，有效传递深入推进全面从严治党的压力。七是思想政治工作和精神文明建设取得积极成效。成立50万元爱心帮扶基金并规范运作，积极传递党组织的温暖。校园文化提质增效，成功举办第十一届校运会、“永远跟党走，开启新征程”大型主题文艺汇演，参加省直机关第三届趣味运动会荣获三等奖。文明安全和谐校园建设稳步推进，没有出现重大安全生产和人员伤亡事故。 </w:t>
      </w:r>
    </w:p>
    <w:p w:rsidR="006165CD" w:rsidRDefault="006165CD" w:rsidP="006165CD">
      <w:pPr>
        <w:ind w:firstLineChars="200" w:firstLine="640"/>
        <w:rPr>
          <w:rFonts w:ascii="仿宋_GB2312" w:hint="eastAsia"/>
        </w:rPr>
      </w:pPr>
      <w:r>
        <w:rPr>
          <w:rFonts w:ascii="黑体" w:eastAsia="黑体" w:hAnsi="黑体" w:hint="eastAsia"/>
        </w:rPr>
        <w:t>三、党建工作中有待解决的问题</w:t>
      </w:r>
    </w:p>
    <w:p w:rsidR="006165CD" w:rsidRDefault="006165CD" w:rsidP="006165CD">
      <w:pPr>
        <w:widowControl/>
        <w:ind w:firstLineChars="200" w:firstLine="640"/>
        <w:rPr>
          <w:rFonts w:ascii="仿宋_GB2312" w:hAnsi="仿宋" w:hint="eastAsia"/>
        </w:rPr>
      </w:pPr>
      <w:r>
        <w:rPr>
          <w:rFonts w:ascii="仿宋_GB2312" w:hAnsi="仿宋" w:hint="eastAsia"/>
        </w:rPr>
        <w:t>1.一些党支部政治功能弱化，党的组织生活不经常、不认真、不严肃，党员管理失之于宽、失之于软，教师思想政治工作相对薄弱。</w:t>
      </w:r>
    </w:p>
    <w:p w:rsidR="006165CD" w:rsidRDefault="006165CD" w:rsidP="006165CD">
      <w:pPr>
        <w:widowControl/>
        <w:ind w:firstLineChars="200" w:firstLine="640"/>
        <w:rPr>
          <w:rFonts w:ascii="仿宋_GB2312" w:hAnsi="仿宋" w:hint="eastAsia"/>
        </w:rPr>
      </w:pPr>
      <w:r>
        <w:rPr>
          <w:rFonts w:ascii="仿宋_GB2312" w:hAnsi="仿宋" w:hint="eastAsia"/>
        </w:rPr>
        <w:t>2.基层党建和思想政治工作创新不足。基层组织设置有死角，不利于工作的开展和积极性的调动。思想政治教育的教育理念、方法、手段与形势发展要求有一定差距，特别是利用信息化、现代化的手段创新不足。</w:t>
      </w:r>
    </w:p>
    <w:p w:rsidR="006165CD" w:rsidRDefault="006165CD" w:rsidP="006165CD">
      <w:pPr>
        <w:ind w:firstLineChars="200" w:firstLine="640"/>
        <w:rPr>
          <w:rFonts w:ascii="仿宋" w:eastAsia="仿宋" w:hAnsi="仿宋" w:hint="eastAsia"/>
        </w:rPr>
      </w:pPr>
      <w:r>
        <w:rPr>
          <w:rFonts w:ascii="仿宋_GB2312" w:hAnsi="仿宋" w:hint="eastAsia"/>
        </w:rPr>
        <w:t>3.</w:t>
      </w:r>
      <w:r>
        <w:rPr>
          <w:rFonts w:ascii="仿宋" w:eastAsia="仿宋" w:hAnsi="仿宋" w:hint="eastAsia"/>
        </w:rPr>
        <w:t xml:space="preserve"> 党务工作力量弱与党建任务重的矛盾比较突出，影响了党建工作的深入开展。机关未设党委，党务工作部门承担了机关党委的多数职能，也没有按最低比例配备机关专职党务干部，现有的干部往往一身多任，身心俱疲，很难提高工作质量和水平。基层支部的兼职党务干部大多也是业务骨干，精力有限，工作往往顾此失彼，并且从事党务工作完全是义务劳动，积极性不高。</w:t>
      </w:r>
      <w:r>
        <w:rPr>
          <w:rFonts w:ascii="仿宋_GB2312" w:hAnsi="仿宋" w:hint="eastAsia"/>
        </w:rPr>
        <w:t>党务工作力量与全面从严治党的形势不相适应，亟需加强人员配置和工作保障。</w:t>
      </w:r>
    </w:p>
    <w:p w:rsidR="006165CD" w:rsidRDefault="006165CD" w:rsidP="006165CD">
      <w:pPr>
        <w:rPr>
          <w:rFonts w:ascii="仿宋_GB2312" w:hint="eastAsia"/>
        </w:rPr>
      </w:pPr>
      <w:r>
        <w:rPr>
          <w:rFonts w:ascii="仿宋_GB2312" w:hint="eastAsia"/>
        </w:rPr>
        <w:t xml:space="preserve"> </w:t>
      </w:r>
    </w:p>
    <w:p w:rsidR="000C25B4" w:rsidRDefault="000C25B4">
      <w:bookmarkStart w:id="0" w:name="_GoBack"/>
      <w:bookmarkEnd w:id="0"/>
    </w:p>
    <w:sectPr w:rsidR="000C2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CD"/>
    <w:rsid w:val="000C25B4"/>
    <w:rsid w:val="00616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5C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CD"/>
    <w:pPr>
      <w:widowControl/>
      <w:spacing w:before="100" w:beforeAutospacing="1" w:after="100" w:afterAutospacing="1" w:line="240" w:lineRule="auto"/>
      <w:jc w:val="left"/>
    </w:pPr>
    <w:rPr>
      <w:rFonts w:ascii="宋体" w:eastAsia="宋体" w:hAnsi="宋体" w:cs="宋体"/>
      <w:kern w:val="0"/>
      <w:sz w:val="24"/>
      <w:szCs w:val="24"/>
    </w:rPr>
  </w:style>
  <w:style w:type="character" w:styleId="a4">
    <w:name w:val="Hyperlink"/>
    <w:basedOn w:val="a0"/>
    <w:uiPriority w:val="99"/>
    <w:unhideWhenUsed/>
    <w:rsid w:val="006165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5C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CD"/>
    <w:pPr>
      <w:widowControl/>
      <w:spacing w:before="100" w:beforeAutospacing="1" w:after="100" w:afterAutospacing="1" w:line="240" w:lineRule="auto"/>
      <w:jc w:val="left"/>
    </w:pPr>
    <w:rPr>
      <w:rFonts w:ascii="宋体" w:eastAsia="宋体" w:hAnsi="宋体" w:cs="宋体"/>
      <w:kern w:val="0"/>
      <w:sz w:val="24"/>
      <w:szCs w:val="24"/>
    </w:rPr>
  </w:style>
  <w:style w:type="character" w:styleId="a4">
    <w:name w:val="Hyperlink"/>
    <w:basedOn w:val="a0"/>
    <w:uiPriority w:val="99"/>
    <w:unhideWhenUsed/>
    <w:rsid w:val="00616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gdppla.edu.cn/UserFiles/File/15157197217192354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1510</Characters>
  <Application>Microsoft Office Word</Application>
  <DocSecurity>0</DocSecurity>
  <Lines>12</Lines>
  <Paragraphs>3</Paragraphs>
  <ScaleCrop>false</ScaleCrop>
  <Company>Sky123.Org</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2018-10-28T12:17:00Z</dcterms:created>
  <dcterms:modified xsi:type="dcterms:W3CDTF">2018-10-28T12:17:00Z</dcterms:modified>
</cp:coreProperties>
</file>