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4B8" w:rsidRDefault="007554B8" w:rsidP="007554B8">
      <w:pPr>
        <w:jc w:val="center"/>
        <w:rPr>
          <w:rFonts w:ascii="方正小标宋简体" w:hAnsi="方正小标宋简体"/>
          <w:sz w:val="44"/>
          <w:szCs w:val="44"/>
        </w:rPr>
      </w:pPr>
      <w:r>
        <w:rPr>
          <w:rFonts w:ascii="方正小标宋简体" w:hAnsi="方正小标宋简体"/>
          <w:sz w:val="44"/>
          <w:szCs w:val="44"/>
        </w:rPr>
        <w:t>广州城建职业学院党建工作情况</w:t>
      </w:r>
    </w:p>
    <w:p w:rsidR="007554B8" w:rsidRDefault="007554B8" w:rsidP="007554B8">
      <w:pPr>
        <w:rPr>
          <w:rFonts w:ascii="黑体" w:eastAsia="黑体" w:hAnsi="黑体"/>
          <w:sz w:val="32"/>
          <w:szCs w:val="32"/>
        </w:rPr>
      </w:pPr>
      <w:r>
        <w:rPr>
          <w:rFonts w:ascii="黑体" w:eastAsia="黑体" w:hAnsi="黑体" w:hint="eastAsia"/>
          <w:sz w:val="32"/>
          <w:szCs w:val="32"/>
        </w:rPr>
        <w:t>一、基本情况</w:t>
      </w:r>
    </w:p>
    <w:p w:rsidR="007554B8" w:rsidRDefault="007554B8" w:rsidP="007554B8">
      <w:pPr>
        <w:ind w:firstLineChars="300" w:firstLine="960"/>
        <w:rPr>
          <w:rFonts w:ascii="仿宋_GB2312" w:eastAsia="仿宋_GB2312" w:hint="eastAsia"/>
          <w:sz w:val="32"/>
          <w:szCs w:val="32"/>
        </w:rPr>
      </w:pPr>
      <w:r>
        <w:rPr>
          <w:rFonts w:ascii="仿宋_GB2312" w:eastAsia="仿宋_GB2312" w:hint="eastAsia"/>
          <w:sz w:val="32"/>
          <w:szCs w:val="32"/>
        </w:rPr>
        <w:t>广州城建职业学院现有校区1个，位于广州市从化区环市东路166号。现有学生18680人（均为专科生），教职工1060人。学校党员人数689人。学校党委下设基层党委（党总支）8个，党支部30个，共有党员689名。教工党支部12个，教工党员353人（占学校党员人数51.2%），其中专任教师党员138人（占教工党员39%）、正高级专任教师党员7人、副高级专任教师党员37人、35岁以下专任教师112人。“双带头人”（学术带头人、副高以上、博士）党支部书记8人。学生党支部18个，学生党员336人（占学校党员人数48.8%）</w:t>
      </w:r>
    </w:p>
    <w:p w:rsidR="007554B8" w:rsidRDefault="007554B8" w:rsidP="007554B8">
      <w:pPr>
        <w:rPr>
          <w:rFonts w:ascii="仿宋_GB2312" w:eastAsia="仿宋_GB2312" w:hint="eastAsia"/>
          <w:sz w:val="32"/>
          <w:szCs w:val="32"/>
        </w:rPr>
      </w:pPr>
      <w:r>
        <w:rPr>
          <w:rFonts w:ascii="仿宋_GB2312" w:eastAsia="仿宋_GB2312" w:hint="eastAsia"/>
          <w:sz w:val="32"/>
          <w:szCs w:val="32"/>
        </w:rPr>
        <w:t xml:space="preserve">    学校独立设置党委办公室，编制10人，现有在职人员9人。</w:t>
      </w:r>
    </w:p>
    <w:p w:rsidR="007554B8" w:rsidRDefault="007554B8" w:rsidP="007554B8">
      <w:pPr>
        <w:ind w:firstLineChars="200" w:firstLine="640"/>
        <w:rPr>
          <w:rFonts w:ascii="黑体" w:eastAsia="黑体" w:hAnsi="黑体" w:hint="eastAsia"/>
          <w:sz w:val="32"/>
          <w:szCs w:val="32"/>
        </w:rPr>
      </w:pPr>
      <w:r>
        <w:rPr>
          <w:rFonts w:ascii="黑体" w:eastAsia="黑体" w:hAnsi="黑体" w:hint="eastAsia"/>
          <w:sz w:val="32"/>
          <w:szCs w:val="32"/>
        </w:rPr>
        <w:t>二、经验亮点</w:t>
      </w:r>
    </w:p>
    <w:p w:rsidR="007554B8" w:rsidRDefault="007554B8" w:rsidP="007554B8">
      <w:pPr>
        <w:ind w:firstLineChars="200" w:firstLine="600"/>
        <w:rPr>
          <w:rFonts w:ascii="仿宋_GB2312" w:eastAsia="仿宋_GB2312" w:hint="eastAsia"/>
          <w:sz w:val="30"/>
          <w:szCs w:val="30"/>
        </w:rPr>
      </w:pPr>
      <w:r>
        <w:rPr>
          <w:rFonts w:ascii="仿宋_GB2312" w:eastAsia="仿宋_GB2312" w:hint="eastAsia"/>
          <w:sz w:val="30"/>
          <w:szCs w:val="30"/>
        </w:rPr>
        <w:t>学校实施党建引领下的“三全育人”工作模式：</w:t>
      </w:r>
    </w:p>
    <w:p w:rsidR="007554B8" w:rsidRDefault="007554B8" w:rsidP="007554B8">
      <w:pPr>
        <w:ind w:firstLineChars="200" w:firstLine="602"/>
        <w:rPr>
          <w:rFonts w:ascii="仿宋_GB2312" w:eastAsia="仿宋_GB2312" w:hint="eastAsia"/>
          <w:sz w:val="30"/>
          <w:szCs w:val="30"/>
        </w:rPr>
      </w:pPr>
      <w:r>
        <w:rPr>
          <w:rFonts w:ascii="仿宋_GB2312" w:eastAsia="仿宋_GB2312" w:hint="eastAsia"/>
          <w:b/>
          <w:bCs/>
          <w:sz w:val="30"/>
          <w:szCs w:val="30"/>
        </w:rPr>
        <w:t>一是</w:t>
      </w:r>
      <w:r>
        <w:rPr>
          <w:rFonts w:ascii="仿宋_GB2312" w:eastAsia="仿宋_GB2312" w:hint="eastAsia"/>
          <w:sz w:val="30"/>
          <w:szCs w:val="30"/>
        </w:rPr>
        <w:t>充分发挥党建示范引领功能，以注重党员发展教育管理，实施三级党校培训和“三投票五公示两答辩”严抓党员发展“入口”“出口”关；在党员层面开展“三亮三比三争”创先争优活动，支部层面开展“三型党支部”的创建，总支层面开展与专业相融合的“一院</w:t>
      </w:r>
      <w:proofErr w:type="gramStart"/>
      <w:r>
        <w:rPr>
          <w:rFonts w:ascii="仿宋_GB2312" w:eastAsia="仿宋_GB2312" w:hint="eastAsia"/>
          <w:sz w:val="30"/>
          <w:szCs w:val="30"/>
        </w:rPr>
        <w:t>一</w:t>
      </w:r>
      <w:proofErr w:type="gramEnd"/>
      <w:r>
        <w:rPr>
          <w:rFonts w:ascii="仿宋_GB2312" w:eastAsia="仿宋_GB2312" w:hint="eastAsia"/>
          <w:sz w:val="30"/>
          <w:szCs w:val="30"/>
        </w:rPr>
        <w:t>特色·一院</w:t>
      </w:r>
      <w:proofErr w:type="gramStart"/>
      <w:r>
        <w:rPr>
          <w:rFonts w:ascii="仿宋_GB2312" w:eastAsia="仿宋_GB2312" w:hint="eastAsia"/>
          <w:sz w:val="30"/>
          <w:szCs w:val="30"/>
        </w:rPr>
        <w:t>一</w:t>
      </w:r>
      <w:proofErr w:type="gramEnd"/>
      <w:r>
        <w:rPr>
          <w:rFonts w:ascii="仿宋_GB2312" w:eastAsia="仿宋_GB2312" w:hint="eastAsia"/>
          <w:sz w:val="30"/>
          <w:szCs w:val="30"/>
        </w:rPr>
        <w:t>品牌”党建工作示范点推广，形成有城建特色的党建工作品牌。</w:t>
      </w:r>
    </w:p>
    <w:p w:rsidR="007554B8" w:rsidRDefault="007554B8" w:rsidP="007554B8">
      <w:pPr>
        <w:ind w:firstLineChars="200" w:firstLine="602"/>
        <w:rPr>
          <w:rFonts w:ascii="仿宋_GB2312" w:eastAsia="仿宋_GB2312" w:hint="eastAsia"/>
          <w:sz w:val="32"/>
          <w:szCs w:val="32"/>
        </w:rPr>
      </w:pPr>
      <w:r>
        <w:rPr>
          <w:rFonts w:ascii="仿宋_GB2312" w:eastAsia="仿宋_GB2312" w:hint="eastAsia"/>
          <w:b/>
          <w:bCs/>
          <w:sz w:val="30"/>
          <w:szCs w:val="30"/>
        </w:rPr>
        <w:lastRenderedPageBreak/>
        <w:t>二是</w:t>
      </w:r>
      <w:r>
        <w:rPr>
          <w:rFonts w:ascii="仿宋_GB2312" w:eastAsia="仿宋_GB2312" w:hint="eastAsia"/>
          <w:sz w:val="30"/>
          <w:szCs w:val="30"/>
        </w:rPr>
        <w:t>实施“全员、全过程、全方位”的“三全育人”工作模式，将课程育人、实践育人、科研育人、文化育人、网络育人、心理育人、管理育人、服务育人、资助育人和组织育人这十个“育人”功能归口各职能部门，实现思想政治教育融入日常教育教学和管理之中。在学生社区搭建“党员服务站”和“辅导员工作站”，将其作为学校实施“三全”育人工作的重要载体和发挥社区育人功能的主要阵地，进一步深化学生思想政治教育与行为养成教育的重要平台。“党员服务站”作为全校师生党员服务学生的阵地，充分发挥了教师党员们在日常和课堂专业教学外的思想引领和专业帮扶功能，学生党员在学生社区管理与服务中的朋辈引领和互助作用，营造比学赶帮超氛围，形成良好学风，养成良好习惯；辅导员工作站则以思想引导、学习指导、生活督导、心理疏导、活动教导 “五导”教育为基础，将思想政治教育贯穿学生学习、生活的全过程，切实地贴近学生、了解学生、引导学生、帮助学生，不断引导学生牢固树立正确的世界观、人生观、价值观。</w:t>
      </w:r>
    </w:p>
    <w:p w:rsidR="007554B8" w:rsidRDefault="007554B8" w:rsidP="007554B8">
      <w:pPr>
        <w:ind w:firstLineChars="200" w:firstLine="640"/>
        <w:rPr>
          <w:rFonts w:ascii="黑体" w:eastAsia="黑体" w:hAnsi="黑体" w:hint="eastAsia"/>
          <w:sz w:val="32"/>
          <w:szCs w:val="32"/>
        </w:rPr>
      </w:pPr>
      <w:r>
        <w:rPr>
          <w:rFonts w:ascii="黑体" w:eastAsia="黑体" w:hAnsi="黑体" w:hint="eastAsia"/>
          <w:sz w:val="32"/>
          <w:szCs w:val="32"/>
        </w:rPr>
        <w:t>三、党建工作中有待解决的问题</w:t>
      </w:r>
    </w:p>
    <w:p w:rsidR="007554B8" w:rsidRDefault="007554B8" w:rsidP="007554B8">
      <w:pPr>
        <w:ind w:firstLine="640"/>
        <w:rPr>
          <w:rFonts w:ascii="仿宋_GB2312" w:eastAsia="仿宋_GB2312" w:hint="eastAsia"/>
          <w:sz w:val="32"/>
          <w:szCs w:val="32"/>
        </w:rPr>
      </w:pPr>
      <w:r>
        <w:rPr>
          <w:rFonts w:ascii="仿宋_GB2312" w:eastAsia="仿宋_GB2312" w:hint="eastAsia"/>
          <w:sz w:val="32"/>
          <w:szCs w:val="32"/>
        </w:rPr>
        <w:t>1.基层支部书记多为兼职，参与培训的积极性不高。根据学校党建2018年工作要点，本年将开展业务培训2期、支部书记沙龙4期、外出考察1次，全面提升我校党支部书记</w:t>
      </w:r>
      <w:proofErr w:type="gramStart"/>
      <w:r>
        <w:rPr>
          <w:rFonts w:ascii="仿宋_GB2312" w:eastAsia="仿宋_GB2312" w:hint="eastAsia"/>
          <w:sz w:val="32"/>
          <w:szCs w:val="32"/>
        </w:rPr>
        <w:t>履</w:t>
      </w:r>
      <w:proofErr w:type="gramEnd"/>
      <w:r>
        <w:rPr>
          <w:rFonts w:ascii="仿宋_GB2312" w:eastAsia="仿宋_GB2312" w:hint="eastAsia"/>
          <w:sz w:val="32"/>
          <w:szCs w:val="32"/>
        </w:rPr>
        <w:t>职能力和基层党建工作规范化水平。希望省委教育工委组织开展的基层党组织书记轮训向民办高校倾斜。</w:t>
      </w:r>
    </w:p>
    <w:p w:rsidR="007554B8" w:rsidRDefault="007554B8" w:rsidP="007554B8">
      <w:pPr>
        <w:ind w:firstLine="640"/>
        <w:rPr>
          <w:rFonts w:ascii="仿宋_GB2312" w:eastAsia="仿宋_GB2312" w:hint="eastAsia"/>
          <w:sz w:val="32"/>
          <w:szCs w:val="32"/>
        </w:rPr>
      </w:pPr>
      <w:r>
        <w:rPr>
          <w:rFonts w:ascii="仿宋_GB2312" w:eastAsia="仿宋_GB2312" w:hint="eastAsia"/>
          <w:sz w:val="32"/>
          <w:szCs w:val="32"/>
        </w:rPr>
        <w:t>2.教师入党积极性不高。2017年学校共发展了9名教师党员，其中仅有“高知识”群体党员2名，学校将结合2018年工作要点，在优秀教师群体中发展党员。</w:t>
      </w:r>
    </w:p>
    <w:p w:rsidR="007554B8" w:rsidRDefault="007554B8" w:rsidP="007554B8">
      <w:pPr>
        <w:ind w:firstLine="640"/>
        <w:rPr>
          <w:rFonts w:ascii="仿宋_GB2312" w:eastAsia="仿宋_GB2312" w:hint="eastAsia"/>
          <w:sz w:val="32"/>
          <w:szCs w:val="32"/>
        </w:rPr>
      </w:pPr>
      <w:r>
        <w:rPr>
          <w:rFonts w:ascii="仿宋_GB2312" w:eastAsia="仿宋_GB2312" w:hint="eastAsia"/>
          <w:sz w:val="32"/>
          <w:szCs w:val="32"/>
        </w:rPr>
        <w:t>3.教师党支部管理参差不齐。为贯彻落实党的十九大精神，不断强化教师党支部的政治功能和服务功能，培养造就一支高素质的教师党支部书记队伍，学校党委研究制定了《教师党支部书记“双带头人”培育工程实施方案》（广州</w:t>
      </w:r>
      <w:proofErr w:type="gramStart"/>
      <w:r>
        <w:rPr>
          <w:rFonts w:ascii="仿宋_GB2312" w:eastAsia="仿宋_GB2312" w:hint="eastAsia"/>
          <w:sz w:val="32"/>
          <w:szCs w:val="32"/>
        </w:rPr>
        <w:t>城建党</w:t>
      </w:r>
      <w:proofErr w:type="gramEnd"/>
      <w:r>
        <w:rPr>
          <w:rFonts w:ascii="仿宋_GB2312" w:eastAsia="仿宋_GB2312" w:hint="eastAsia"/>
          <w:sz w:val="32"/>
          <w:szCs w:val="32"/>
        </w:rPr>
        <w:t>〔2018〕4号），已于4月初开始对校属各支部进行摸查调研，积极探索党支部书记“双带头人”培训工程，目前二级学院均已完成调整工作，分别由8名教研室专业带头人担任教师党支部书记，但专任教师党务知识相对薄弱。</w:t>
      </w:r>
    </w:p>
    <w:p w:rsidR="007554B8" w:rsidRDefault="007554B8" w:rsidP="007554B8">
      <w:pPr>
        <w:ind w:firstLine="640"/>
        <w:rPr>
          <w:rFonts w:ascii="仿宋_GB2312" w:eastAsia="仿宋_GB2312" w:hint="eastAsia"/>
          <w:sz w:val="32"/>
          <w:szCs w:val="32"/>
        </w:rPr>
      </w:pPr>
      <w:r>
        <w:rPr>
          <w:rFonts w:ascii="仿宋_GB2312" w:eastAsia="仿宋_GB2312" w:hint="eastAsia"/>
          <w:sz w:val="32"/>
          <w:szCs w:val="32"/>
        </w:rPr>
        <w:t xml:space="preserve"> </w:t>
      </w:r>
    </w:p>
    <w:p w:rsidR="007554B8" w:rsidRDefault="007554B8" w:rsidP="007554B8">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7554B8" w:rsidRDefault="007554B8" w:rsidP="007554B8">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7554B8" w:rsidRDefault="007554B8" w:rsidP="007554B8">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7554B8" w:rsidRDefault="007554B8" w:rsidP="007554B8">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7554B8" w:rsidRDefault="007554B8" w:rsidP="007554B8">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7554B8" w:rsidRDefault="007554B8" w:rsidP="007554B8">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7554B8" w:rsidRDefault="007554B8" w:rsidP="007554B8">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7554B8" w:rsidRDefault="007554B8" w:rsidP="007554B8">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7554B8" w:rsidRDefault="007554B8" w:rsidP="007554B8">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7554B8" w:rsidRDefault="007554B8" w:rsidP="007554B8">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173F32" w:rsidRPr="007554B8" w:rsidRDefault="00173F32">
      <w:bookmarkStart w:id="0" w:name="_GoBack"/>
      <w:bookmarkEnd w:id="0"/>
    </w:p>
    <w:sectPr w:rsidR="00173F32" w:rsidRPr="007554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4B8"/>
    <w:rsid w:val="00173F32"/>
    <w:rsid w:val="00755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4B8"/>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4B8"/>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204</Words>
  <Characters>1163</Characters>
  <Application>Microsoft Office Word</Application>
  <DocSecurity>0</DocSecurity>
  <Lines>9</Lines>
  <Paragraphs>2</Paragraphs>
  <ScaleCrop>false</ScaleCrop>
  <Company>Sky123.Org</Company>
  <LinksUpToDate>false</LinksUpToDate>
  <CharactersWithSpaces>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2018-10-28T15:02:00Z</dcterms:created>
  <dcterms:modified xsi:type="dcterms:W3CDTF">2018-10-28T15:03:00Z</dcterms:modified>
</cp:coreProperties>
</file>