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B5" w:rsidRDefault="003F5AB5" w:rsidP="003F5AB5">
      <w:pPr>
        <w:spacing w:line="360" w:lineRule="auto"/>
        <w:jc w:val="center"/>
        <w:rPr>
          <w:rFonts w:ascii="方正小标宋简体" w:hAnsi="华文中宋" w:cs="华文中宋"/>
          <w:sz w:val="44"/>
          <w:szCs w:val="44"/>
        </w:rPr>
      </w:pPr>
      <w:r>
        <w:rPr>
          <w:rFonts w:ascii="方正小标宋简体" w:hAnsi="方正小标宋简体" w:cs="华文中宋"/>
          <w:sz w:val="44"/>
          <w:szCs w:val="44"/>
        </w:rPr>
        <w:t>广州工商学院党建工作情况</w:t>
      </w:r>
    </w:p>
    <w:p w:rsidR="003F5AB5" w:rsidRDefault="003F5AB5" w:rsidP="003F5AB5">
      <w:pPr>
        <w:ind w:firstLineChars="196" w:firstLine="630"/>
        <w:rPr>
          <w:rFonts w:ascii="黑体" w:eastAsia="黑体" w:hAnsi="黑体"/>
          <w:b/>
          <w:bCs/>
          <w:sz w:val="32"/>
          <w:szCs w:val="32"/>
        </w:rPr>
      </w:pPr>
      <w:r>
        <w:rPr>
          <w:rFonts w:ascii="黑体" w:eastAsia="黑体" w:hAnsi="黑体" w:hint="eastAsia"/>
          <w:b/>
          <w:bCs/>
          <w:sz w:val="32"/>
          <w:szCs w:val="32"/>
        </w:rPr>
        <w:t>一、基本情况</w:t>
      </w:r>
    </w:p>
    <w:p w:rsidR="003F5AB5" w:rsidRDefault="003F5AB5" w:rsidP="003F5AB5">
      <w:pPr>
        <w:ind w:firstLine="640"/>
        <w:rPr>
          <w:rFonts w:ascii="仿宋_GB2312" w:eastAsia="仿宋_GB2312" w:hint="eastAsia"/>
          <w:sz w:val="32"/>
          <w:szCs w:val="32"/>
        </w:rPr>
      </w:pPr>
      <w:r>
        <w:rPr>
          <w:rFonts w:ascii="仿宋_GB2312" w:eastAsia="仿宋_GB2312" w:hint="eastAsia"/>
          <w:sz w:val="32"/>
          <w:szCs w:val="32"/>
        </w:rPr>
        <w:t>广州工商学院现有校区2个，分别位于广州市花都区狮岭镇和佛山市三水区乐平镇。现有学生21987人（其中全日制研究生0人、本科生13662人、专科生8325人、留学生0人），教职工1303人。学院党员人数1037人。学院党委下设基层党总支8个，党支部32个，共有党员1037名。教工党支部13个，教工党员487人（占学院党员人数46.96%），其中专任教师党员262人（占教工党员53.79%）。正高级专任教师党员0人、副高级专任教师党员3人、35岁以下专任教师210人。“双带头人”（学术带头人、副高以上、博士）党支部书记8人。学生党支部19个，学生党员523人（占学院党员人数50.43%）。</w:t>
      </w:r>
    </w:p>
    <w:p w:rsidR="003F5AB5" w:rsidRDefault="003F5AB5" w:rsidP="003F5AB5">
      <w:pPr>
        <w:ind w:firstLine="640"/>
        <w:rPr>
          <w:rFonts w:ascii="仿宋_GB2312" w:eastAsia="仿宋_GB2312" w:hint="eastAsia"/>
          <w:sz w:val="32"/>
          <w:szCs w:val="32"/>
        </w:rPr>
      </w:pPr>
      <w:r>
        <w:rPr>
          <w:rFonts w:ascii="仿宋_GB2312" w:eastAsia="仿宋_GB2312" w:hint="eastAsia"/>
          <w:sz w:val="32"/>
          <w:szCs w:val="32"/>
        </w:rPr>
        <w:t>学院设有党委办公室、组织部、宣传部、统战部、学工部、武装部、党校等职能部门。现部门齐备，党务工作力量充实，共有7名在编人员。</w:t>
      </w:r>
    </w:p>
    <w:p w:rsidR="003F5AB5" w:rsidRDefault="003F5AB5" w:rsidP="003F5AB5">
      <w:pPr>
        <w:ind w:firstLine="640"/>
        <w:rPr>
          <w:rFonts w:ascii="黑体" w:eastAsia="黑体" w:hAnsi="黑体" w:hint="eastAsia"/>
          <w:b/>
          <w:bCs/>
          <w:sz w:val="32"/>
          <w:szCs w:val="32"/>
        </w:rPr>
      </w:pPr>
      <w:r>
        <w:rPr>
          <w:rFonts w:ascii="黑体" w:eastAsia="黑体" w:hAnsi="黑体" w:hint="eastAsia"/>
          <w:b/>
          <w:bCs/>
          <w:sz w:val="32"/>
          <w:szCs w:val="32"/>
        </w:rPr>
        <w:t>二、经验亮点</w:t>
      </w:r>
    </w:p>
    <w:p w:rsidR="003F5AB5" w:rsidRDefault="003F5AB5" w:rsidP="003F5AB5">
      <w:pPr>
        <w:ind w:firstLine="640"/>
        <w:rPr>
          <w:rFonts w:ascii="仿宋_GB2312" w:eastAsia="仿宋_GB2312" w:hint="eastAsia"/>
          <w:sz w:val="32"/>
          <w:szCs w:val="32"/>
        </w:rPr>
      </w:pPr>
      <w:r>
        <w:rPr>
          <w:rFonts w:ascii="仿宋_GB2312" w:eastAsia="仿宋_GB2312" w:hAnsi="黑体" w:hint="eastAsia"/>
          <w:sz w:val="32"/>
          <w:szCs w:val="32"/>
        </w:rPr>
        <w:t>1.</w:t>
      </w:r>
      <w:r>
        <w:rPr>
          <w:rFonts w:ascii="仿宋_GB2312" w:eastAsia="仿宋_GB2312" w:hint="eastAsia"/>
          <w:sz w:val="32"/>
          <w:szCs w:val="32"/>
        </w:rPr>
        <w:t xml:space="preserve"> 学校董事会和行政十分重视党建工作，建立了学院党委参与学校决策和监督制度，自学校党委成立以来，学院党委书记一直作为董事会董事和院长办公会成员参与学校日常管理，参与讨论学校发展规划、重要改革、人事安排等重大事项。学院把党建工作列入学校整体发展规划，在人、</w:t>
      </w:r>
      <w:r>
        <w:rPr>
          <w:rFonts w:ascii="仿宋_GB2312" w:eastAsia="仿宋_GB2312" w:hint="eastAsia"/>
          <w:sz w:val="32"/>
          <w:szCs w:val="32"/>
        </w:rPr>
        <w:lastRenderedPageBreak/>
        <w:t>财、物等方面给予大力支持，目前已提供党建活动场所8处、党委机构办公用房12间。同时学院设有专门的党建专项经费账户，实行专户管理，除上级下拨党建经费外，2017年学院下拨党建经费50万元，由学院党委书记审批使用，确保专款专用，满足党建活动需要。</w:t>
      </w:r>
    </w:p>
    <w:p w:rsidR="003F5AB5" w:rsidRDefault="003F5AB5" w:rsidP="003F5AB5">
      <w:pPr>
        <w:ind w:firstLineChars="200" w:firstLine="640"/>
        <w:rPr>
          <w:rFonts w:ascii="仿宋_GB2312" w:eastAsia="仿宋_GB2312" w:hint="eastAsia"/>
          <w:sz w:val="32"/>
          <w:szCs w:val="32"/>
        </w:rPr>
      </w:pPr>
      <w:r>
        <w:rPr>
          <w:rFonts w:ascii="仿宋_GB2312" w:eastAsia="仿宋_GB2312" w:hint="eastAsia"/>
          <w:sz w:val="32"/>
          <w:szCs w:val="32"/>
        </w:rPr>
        <w:t>2.实施“校园党旗飘扬”计划。以开展丰富党组织生活系列活动和促进党员参与社会服务为主要目标。期间学院党委联合各基层党组织举办系列主题活动，如“砥砺奋进的五年图片展”“喜迎十九大师生音乐会”“《习近平七年知青岁月》读书分享会”“红歌合唱比赛”“红色经典朗诵比赛”等活动。同时各基层党组织倡导并组织党员参与校内外各种公益活动等。力求做到校园处处党旗红。</w:t>
      </w:r>
    </w:p>
    <w:p w:rsidR="003F5AB5" w:rsidRDefault="003F5AB5" w:rsidP="003F5AB5">
      <w:pPr>
        <w:ind w:firstLineChars="200" w:firstLine="640"/>
        <w:rPr>
          <w:rFonts w:ascii="仿宋_GB2312" w:eastAsia="仿宋_GB2312" w:hint="eastAsia"/>
          <w:sz w:val="32"/>
          <w:szCs w:val="32"/>
        </w:rPr>
      </w:pPr>
      <w:r>
        <w:rPr>
          <w:rFonts w:ascii="仿宋_GB2312" w:eastAsia="仿宋_GB2312" w:hint="eastAsia"/>
          <w:sz w:val="32"/>
          <w:szCs w:val="32"/>
        </w:rPr>
        <w:t>3.设立党建一站式和党员服务岗。学院建有一站式服务中心，集提供党建事务办理、咨询、服务、投诉处理等多元服务，现已成为学院基层党建服务的示范窗口并实现两个校区全覆盖。各基层党组织设有党员服务岗，在新生报到等大型活动时提供各项服务。基层党组织专门设立了党员服务站、学生党员宿舍，常年开展各种党员服务活动，有效发挥了党的基层组织和党员先锋模范作用。</w:t>
      </w:r>
    </w:p>
    <w:p w:rsidR="003F5AB5" w:rsidRDefault="003F5AB5" w:rsidP="003F5AB5">
      <w:pPr>
        <w:ind w:firstLineChars="200" w:firstLine="640"/>
        <w:rPr>
          <w:rFonts w:ascii="仿宋_GB2312" w:eastAsia="仿宋_GB2312" w:hint="eastAsia"/>
          <w:sz w:val="32"/>
          <w:szCs w:val="32"/>
        </w:rPr>
      </w:pPr>
      <w:r>
        <w:rPr>
          <w:rFonts w:ascii="仿宋_GB2312" w:eastAsia="仿宋_GB2312" w:hint="eastAsia"/>
          <w:sz w:val="32"/>
          <w:szCs w:val="32"/>
        </w:rPr>
        <w:t>4.重视党建带团建工作。学院规定团委每月需向党委提交团建工作总结，党委书记定期召开团学工作调研座谈会，参与指导团学活动、“五四”评优、学生社团改革等。党委书记每年亲自为青马工程培训班和团学新干部培训作讲座报告，同时党委参与指导学院、系部两级单位“青马工程”的培训工作。</w:t>
      </w:r>
    </w:p>
    <w:p w:rsidR="003F5AB5" w:rsidRDefault="003F5AB5" w:rsidP="003F5AB5">
      <w:pPr>
        <w:pStyle w:val="ListParagraph"/>
        <w:numPr>
          <w:ilvl w:val="0"/>
          <w:numId w:val="1"/>
        </w:numPr>
        <w:ind w:firstLineChars="0"/>
        <w:rPr>
          <w:rFonts w:ascii="黑体" w:eastAsia="黑体" w:hAnsi="黑体" w:hint="eastAsia"/>
          <w:b/>
          <w:bCs/>
          <w:sz w:val="32"/>
          <w:szCs w:val="32"/>
        </w:rPr>
      </w:pPr>
      <w:r>
        <w:rPr>
          <w:rFonts w:ascii="黑体" w:eastAsia="黑体" w:hAnsi="黑体" w:hint="eastAsia"/>
          <w:b/>
          <w:bCs/>
          <w:sz w:val="32"/>
          <w:szCs w:val="32"/>
        </w:rPr>
        <w:t>党建工作中有待解决的问题</w:t>
      </w:r>
    </w:p>
    <w:p w:rsidR="003F5AB5" w:rsidRDefault="003F5AB5" w:rsidP="003F5AB5">
      <w:pPr>
        <w:ind w:firstLineChars="200" w:firstLine="640"/>
        <w:rPr>
          <w:rFonts w:ascii="仿宋_GB2312" w:eastAsia="仿宋_GB2312" w:hint="eastAsia"/>
          <w:sz w:val="32"/>
          <w:szCs w:val="32"/>
        </w:rPr>
      </w:pPr>
      <w:r>
        <w:rPr>
          <w:rFonts w:ascii="仿宋_GB2312" w:eastAsia="仿宋_GB2312" w:hint="eastAsia"/>
          <w:sz w:val="32"/>
          <w:szCs w:val="32"/>
        </w:rPr>
        <w:t>1.已按上级规定落实“双带头人”工程，并于4月完成本年度各基层党组织专职组织员聘用工作，但各基层党组织对专职组织员工作的范畴不清晰，常将其等同于组织委员工作范畴。各基层党务干部业务水平有待提高，且党务干部流动性较大，党务干部请辞情况较多，相应地也会增加各支部向上级提出改选、补选支部委员会成员的请示。</w:t>
      </w:r>
    </w:p>
    <w:p w:rsidR="003F5AB5" w:rsidRDefault="003F5AB5" w:rsidP="003F5AB5">
      <w:pPr>
        <w:ind w:firstLineChars="200" w:firstLine="640"/>
        <w:rPr>
          <w:rFonts w:ascii="仿宋_GB2312" w:eastAsia="仿宋_GB2312" w:hint="eastAsia"/>
          <w:sz w:val="32"/>
          <w:szCs w:val="32"/>
        </w:rPr>
      </w:pPr>
      <w:r>
        <w:rPr>
          <w:rFonts w:ascii="仿宋_GB2312" w:eastAsia="仿宋_GB2312" w:hint="eastAsia"/>
          <w:sz w:val="32"/>
          <w:szCs w:val="32"/>
        </w:rPr>
        <w:t>2.各基层党组织工作机制和党组织生活缺少创新形式，过于拘泥于传统方式，思政工作形式化、机械化，没有有效地调动党员们的参与组织生活的积极性。教师党支部开展的组织活动较学生党支部而言相对太少，组织生活难以开展，教师党员参与支部组织生活积极性不高，且活动形式“众口难调”。</w:t>
      </w:r>
    </w:p>
    <w:p w:rsidR="003F5AB5" w:rsidRDefault="003F5AB5" w:rsidP="003F5AB5">
      <w:pPr>
        <w:rPr>
          <w:rFonts w:hint="eastAsia"/>
        </w:rPr>
      </w:pPr>
      <w:r>
        <w:t xml:space="preserve"> </w:t>
      </w:r>
    </w:p>
    <w:p w:rsidR="003F5AB5" w:rsidRDefault="003F5AB5" w:rsidP="003F5AB5">
      <w:r>
        <w:t xml:space="preserve"> </w:t>
      </w:r>
    </w:p>
    <w:p w:rsidR="00804546" w:rsidRDefault="00804546">
      <w:bookmarkStart w:id="0" w:name="_GoBack"/>
      <w:bookmarkEnd w:id="0"/>
    </w:p>
    <w:sectPr w:rsidR="00804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Times New Roman"/>
    <w:charset w:val="00"/>
    <w:family w:val="auto"/>
    <w:pitch w:val="default"/>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759"/>
    <w:multiLevelType w:val="multilevel"/>
    <w:tmpl w:val="E584BDA4"/>
    <w:lvl w:ilvl="0">
      <w:start w:val="3"/>
      <w:numFmt w:val="japaneseCounting"/>
      <w:lvlText w:val="%1、"/>
      <w:lvlJc w:val="left"/>
      <w:pPr>
        <w:ind w:left="1350" w:hanging="720"/>
      </w:pPr>
      <w:rPr>
        <w:rFonts w:ascii="Times New Roman" w:hAnsi="Times New Roman" w:cs="Times New Roman" w:hint="default"/>
      </w:rPr>
    </w:lvl>
    <w:lvl w:ilvl="1">
      <w:start w:val="1"/>
      <w:numFmt w:val="lowerLetter"/>
      <w:lvlText w:val="%2)"/>
      <w:lvlJc w:val="left"/>
      <w:pPr>
        <w:ind w:left="1470" w:hanging="420"/>
      </w:pPr>
      <w:rPr>
        <w:rFonts w:ascii="Times New Roman" w:hAnsi="Times New Roman" w:cs="Times New Roman" w:hint="default"/>
      </w:rPr>
    </w:lvl>
    <w:lvl w:ilvl="2">
      <w:start w:val="1"/>
      <w:numFmt w:val="lowerRoman"/>
      <w:lvlText w:val="%3."/>
      <w:lvlJc w:val="right"/>
      <w:pPr>
        <w:ind w:left="1890" w:hanging="420"/>
      </w:pPr>
      <w:rPr>
        <w:rFonts w:ascii="Times New Roman" w:hAnsi="Times New Roman" w:cs="Times New Roman" w:hint="default"/>
      </w:rPr>
    </w:lvl>
    <w:lvl w:ilvl="3">
      <w:start w:val="1"/>
      <w:numFmt w:val="decimal"/>
      <w:lvlText w:val="%4."/>
      <w:lvlJc w:val="left"/>
      <w:pPr>
        <w:ind w:left="2310" w:hanging="420"/>
      </w:pPr>
      <w:rPr>
        <w:rFonts w:ascii="Times New Roman" w:hAnsi="Times New Roman" w:cs="Times New Roman" w:hint="default"/>
      </w:rPr>
    </w:lvl>
    <w:lvl w:ilvl="4">
      <w:start w:val="1"/>
      <w:numFmt w:val="lowerLetter"/>
      <w:lvlText w:val="%5)"/>
      <w:lvlJc w:val="left"/>
      <w:pPr>
        <w:ind w:left="2730" w:hanging="420"/>
      </w:pPr>
      <w:rPr>
        <w:rFonts w:ascii="Times New Roman" w:hAnsi="Times New Roman" w:cs="Times New Roman" w:hint="default"/>
      </w:rPr>
    </w:lvl>
    <w:lvl w:ilvl="5">
      <w:start w:val="1"/>
      <w:numFmt w:val="lowerRoman"/>
      <w:lvlText w:val="%6."/>
      <w:lvlJc w:val="right"/>
      <w:pPr>
        <w:ind w:left="3150" w:hanging="420"/>
      </w:pPr>
      <w:rPr>
        <w:rFonts w:ascii="Times New Roman" w:hAnsi="Times New Roman" w:cs="Times New Roman" w:hint="default"/>
      </w:rPr>
    </w:lvl>
    <w:lvl w:ilvl="6">
      <w:start w:val="1"/>
      <w:numFmt w:val="decimal"/>
      <w:lvlText w:val="%7."/>
      <w:lvlJc w:val="left"/>
      <w:pPr>
        <w:ind w:left="3570" w:hanging="420"/>
      </w:pPr>
      <w:rPr>
        <w:rFonts w:ascii="Times New Roman" w:hAnsi="Times New Roman" w:cs="Times New Roman" w:hint="default"/>
      </w:rPr>
    </w:lvl>
    <w:lvl w:ilvl="7">
      <w:start w:val="1"/>
      <w:numFmt w:val="lowerLetter"/>
      <w:lvlText w:val="%8)"/>
      <w:lvlJc w:val="left"/>
      <w:pPr>
        <w:ind w:left="3990" w:hanging="420"/>
      </w:pPr>
      <w:rPr>
        <w:rFonts w:ascii="Times New Roman" w:hAnsi="Times New Roman" w:cs="Times New Roman" w:hint="default"/>
      </w:rPr>
    </w:lvl>
    <w:lvl w:ilvl="8">
      <w:start w:val="1"/>
      <w:numFmt w:val="lowerRoman"/>
      <w:lvlText w:val="%9."/>
      <w:lvlJc w:val="right"/>
      <w:pPr>
        <w:ind w:left="4410" w:hanging="420"/>
      </w:pPr>
      <w:rPr>
        <w:rFonts w:ascii="Times New Roman" w:hAnsi="Times New Roman" w:cs="Times New Roman" w:hint="default"/>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B5"/>
    <w:rsid w:val="003F5AB5"/>
    <w:rsid w:val="00804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AB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semiHidden/>
    <w:rsid w:val="003F5AB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AB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semiHidden/>
    <w:rsid w:val="003F5A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75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212</Words>
  <Characters>1210</Characters>
  <Application>Microsoft Office Word</Application>
  <DocSecurity>0</DocSecurity>
  <Lines>10</Lines>
  <Paragraphs>2</Paragraphs>
  <ScaleCrop>false</ScaleCrop>
  <Company>Sky123.Org</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2018-10-28T14:29:00Z</dcterms:created>
  <dcterms:modified xsi:type="dcterms:W3CDTF">2018-10-28T14:30:00Z</dcterms:modified>
</cp:coreProperties>
</file>