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05" w:rsidRDefault="00AD4505" w:rsidP="00AD4505">
      <w:pPr>
        <w:jc w:val="center"/>
        <w:rPr>
          <w:rFonts w:ascii="方正小标宋简体" w:hAnsi="仿宋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惠州学院党建工作情况</w:t>
      </w:r>
    </w:p>
    <w:p w:rsidR="00AD4505" w:rsidRDefault="00AD4505" w:rsidP="00AD4505">
      <w:pPr>
        <w:jc w:val="center"/>
        <w:rPr>
          <w:rFonts w:ascii="方正小标宋简体" w:hAnsi="仿宋"/>
          <w:b/>
          <w:bCs/>
          <w:sz w:val="44"/>
          <w:szCs w:val="44"/>
        </w:rPr>
      </w:pPr>
      <w:r>
        <w:rPr>
          <w:rFonts w:ascii="方正小标宋简体" w:hAnsi="仿宋"/>
          <w:b/>
          <w:bCs/>
          <w:sz w:val="44"/>
          <w:szCs w:val="44"/>
        </w:rPr>
        <w:t xml:space="preserve"> </w:t>
      </w:r>
    </w:p>
    <w:p w:rsidR="00AD4505" w:rsidRDefault="00AD4505" w:rsidP="00AD4505">
      <w:pPr>
        <w:ind w:firstLineChars="200" w:firstLine="643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一、基本情况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惠州学院目前有校区1个，位于惠州市惠城区演达大道46号。现有全日制本科生16840人，教职工1311人。学校党员人数1597人。学校党委下设党总支22个，党支部87个，共有党员1597名。教工党支部81个，教工党员723人（占学校党员人数45.3%），其中专任教师党员474人（占教工党员65.6%）、正高级专任教师党员74人、副高级专任教师党员130人、35岁以下专任教师151人。“双带头人”（学术带头人、副高以上、博士）党支部书记29人。学生党支部20个，学生党员642人（占学校党员人数40.2%）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学校党建部门设置党委组织部现有教工5人，党委宣传部、统战部（合署）现有教工6人。</w:t>
      </w:r>
    </w:p>
    <w:p w:rsidR="00AD4505" w:rsidRDefault="00AD4505" w:rsidP="00AD4505">
      <w:pPr>
        <w:ind w:firstLineChars="200" w:firstLine="643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>二、经验亮点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1.加强干部教育培训，不断提升干部队伍履职能力和水平。坚持党管干部原则，大力加强干部的教育和培训，学校分别委托井冈山干部教育研究院、浙江大学干部培训学院举办处级干部专题培训班，进行全面系统的理论、业务、党性集中培训与锻炼，培训处级干部200余人次，通过专题培训、集中轮训等培训党支部书记近300人次。</w:t>
      </w:r>
    </w:p>
    <w:p w:rsidR="00AD4505" w:rsidRDefault="00AD4505" w:rsidP="00AD4505">
      <w:pPr>
        <w:ind w:firstLineChars="200" w:firstLine="643"/>
        <w:rPr>
          <w:rFonts w:ascii="仿宋_GB2312" w:hAnsi="仿宋" w:hint="eastAsia"/>
        </w:rPr>
      </w:pPr>
      <w:r>
        <w:rPr>
          <w:rFonts w:ascii="仿宋_GB2312" w:hAnsi="仿宋" w:hint="eastAsia"/>
          <w:b/>
          <w:bCs/>
        </w:rPr>
        <w:t>2.</w:t>
      </w:r>
      <w:r>
        <w:rPr>
          <w:rFonts w:ascii="仿宋_GB2312" w:hAnsi="仿宋" w:hint="eastAsia"/>
        </w:rPr>
        <w:t>结合支部实际与专业业务特点，提供精细化、贴近式服务，切实维护师生利益。运用微博、微信、易班等新媒体及时了解师生思想动态，密切党群关系、增进党内活力。2017</w:t>
      </w:r>
      <w:r>
        <w:rPr>
          <w:rFonts w:ascii="仿宋_GB2312" w:hAnsi="仿宋" w:hint="eastAsia"/>
        </w:rPr>
        <w:lastRenderedPageBreak/>
        <w:t>年4月，学校开设“党徽耀丰湖”党建工作微信公众号，共推送党建学习文章150余篇。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3.2017年学校2个党支部被省委教育工委命名为“广东省高校学习型、服务型、创新型党支部”。“党员领航，科技下乡，服务地方促转型”支部生活创新案例在全省高校“两学一做”支部风采展示活动中，获“优秀支部生活创新案例三等奖”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4. 学校可用于党建工作的经费主要包括，按一定比例返拨党费、党建经费每个党总支每年5000元、书记项目经费每个党总支每年4000元，党组织活动经费教工党员每人每年300元，2018年学生党员党组织活动经费按每人每年300元配备。</w:t>
      </w:r>
    </w:p>
    <w:p w:rsidR="00AD4505" w:rsidRDefault="00AD4505" w:rsidP="00AD4505">
      <w:pPr>
        <w:ind w:firstLineChars="200" w:firstLine="643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>三、党建工作中有待解决的问题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1.基层党建工作还未形成严密的制度体系。干部队伍的理论素质和领导能力与学校事业发展的需求相比，还存在差距，对各级干部进行党的路线方针政策、现代大学管理知识的培训力度还不够大，对基层党员领导干部的教育培训工作不系统、不严格、形式单一，成效不够明显；基层党组织考核评比流于形式，不够科学规范；“围绕中心工作抓党建”的意识和力度有待加强，成效有待提高，党建工作制度体系建设需要进一步完善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2.基层党务干部政策待遇落实情况，专职组织员配备情况。目前学校尚未配备专职组织员，学校党委将进一步研究落实基层党务干部岗位津贴、工作量核算等重要举措。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3.在高层次人才和年轻教师中发展党员的力度和措施不够。对发展对象的选拔培养不够，应增强做好在高层次人才和年轻教师中发展党员的紧迫感和危机感。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4.“双带头人”工程建设有待进一步提高。学校“双带头人”党支部书记29人。目前我校正在大力推进教师党支部书记“党建带头人、学术带头人”培育工程，按照上级规定要求，力争通过3年左右的时间，基本实现“双带头人”支部书记选拔方式全覆盖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5.党建工作信息化建设、党建经费保障体系有待进一步完善。目前学校开设“党徽耀丰湖”党建工作微信公众号，在校园网首页开设“理论热点”专栏，共建有党建微信工作群35个、党建QQ工作群18个，建有党务部门工作网站及专项宣传网页，构建校园新媒体联盟，以信息化手段提升党建工作水平。</w:t>
      </w:r>
    </w:p>
    <w:p w:rsidR="00AD4505" w:rsidRDefault="00AD4505" w:rsidP="00AD4505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AD4505" w:rsidRDefault="00AD4505" w:rsidP="00AD4505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7273F6" w:rsidRDefault="007273F6">
      <w:bookmarkStart w:id="0" w:name="_GoBack"/>
      <w:bookmarkEnd w:id="0"/>
    </w:p>
    <w:sectPr w:rsidR="0072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05"/>
    <w:rsid w:val="007273F6"/>
    <w:rsid w:val="00A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505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505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1232</Characters>
  <Application>Microsoft Office Word</Application>
  <DocSecurity>0</DocSecurity>
  <Lines>10</Lines>
  <Paragraphs>2</Paragraphs>
  <ScaleCrop>false</ScaleCrop>
  <Company>Sky123.Org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2018-10-28T12:24:00Z</dcterms:created>
  <dcterms:modified xsi:type="dcterms:W3CDTF">2018-10-28T12:25:00Z</dcterms:modified>
</cp:coreProperties>
</file>